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附件1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ascii="宋体" w:hAnsi="宋体"/>
          <w:b/>
          <w:color w:val="000000"/>
          <w:sz w:val="44"/>
        </w:rPr>
        <w:t>房地产评估机构备案登记表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520"/>
        <w:gridCol w:w="2148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</w:t>
            </w:r>
            <w:r>
              <w:rPr>
                <w:rFonts w:ascii="宋体" w:hAnsi="宋体"/>
                <w:b/>
                <w:color w:val="00000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注册</w:t>
            </w:r>
            <w:r>
              <w:rPr>
                <w:rFonts w:ascii="宋体" w:hAnsi="宋体"/>
                <w:b/>
                <w:color w:val="000000"/>
                <w:sz w:val="24"/>
              </w:rPr>
              <w:t>地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址</w:t>
            </w:r>
          </w:p>
        </w:tc>
        <w:tc>
          <w:tcPr>
            <w:tcW w:w="6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14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资质等级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总分机构类型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上一年度纳税信用等级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上一年度行政处罚记录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业务覆盖肇庆区域，各县（市、区）办公地址、联系人及联系电话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备案单位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482" w:firstLineChars="20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本单位对填报内容（及附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送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资料）的真实性、可靠性、完整性负责。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（签章）：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税务机关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ind w:firstLine="482" w:firstLineChars="200"/>
              <w:jc w:val="both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理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复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核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受理机关（</w:t>
            </w:r>
            <w:r>
              <w:rPr>
                <w:rFonts w:ascii="宋体" w:hAnsi="宋体"/>
                <w:b/>
                <w:color w:val="000000"/>
                <w:sz w:val="24"/>
              </w:rPr>
              <w:t>盖章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ascii="宋体" w:hAnsi="宋体"/>
                <w:b/>
                <w:color w:val="000000"/>
                <w:sz w:val="24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年　月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E35C2"/>
    <w:rsid w:val="289C0B70"/>
    <w:rsid w:val="3AA9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2023-12-13T02:42:00Z</dcterms:created>
  <dc:creator>xmtyw001</dc:creator>
  <cp:lastModifiedBy>杨光</cp:lastModifiedBy>
  <dcterms:modified xsi:type="dcterms:W3CDTF">2024-01-08T02:51:41Z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