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附件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r>
        <w:rPr>
          <w:rFonts w:ascii="宋体" w:hAnsi="宋体"/>
          <w:b/>
          <w:color w:val="000000"/>
          <w:sz w:val="44"/>
        </w:rPr>
        <w:t>房地产评估机构备案登记表</w: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520"/>
        <w:gridCol w:w="2148"/>
        <w:gridCol w:w="2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</w:t>
            </w:r>
            <w:r>
              <w:rPr>
                <w:rFonts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注册</w:t>
            </w:r>
            <w:r>
              <w:rPr>
                <w:rFonts w:ascii="宋体" w:hAnsi="宋体"/>
                <w:b/>
                <w:color w:val="000000"/>
                <w:sz w:val="24"/>
              </w:rPr>
              <w:t>地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址</w:t>
            </w:r>
          </w:p>
        </w:tc>
        <w:tc>
          <w:tcPr>
            <w:tcW w:w="6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14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资质等级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总分机构类型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上一年度纳税信用等级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上一年度行政处罚记录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业务覆盖肇庆区域，各县（市、区）办公地址、联系人及联系电话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备案单位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482" w:firstLineChars="20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本单位对填报内容（及附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资料）的真实性、可靠性、完整性负责。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（签章）：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税务机关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ind w:firstLine="482" w:firstLineChars="200"/>
              <w:jc w:val="both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资料信息齐全、填写内容完整，予以受理。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理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复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核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受理机关（</w:t>
            </w:r>
            <w:r>
              <w:rPr>
                <w:rFonts w:ascii="宋体" w:hAnsi="宋体"/>
                <w:b/>
                <w:color w:val="000000"/>
                <w:sz w:val="24"/>
              </w:rPr>
              <w:t>盖章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ascii="宋体" w:hAnsi="宋体"/>
                <w:b/>
                <w:color w:val="000000"/>
                <w:sz w:val="24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年　月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14D69"/>
    <w:rsid w:val="57C14D6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2023-02-14T09:25:00Z</dcterms:created>
  <dc:creator>Admin</dc:creator>
  <cp:lastModifiedBy>Admin</cp:lastModifiedBy>
  <dcterms:modified xsi:type="dcterms:W3CDTF">2023-02-14T09:25:50Z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