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国家税务总局珠海市税务局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第一税务分局</w:t>
      </w:r>
      <w:r>
        <w:rPr>
          <w:rFonts w:hint="eastAsia" w:ascii="黑体" w:hAnsi="黑体" w:eastAsia="黑体" w:cs="黑体"/>
          <w:sz w:val="44"/>
          <w:szCs w:val="44"/>
        </w:rPr>
        <w:t>税务行政职权运行流程图</w:t>
      </w:r>
      <w:bookmarkStart w:id="0" w:name="_GoBack"/>
      <w:bookmarkEnd w:id="0"/>
    </w:p>
    <w:p/>
    <w:p/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纳税人税收风险分析及组织应对</w:t>
      </w:r>
    </w:p>
    <w:p/>
    <w:p/>
    <w:p/>
    <w:p/>
    <w:p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243pt;width:129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236BA"/>
    <w:rsid w:val="147B2A35"/>
    <w:rsid w:val="36F236BA"/>
    <w:rsid w:val="6109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2025-02-25T01:46:00Z</dcterms:created>
  <dc:creator>钟学纾</dc:creator>
  <cp:lastModifiedBy>黄倩菁</cp:lastModifiedBy>
  <dcterms:modified xsi:type="dcterms:W3CDTF">2025-11-28T03:10:11Z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