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D1B17">
      <w:pPr>
        <w:widowControl w:val="0"/>
        <w:topLinePunct/>
        <w:autoSpaceDE w:val="0"/>
        <w:autoSpaceDN w:val="0"/>
        <w:spacing w:before="0" w:after="0" w:line="360" w:lineRule="auto"/>
        <w:jc w:val="center"/>
        <w:rPr>
          <w:rFonts w:hint="eastAsia" w:ascii="宋体" w:hAnsi="宋体" w:eastAsia="宋体" w:cs="宋体"/>
          <w:b/>
          <w:sz w:val="96"/>
          <w:szCs w:val="96"/>
          <w:lang w:eastAsia="zh-CN"/>
        </w:rPr>
      </w:pPr>
    </w:p>
    <w:p w14:paraId="7CE47E12">
      <w:pPr>
        <w:widowControl w:val="0"/>
        <w:topLinePunct/>
        <w:autoSpaceDE w:val="0"/>
        <w:autoSpaceDN w:val="0"/>
        <w:spacing w:before="0" w:after="0" w:line="360" w:lineRule="auto"/>
        <w:jc w:val="center"/>
        <w:rPr>
          <w:rFonts w:hint="eastAsia" w:ascii="宋体" w:hAnsi="宋体" w:eastAsia="宋体" w:cs="宋体"/>
          <w:b/>
          <w:sz w:val="96"/>
          <w:szCs w:val="96"/>
          <w:lang w:eastAsia="zh-CN"/>
        </w:rPr>
      </w:pPr>
      <w:r>
        <w:rPr>
          <w:rFonts w:hint="eastAsia" w:ascii="宋体" w:hAnsi="宋体" w:eastAsia="宋体" w:cs="宋体"/>
          <w:b/>
          <w:sz w:val="96"/>
          <w:szCs w:val="96"/>
          <w:lang w:eastAsia="zh-CN"/>
        </w:rPr>
        <w:t>采 购 需 求</w:t>
      </w:r>
    </w:p>
    <w:p w14:paraId="7D1049B4">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14:paraId="7BFD1FDE">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14:paraId="67FA8BFF">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14:paraId="6A3EA6FA">
      <w:pPr>
        <w:widowControl w:val="0"/>
        <w:topLinePunct/>
        <w:autoSpaceDE w:val="0"/>
        <w:autoSpaceDN w:val="0"/>
        <w:spacing w:before="0" w:after="0" w:line="360" w:lineRule="auto"/>
        <w:jc w:val="center"/>
        <w:rPr>
          <w:rFonts w:hint="eastAsia" w:ascii="宋体" w:hAnsi="宋体" w:eastAsia="宋体" w:cs="宋体"/>
          <w:b/>
          <w:sz w:val="30"/>
          <w:szCs w:val="30"/>
          <w:lang w:eastAsia="zh-CN"/>
        </w:rPr>
      </w:pPr>
      <w:r>
        <w:rPr>
          <w:rFonts w:hint="eastAsia" w:ascii="宋体" w:hAnsi="宋体" w:eastAsia="宋体" w:cs="宋体"/>
          <w:b/>
          <w:sz w:val="30"/>
          <w:szCs w:val="30"/>
          <w:lang w:eastAsia="zh-CN"/>
        </w:rPr>
        <w:t>项目名称：</w:t>
      </w:r>
      <w:bookmarkStart w:id="0" w:name="项目名称_projectName"/>
      <w:r>
        <w:rPr>
          <w:rFonts w:hint="eastAsia" w:ascii="宋体" w:hAnsi="宋体" w:eastAsia="宋体" w:cs="宋体"/>
          <w:b/>
          <w:sz w:val="30"/>
          <w:szCs w:val="30"/>
          <w:lang w:eastAsia="zh-CN"/>
        </w:rPr>
        <w:t>国家税务总局阳春市税务局2027-2028年非执法类辅助及后勤服务项目</w:t>
      </w:r>
      <w:bookmarkEnd w:id="0"/>
    </w:p>
    <w:p w14:paraId="15F09C8D">
      <w:pPr>
        <w:widowControl w:val="0"/>
        <w:spacing w:before="0" w:after="0" w:line="360" w:lineRule="auto"/>
        <w:jc w:val="both"/>
        <w:rPr>
          <w:rFonts w:hint="eastAsia" w:ascii="宋体" w:hAnsi="宋体" w:eastAsia="宋体" w:cs="宋体"/>
          <w:kern w:val="2"/>
          <w:sz w:val="32"/>
          <w:szCs w:val="32"/>
          <w:lang w:eastAsia="zh-CN"/>
        </w:rPr>
      </w:pPr>
    </w:p>
    <w:p w14:paraId="26E31265">
      <w:pPr>
        <w:widowControl w:val="0"/>
        <w:spacing w:before="0" w:after="0" w:line="360" w:lineRule="auto"/>
        <w:jc w:val="both"/>
        <w:rPr>
          <w:rFonts w:ascii="宋体" w:hAnsi="宋体" w:eastAsia="宋体" w:cs="宋体"/>
          <w:kern w:val="2"/>
          <w:sz w:val="32"/>
          <w:szCs w:val="32"/>
          <w:lang w:eastAsia="zh-CN"/>
        </w:rPr>
      </w:pPr>
    </w:p>
    <w:p w14:paraId="1B4D08E3">
      <w:pPr>
        <w:widowControl w:val="0"/>
        <w:spacing w:before="0" w:after="0" w:line="360" w:lineRule="auto"/>
        <w:jc w:val="both"/>
        <w:rPr>
          <w:rFonts w:hint="eastAsia" w:ascii="宋体" w:hAnsi="宋体" w:eastAsia="宋体" w:cs="宋体"/>
          <w:kern w:val="2"/>
          <w:sz w:val="32"/>
          <w:szCs w:val="32"/>
          <w:lang w:eastAsia="zh-CN"/>
        </w:rPr>
      </w:pPr>
    </w:p>
    <w:p w14:paraId="5B12462C">
      <w:pPr>
        <w:widowControl w:val="0"/>
        <w:topLinePunct/>
        <w:autoSpaceDE w:val="0"/>
        <w:autoSpaceDN w:val="0"/>
        <w:spacing w:before="0" w:after="0" w:line="360" w:lineRule="auto"/>
        <w:jc w:val="both"/>
        <w:rPr>
          <w:rFonts w:hint="eastAsia" w:ascii="宋体" w:hAnsi="宋体" w:eastAsia="宋体" w:cs="宋体"/>
          <w:sz w:val="32"/>
          <w:szCs w:val="32"/>
          <w:lang w:eastAsia="zh-CN"/>
        </w:rPr>
      </w:pPr>
    </w:p>
    <w:p w14:paraId="61E13EB9">
      <w:pPr>
        <w:spacing w:before="0" w:after="0" w:line="360" w:lineRule="auto"/>
        <w:jc w:val="center"/>
        <w:rPr>
          <w:rFonts w:eastAsia="宋体"/>
        </w:rPr>
      </w:pPr>
      <w:bookmarkStart w:id="1" w:name="生成日期_currentDateTime_ym"/>
      <w:r>
        <w:rPr>
          <w:rFonts w:hint="eastAsia" w:ascii="宋体" w:hAnsi="宋体" w:eastAsia="宋体" w:cs="宋体"/>
          <w:sz w:val="36"/>
          <w:szCs w:val="36"/>
          <w:lang w:eastAsia="zh-CN"/>
        </w:rPr>
        <w:t>2026年08月</w:t>
      </w:r>
      <w:bookmarkEnd w:id="1"/>
    </w:p>
    <w:p w14:paraId="2CE9618E">
      <w:pPr>
        <w:spacing w:before="0" w:after="0" w:line="360" w:lineRule="auto"/>
        <w:jc w:val="center"/>
        <w:rPr>
          <w:rFonts w:ascii="SimSun" w:hAnsi="SimSun" w:eastAsia="SimSun" w:cs="SimSun"/>
          <w:sz w:val="32"/>
        </w:rPr>
      </w:pPr>
      <w:r>
        <w:br w:type="page"/>
      </w:r>
      <w:r>
        <w:rPr>
          <w:rFonts w:ascii="SimSun" w:hAnsi="SimSun" w:eastAsia="SimSun" w:cs="SimSun"/>
          <w:sz w:val="32"/>
        </w:rPr>
        <w:t>目 录</w:t>
      </w:r>
    </w:p>
    <w:p w14:paraId="7D5B53EC">
      <w:pPr>
        <w:pStyle w:val="7"/>
        <w:tabs>
          <w:tab w:val="right" w:leader="dot" w:pos="9016"/>
        </w:tabs>
        <w:spacing w:before="0" w:after="0" w:line="360" w:lineRule="auto"/>
        <w:rPr>
          <w:rFonts w:asciiTheme="minorHAnsi" w:hAnsiTheme="minorHAnsi"/>
          <w:sz w:val="22"/>
        </w:rPr>
      </w:pPr>
      <w:r>
        <w:rPr>
          <w:rFonts w:ascii="SimSun" w:hAnsi="SimSun" w:eastAsia="SimSun" w:cs="SimSun"/>
          <w:sz w:val="32"/>
        </w:rPr>
        <w:fldChar w:fldCharType="begin"/>
      </w:r>
      <w:r>
        <w:rPr>
          <w:rFonts w:ascii="SimSun" w:hAnsi="SimSun" w:eastAsia="SimSun" w:cs="SimSun"/>
          <w:sz w:val="32"/>
        </w:rPr>
        <w:instrText xml:space="preserve">TOC \o "1-3" \h \z \u</w:instrText>
      </w:r>
      <w:r>
        <w:rPr>
          <w:rFonts w:ascii="SimSun" w:hAnsi="SimSun" w:eastAsia="SimSun" w:cs="SimSun"/>
          <w:sz w:val="32"/>
        </w:rPr>
        <w:fldChar w:fldCharType="separate"/>
      </w:r>
      <w:r>
        <w:fldChar w:fldCharType="begin"/>
      </w:r>
      <w:r>
        <w:instrText xml:space="preserve"> HYPERLINK \l "_Toc256000000" </w:instrText>
      </w:r>
      <w:r>
        <w:fldChar w:fldCharType="separate"/>
      </w:r>
      <w:r>
        <w:rPr>
          <w:rStyle w:val="11"/>
          <w:rFonts w:ascii="仿宋_GB2312" w:hAnsi="仿宋_GB2312" w:eastAsia="仿宋_GB2312" w:cs="仿宋_GB2312"/>
          <w:kern w:val="36"/>
        </w:rPr>
        <w:t>1项目概述</w:t>
      </w:r>
      <w:r>
        <w:tab/>
      </w:r>
      <w:r>
        <w:fldChar w:fldCharType="begin"/>
      </w:r>
      <w:r>
        <w:instrText xml:space="preserve"> PAGEREF _Toc256000000 \h </w:instrText>
      </w:r>
      <w:r>
        <w:fldChar w:fldCharType="separate"/>
      </w:r>
      <w:r>
        <w:t>3</w:t>
      </w:r>
      <w:r>
        <w:fldChar w:fldCharType="end"/>
      </w:r>
      <w:r>
        <w:fldChar w:fldCharType="end"/>
      </w:r>
    </w:p>
    <w:p w14:paraId="0AE6A758">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"_Toc256000001" </w:instrText>
      </w:r>
      <w:r>
        <w:fldChar w:fldCharType="separate"/>
      </w:r>
      <w:r>
        <w:rPr>
          <w:rStyle w:val="11"/>
          <w:rFonts w:ascii="仿宋_GB2312" w:hAnsi="仿宋_GB2312" w:eastAsia="仿宋_GB2312" w:cs="仿宋_GB2312"/>
        </w:rPr>
        <w:t>1.1项目背景</w:t>
      </w:r>
      <w:r>
        <w:tab/>
      </w:r>
      <w:r>
        <w:fldChar w:fldCharType="begin"/>
      </w:r>
      <w:r>
        <w:instrText xml:space="preserve"> PAGEREF _Toc256000001 \h </w:instrText>
      </w:r>
      <w:r>
        <w:fldChar w:fldCharType="separate"/>
      </w:r>
      <w:r>
        <w:t>3</w:t>
      </w:r>
      <w:r>
        <w:fldChar w:fldCharType="end"/>
      </w:r>
      <w:r>
        <w:fldChar w:fldCharType="end"/>
      </w:r>
    </w:p>
    <w:p w14:paraId="359A5769">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"_Toc256000002" </w:instrText>
      </w:r>
      <w:r>
        <w:fldChar w:fldCharType="separate"/>
      </w:r>
      <w:r>
        <w:rPr>
          <w:rStyle w:val="11"/>
          <w:rFonts w:ascii="仿宋_GB2312" w:hAnsi="仿宋_GB2312" w:eastAsia="仿宋_GB2312" w:cs="仿宋_GB2312"/>
        </w:rPr>
        <w:t>1.1.1项目目的、意义及背景</w:t>
      </w:r>
      <w:r>
        <w:tab/>
      </w:r>
      <w:r>
        <w:fldChar w:fldCharType="begin"/>
      </w:r>
      <w:r>
        <w:instrText xml:space="preserve"> PAGEREF _Toc256000002 \h </w:instrText>
      </w:r>
      <w:r>
        <w:fldChar w:fldCharType="separate"/>
      </w:r>
      <w:r>
        <w:t>3</w:t>
      </w:r>
      <w:r>
        <w:fldChar w:fldCharType="end"/>
      </w:r>
      <w:r>
        <w:fldChar w:fldCharType="end"/>
      </w:r>
    </w:p>
    <w:p w14:paraId="0606962F">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"_Toc256000003" </w:instrText>
      </w:r>
      <w:r>
        <w:fldChar w:fldCharType="separate"/>
      </w:r>
      <w:r>
        <w:rPr>
          <w:rStyle w:val="11"/>
          <w:rFonts w:ascii="仿宋_GB2312" w:hAnsi="仿宋_GB2312" w:eastAsia="仿宋_GB2312" w:cs="仿宋_GB2312"/>
        </w:rPr>
        <w:t>1.2项目内容</w:t>
      </w:r>
      <w:r>
        <w:tab/>
      </w:r>
      <w:r>
        <w:fldChar w:fldCharType="begin"/>
      </w:r>
      <w:r>
        <w:instrText xml:space="preserve"> PAGEREF _Toc256000003 \h </w:instrText>
      </w:r>
      <w:r>
        <w:fldChar w:fldCharType="separate"/>
      </w:r>
      <w:r>
        <w:t>3</w:t>
      </w:r>
      <w:r>
        <w:fldChar w:fldCharType="end"/>
      </w:r>
      <w:r>
        <w:fldChar w:fldCharType="end"/>
      </w:r>
    </w:p>
    <w:p w14:paraId="5A4D9454">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"_Toc256000004" </w:instrText>
      </w:r>
      <w:r>
        <w:fldChar w:fldCharType="separate"/>
      </w:r>
      <w:r>
        <w:rPr>
          <w:rStyle w:val="11"/>
          <w:rFonts w:ascii="仿宋_GB2312" w:hAnsi="仿宋_GB2312" w:eastAsia="仿宋_GB2312" w:cs="仿宋_GB2312"/>
        </w:rPr>
        <w:t>1.2.1采购内容</w:t>
      </w:r>
      <w:r>
        <w:tab/>
      </w:r>
      <w:r>
        <w:fldChar w:fldCharType="begin"/>
      </w:r>
      <w:r>
        <w:instrText xml:space="preserve"> PAGEREF _Toc256000004 \h </w:instrText>
      </w:r>
      <w:r>
        <w:fldChar w:fldCharType="separate"/>
      </w:r>
      <w:r>
        <w:t>3</w:t>
      </w:r>
      <w:r>
        <w:fldChar w:fldCharType="end"/>
      </w:r>
      <w:r>
        <w:fldChar w:fldCharType="end"/>
      </w:r>
    </w:p>
    <w:p w14:paraId="69DBC695">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"_Toc256000005" </w:instrText>
      </w:r>
      <w:r>
        <w:fldChar w:fldCharType="separate"/>
      </w:r>
      <w:r>
        <w:rPr>
          <w:rStyle w:val="11"/>
          <w:rFonts w:ascii="仿宋_GB2312" w:hAnsi="仿宋_GB2312" w:eastAsia="仿宋_GB2312" w:cs="仿宋_GB2312"/>
        </w:rPr>
        <w:t>1.2.2项目实施要求</w:t>
      </w:r>
      <w:r>
        <w:tab/>
      </w:r>
      <w:r>
        <w:fldChar w:fldCharType="begin"/>
      </w:r>
      <w:r>
        <w:instrText xml:space="preserve"> PAGEREF _Toc256000005 \h </w:instrText>
      </w:r>
      <w:r>
        <w:fldChar w:fldCharType="separate"/>
      </w:r>
      <w:r>
        <w:t>3</w:t>
      </w:r>
      <w:r>
        <w:fldChar w:fldCharType="end"/>
      </w:r>
      <w:r>
        <w:fldChar w:fldCharType="end"/>
      </w:r>
    </w:p>
    <w:p w14:paraId="452792F4">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"_Toc256000006" </w:instrText>
      </w:r>
      <w:r>
        <w:fldChar w:fldCharType="separate"/>
      </w:r>
      <w:r>
        <w:rPr>
          <w:rStyle w:val="11"/>
          <w:rFonts w:ascii="仿宋_GB2312" w:hAnsi="仿宋_GB2312" w:eastAsia="仿宋_GB2312" w:cs="仿宋_GB2312"/>
          <w:kern w:val="36"/>
        </w:rPr>
        <w:t>2投标/响应要求</w:t>
      </w:r>
      <w:r>
        <w:tab/>
      </w:r>
      <w:r>
        <w:fldChar w:fldCharType="begin"/>
      </w:r>
      <w:r>
        <w:instrText xml:space="preserve"> PAGEREF _Toc256000006 \h </w:instrText>
      </w:r>
      <w:r>
        <w:fldChar w:fldCharType="separate"/>
      </w:r>
      <w:r>
        <w:t>4</w:t>
      </w:r>
      <w:r>
        <w:fldChar w:fldCharType="end"/>
      </w:r>
      <w:r>
        <w:fldChar w:fldCharType="end"/>
      </w:r>
    </w:p>
    <w:p w14:paraId="0DFAA9F1">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"_Toc256000007" </w:instrText>
      </w:r>
      <w:r>
        <w:fldChar w:fldCharType="separate"/>
      </w:r>
      <w:r>
        <w:rPr>
          <w:rStyle w:val="11"/>
          <w:rFonts w:ascii="仿宋_GB2312" w:hAnsi="仿宋_GB2312" w:eastAsia="仿宋_GB2312" w:cs="仿宋_GB2312"/>
        </w:rPr>
        <w:t>2.1对供应商的要求</w:t>
      </w:r>
      <w:r>
        <w:tab/>
      </w:r>
      <w:r>
        <w:fldChar w:fldCharType="begin"/>
      </w:r>
      <w:r>
        <w:instrText xml:space="preserve"> PAGEREF _Toc256000007 \h </w:instrText>
      </w:r>
      <w:r>
        <w:fldChar w:fldCharType="separate"/>
      </w:r>
      <w:r>
        <w:t>4</w:t>
      </w:r>
      <w:r>
        <w:fldChar w:fldCharType="end"/>
      </w:r>
      <w:r>
        <w:fldChar w:fldCharType="end"/>
      </w:r>
    </w:p>
    <w:p w14:paraId="6EE85B5E">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"_Toc256000008" </w:instrText>
      </w:r>
      <w:r>
        <w:fldChar w:fldCharType="separate"/>
      </w:r>
      <w:r>
        <w:rPr>
          <w:rStyle w:val="11"/>
          <w:rFonts w:ascii="仿宋_GB2312" w:hAnsi="仿宋_GB2312" w:eastAsia="仿宋_GB2312" w:cs="仿宋_GB2312"/>
        </w:rPr>
        <w:t>2.1.1必备资质</w:t>
      </w:r>
      <w:r>
        <w:tab/>
      </w:r>
      <w:r>
        <w:fldChar w:fldCharType="begin"/>
      </w:r>
      <w:r>
        <w:instrText xml:space="preserve"> PAGEREF _Toc256000008 \h </w:instrText>
      </w:r>
      <w:r>
        <w:fldChar w:fldCharType="separate"/>
      </w:r>
      <w:r>
        <w:t>4</w:t>
      </w:r>
      <w:r>
        <w:fldChar w:fldCharType="end"/>
      </w:r>
      <w:r>
        <w:fldChar w:fldCharType="end"/>
      </w:r>
    </w:p>
    <w:p w14:paraId="7012491B">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"_Toc256000009" </w:instrText>
      </w:r>
      <w:r>
        <w:fldChar w:fldCharType="separate"/>
      </w:r>
      <w:r>
        <w:rPr>
          <w:rStyle w:val="11"/>
          <w:rFonts w:ascii="仿宋_GB2312" w:hAnsi="仿宋_GB2312" w:eastAsia="仿宋_GB2312" w:cs="仿宋_GB2312"/>
        </w:rPr>
        <w:t>2.1.2是否允许联合体</w:t>
      </w:r>
      <w:r>
        <w:tab/>
      </w:r>
      <w:r>
        <w:fldChar w:fldCharType="begin"/>
      </w:r>
      <w:r>
        <w:instrText xml:space="preserve"> PAGEREF _Toc256000009 \h </w:instrText>
      </w:r>
      <w:r>
        <w:fldChar w:fldCharType="separate"/>
      </w:r>
      <w:r>
        <w:t>6</w:t>
      </w:r>
      <w:r>
        <w:fldChar w:fldCharType="end"/>
      </w:r>
      <w:r>
        <w:fldChar w:fldCharType="end"/>
      </w:r>
    </w:p>
    <w:p w14:paraId="0F5BD237">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"_Toc256000010" </w:instrText>
      </w:r>
      <w:r>
        <w:fldChar w:fldCharType="separate"/>
      </w:r>
      <w:r>
        <w:rPr>
          <w:rStyle w:val="11"/>
          <w:rFonts w:ascii="仿宋_GB2312" w:hAnsi="仿宋_GB2312" w:eastAsia="仿宋_GB2312" w:cs="仿宋_GB2312"/>
        </w:rPr>
        <w:t>2.1.3是否专门面向中小企业</w:t>
      </w:r>
      <w:r>
        <w:tab/>
      </w:r>
      <w:r>
        <w:fldChar w:fldCharType="begin"/>
      </w:r>
      <w:r>
        <w:instrText xml:space="preserve"> PAGEREF _Toc256000010 \h </w:instrText>
      </w:r>
      <w:r>
        <w:fldChar w:fldCharType="separate"/>
      </w:r>
      <w:r>
        <w:t>6</w:t>
      </w:r>
      <w:r>
        <w:fldChar w:fldCharType="end"/>
      </w:r>
      <w:r>
        <w:fldChar w:fldCharType="end"/>
      </w:r>
    </w:p>
    <w:p w14:paraId="5FEAB3CF">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"_Toc256000011" </w:instrText>
      </w:r>
      <w:r>
        <w:fldChar w:fldCharType="separate"/>
      </w:r>
      <w:r>
        <w:rPr>
          <w:rStyle w:val="11"/>
          <w:rFonts w:ascii="仿宋_GB2312" w:hAnsi="仿宋_GB2312" w:eastAsia="仿宋_GB2312" w:cs="仿宋_GB2312"/>
        </w:rPr>
        <w:t>2.1.4其他要求</w:t>
      </w:r>
      <w:r>
        <w:tab/>
      </w:r>
      <w:r>
        <w:fldChar w:fldCharType="begin"/>
      </w:r>
      <w:r>
        <w:instrText xml:space="preserve"> PAGEREF _Toc256000011 \h </w:instrText>
      </w:r>
      <w:r>
        <w:fldChar w:fldCharType="separate"/>
      </w:r>
      <w:r>
        <w:t>6</w:t>
      </w:r>
      <w:r>
        <w:fldChar w:fldCharType="end"/>
      </w:r>
      <w:r>
        <w:fldChar w:fldCharType="end"/>
      </w:r>
    </w:p>
    <w:p w14:paraId="0FF8A3CB">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"_Toc256000012" </w:instrText>
      </w:r>
      <w:r>
        <w:fldChar w:fldCharType="separate"/>
      </w:r>
      <w:r>
        <w:rPr>
          <w:rStyle w:val="11"/>
          <w:rFonts w:ascii="仿宋_GB2312" w:hAnsi="仿宋_GB2312" w:eastAsia="仿宋_GB2312" w:cs="仿宋_GB2312"/>
        </w:rPr>
        <w:t>2.2技术部分投标/响应内容</w:t>
      </w:r>
      <w:r>
        <w:tab/>
      </w:r>
      <w:r>
        <w:fldChar w:fldCharType="begin"/>
      </w:r>
      <w:r>
        <w:instrText xml:space="preserve"> PAGEREF _Toc256000012 \h </w:instrText>
      </w:r>
      <w:r>
        <w:fldChar w:fldCharType="separate"/>
      </w:r>
      <w:r>
        <w:t>6</w:t>
      </w:r>
      <w:r>
        <w:fldChar w:fldCharType="end"/>
      </w:r>
      <w:r>
        <w:fldChar w:fldCharType="end"/>
      </w:r>
    </w:p>
    <w:p w14:paraId="65D8AF53">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"_Toc256000013" </w:instrText>
      </w:r>
      <w:r>
        <w:fldChar w:fldCharType="separate"/>
      </w:r>
      <w:r>
        <w:rPr>
          <w:rStyle w:val="11"/>
          <w:rFonts w:ascii="仿宋_GB2312" w:hAnsi="仿宋_GB2312" w:eastAsia="仿宋_GB2312" w:cs="仿宋_GB2312"/>
        </w:rPr>
        <w:t>2.2.1投标/响应方案要求</w:t>
      </w:r>
      <w:r>
        <w:tab/>
      </w:r>
      <w:r>
        <w:fldChar w:fldCharType="begin"/>
      </w:r>
      <w:r>
        <w:instrText xml:space="preserve"> PAGEREF _Toc256000013 \h </w:instrText>
      </w:r>
      <w:r>
        <w:fldChar w:fldCharType="separate"/>
      </w:r>
      <w:r>
        <w:t>6</w:t>
      </w:r>
      <w:r>
        <w:fldChar w:fldCharType="end"/>
      </w:r>
      <w:r>
        <w:fldChar w:fldCharType="end"/>
      </w:r>
    </w:p>
    <w:p w14:paraId="785EE98E">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"_Toc256000014" </w:instrText>
      </w:r>
      <w:r>
        <w:fldChar w:fldCharType="separate"/>
      </w:r>
      <w:r>
        <w:rPr>
          <w:rStyle w:val="11"/>
          <w:rFonts w:ascii="仿宋_GB2312" w:hAnsi="仿宋_GB2312" w:eastAsia="仿宋_GB2312" w:cs="仿宋_GB2312"/>
          <w:kern w:val="36"/>
        </w:rPr>
        <w:t>3项目需求</w:t>
      </w:r>
      <w:r>
        <w:tab/>
      </w:r>
      <w:r>
        <w:fldChar w:fldCharType="begin"/>
      </w:r>
      <w:r>
        <w:instrText xml:space="preserve"> PAGEREF _Toc256000014 \h </w:instrText>
      </w:r>
      <w:r>
        <w:fldChar w:fldCharType="separate"/>
      </w:r>
      <w:r>
        <w:t>6</w:t>
      </w:r>
      <w:r>
        <w:fldChar w:fldCharType="end"/>
      </w:r>
      <w:r>
        <w:fldChar w:fldCharType="end"/>
      </w:r>
    </w:p>
    <w:p w14:paraId="4A23EED2">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"_Toc256000015" </w:instrText>
      </w:r>
      <w:r>
        <w:fldChar w:fldCharType="separate"/>
      </w:r>
      <w:r>
        <w:rPr>
          <w:rStyle w:val="11"/>
          <w:rFonts w:ascii="仿宋_GB2312" w:hAnsi="仿宋_GB2312" w:eastAsia="仿宋_GB2312" w:cs="仿宋_GB2312"/>
        </w:rPr>
        <w:t>3.1总体要求</w:t>
      </w:r>
      <w:r>
        <w:tab/>
      </w:r>
      <w:r>
        <w:fldChar w:fldCharType="begin"/>
      </w:r>
      <w:r>
        <w:instrText xml:space="preserve"> PAGEREF _Toc256000015 \h </w:instrText>
      </w:r>
      <w:r>
        <w:fldChar w:fldCharType="separate"/>
      </w:r>
      <w:r>
        <w:t>6</w:t>
      </w:r>
      <w:r>
        <w:fldChar w:fldCharType="end"/>
      </w:r>
      <w:r>
        <w:fldChar w:fldCharType="end"/>
      </w:r>
    </w:p>
    <w:p w14:paraId="4F025CD7">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"_Toc256000016" </w:instrText>
      </w:r>
      <w:r>
        <w:fldChar w:fldCharType="separate"/>
      </w:r>
      <w:r>
        <w:rPr>
          <w:rStyle w:val="11"/>
          <w:rFonts w:ascii="仿宋_GB2312" w:hAnsi="仿宋_GB2312" w:eastAsia="仿宋_GB2312" w:cs="仿宋_GB2312"/>
        </w:rPr>
        <w:t>3.2具体要求</w:t>
      </w:r>
      <w:r>
        <w:tab/>
      </w:r>
      <w:r>
        <w:fldChar w:fldCharType="begin"/>
      </w:r>
      <w:r>
        <w:instrText xml:space="preserve"> PAGEREF _Toc256000016 \h </w:instrText>
      </w:r>
      <w:r>
        <w:fldChar w:fldCharType="separate"/>
      </w:r>
      <w:r>
        <w:t>6</w:t>
      </w:r>
      <w:r>
        <w:fldChar w:fldCharType="end"/>
      </w:r>
      <w:r>
        <w:fldChar w:fldCharType="end"/>
      </w:r>
    </w:p>
    <w:p w14:paraId="08EED49A">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"_Toc256000017" </w:instrText>
      </w:r>
      <w:r>
        <w:fldChar w:fldCharType="separate"/>
      </w:r>
      <w:r>
        <w:rPr>
          <w:rStyle w:val="11"/>
          <w:rFonts w:ascii="仿宋_GB2312" w:hAnsi="仿宋_GB2312" w:eastAsia="仿宋_GB2312" w:cs="仿宋_GB2312"/>
          <w:kern w:val="36"/>
        </w:rPr>
        <w:t>4人员要求</w:t>
      </w:r>
      <w:r>
        <w:tab/>
      </w:r>
      <w:r>
        <w:fldChar w:fldCharType="begin"/>
      </w:r>
      <w:r>
        <w:instrText xml:space="preserve"> PAGEREF _Toc256000017 \h </w:instrText>
      </w:r>
      <w:r>
        <w:fldChar w:fldCharType="separate"/>
      </w:r>
      <w:r>
        <w:t>8</w:t>
      </w:r>
      <w:r>
        <w:fldChar w:fldCharType="end"/>
      </w:r>
      <w:r>
        <w:fldChar w:fldCharType="end"/>
      </w:r>
    </w:p>
    <w:p w14:paraId="2192A3CB">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"_Toc256000018" </w:instrText>
      </w:r>
      <w:r>
        <w:fldChar w:fldCharType="separate"/>
      </w:r>
      <w:r>
        <w:rPr>
          <w:rStyle w:val="11"/>
          <w:rFonts w:ascii="仿宋_GB2312" w:hAnsi="仿宋_GB2312" w:eastAsia="仿宋_GB2312" w:cs="仿宋_GB2312"/>
        </w:rPr>
        <w:t>4.1团队要求</w:t>
      </w:r>
      <w:r>
        <w:tab/>
      </w:r>
      <w:r>
        <w:fldChar w:fldCharType="begin"/>
      </w:r>
      <w:r>
        <w:instrText xml:space="preserve"> PAGEREF _Toc256000018 \h </w:instrText>
      </w:r>
      <w:r>
        <w:fldChar w:fldCharType="separate"/>
      </w:r>
      <w:r>
        <w:t>8</w:t>
      </w:r>
      <w:r>
        <w:fldChar w:fldCharType="end"/>
      </w:r>
      <w:r>
        <w:fldChar w:fldCharType="end"/>
      </w:r>
    </w:p>
    <w:p w14:paraId="7E539E1B">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"_Toc256000019" </w:instrText>
      </w:r>
      <w:r>
        <w:fldChar w:fldCharType="separate"/>
      </w:r>
      <w:r>
        <w:rPr>
          <w:rStyle w:val="11"/>
          <w:rFonts w:ascii="仿宋_GB2312" w:hAnsi="仿宋_GB2312" w:eastAsia="仿宋_GB2312" w:cs="仿宋_GB2312"/>
        </w:rPr>
        <w:t>4.1.1项目服务岗位设置要求</w:t>
      </w:r>
      <w:r>
        <w:tab/>
      </w:r>
      <w:r>
        <w:fldChar w:fldCharType="begin"/>
      </w:r>
      <w:r>
        <w:instrText xml:space="preserve"> PAGEREF _Toc256000019 \h </w:instrText>
      </w:r>
      <w:r>
        <w:fldChar w:fldCharType="separate"/>
      </w:r>
      <w:r>
        <w:t>8</w:t>
      </w:r>
      <w:r>
        <w:fldChar w:fldCharType="end"/>
      </w:r>
      <w:r>
        <w:fldChar w:fldCharType="end"/>
      </w:r>
    </w:p>
    <w:p w14:paraId="71EB727A">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"_Toc256000020" </w:instrText>
      </w:r>
      <w:r>
        <w:fldChar w:fldCharType="separate"/>
      </w:r>
      <w:r>
        <w:rPr>
          <w:rStyle w:val="11"/>
          <w:rFonts w:ascii="仿宋_GB2312" w:hAnsi="仿宋_GB2312" w:eastAsia="仿宋_GB2312" w:cs="仿宋_GB2312"/>
          <w:kern w:val="36"/>
        </w:rPr>
        <w:t>5管理实施要求</w:t>
      </w:r>
      <w:r>
        <w:tab/>
      </w:r>
      <w:r>
        <w:fldChar w:fldCharType="begin"/>
      </w:r>
      <w:r>
        <w:instrText xml:space="preserve"> PAGEREF _Toc256000020 \h </w:instrText>
      </w:r>
      <w:r>
        <w:fldChar w:fldCharType="separate"/>
      </w:r>
      <w:r>
        <w:t>8</w:t>
      </w:r>
      <w:r>
        <w:fldChar w:fldCharType="end"/>
      </w:r>
      <w:r>
        <w:fldChar w:fldCharType="end"/>
      </w:r>
    </w:p>
    <w:p w14:paraId="5665B15D">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"_Toc256000021" </w:instrText>
      </w:r>
      <w:r>
        <w:fldChar w:fldCharType="separate"/>
      </w:r>
      <w:r>
        <w:rPr>
          <w:rStyle w:val="11"/>
          <w:rFonts w:ascii="仿宋_GB2312" w:hAnsi="仿宋_GB2312" w:eastAsia="仿宋_GB2312" w:cs="仿宋_GB2312"/>
          <w:kern w:val="36"/>
        </w:rPr>
        <w:t>6风险管控要求</w:t>
      </w:r>
      <w:r>
        <w:tab/>
      </w:r>
      <w:r>
        <w:fldChar w:fldCharType="begin"/>
      </w:r>
      <w:r>
        <w:instrText xml:space="preserve"> PAGEREF _Toc256000021 \h </w:instrText>
      </w:r>
      <w:r>
        <w:fldChar w:fldCharType="separate"/>
      </w:r>
      <w:r>
        <w:t>12</w:t>
      </w:r>
      <w:r>
        <w:fldChar w:fldCharType="end"/>
      </w:r>
      <w:r>
        <w:fldChar w:fldCharType="end"/>
      </w:r>
    </w:p>
    <w:p w14:paraId="2491E050">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"_Toc256000022" </w:instrText>
      </w:r>
      <w:r>
        <w:fldChar w:fldCharType="separate"/>
      </w:r>
      <w:r>
        <w:rPr>
          <w:rStyle w:val="11"/>
          <w:rFonts w:ascii="仿宋_GB2312" w:hAnsi="仿宋_GB2312" w:eastAsia="仿宋_GB2312" w:cs="仿宋_GB2312"/>
          <w:kern w:val="36"/>
        </w:rPr>
        <w:t>7履约验收要求</w:t>
      </w:r>
      <w:r>
        <w:tab/>
      </w:r>
      <w:r>
        <w:fldChar w:fldCharType="begin"/>
      </w:r>
      <w:r>
        <w:instrText xml:space="preserve"> PAGEREF _Toc256000022 \h </w:instrText>
      </w:r>
      <w:r>
        <w:fldChar w:fldCharType="separate"/>
      </w:r>
      <w:r>
        <w:t>13</w:t>
      </w:r>
      <w:r>
        <w:fldChar w:fldCharType="end"/>
      </w:r>
      <w:r>
        <w:fldChar w:fldCharType="end"/>
      </w:r>
    </w:p>
    <w:p w14:paraId="4DCEFE97">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"_Toc256000023" </w:instrText>
      </w:r>
      <w:r>
        <w:fldChar w:fldCharType="separate"/>
      </w:r>
      <w:r>
        <w:rPr>
          <w:rStyle w:val="11"/>
          <w:rFonts w:ascii="仿宋_GB2312" w:hAnsi="仿宋_GB2312" w:eastAsia="仿宋_GB2312" w:cs="仿宋_GB2312"/>
        </w:rPr>
        <w:t>7.1总体要求</w:t>
      </w:r>
      <w:r>
        <w:tab/>
      </w:r>
      <w:r>
        <w:fldChar w:fldCharType="begin"/>
      </w:r>
      <w:r>
        <w:instrText xml:space="preserve"> PAGEREF _Toc256000023 \h </w:instrText>
      </w:r>
      <w:r>
        <w:fldChar w:fldCharType="separate"/>
      </w:r>
      <w:r>
        <w:t>13</w:t>
      </w:r>
      <w:r>
        <w:fldChar w:fldCharType="end"/>
      </w:r>
      <w:r>
        <w:fldChar w:fldCharType="end"/>
      </w:r>
    </w:p>
    <w:p w14:paraId="74CC0B5D">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"_Toc256000024" </w:instrText>
      </w:r>
      <w:r>
        <w:fldChar w:fldCharType="separate"/>
      </w:r>
      <w:r>
        <w:rPr>
          <w:rStyle w:val="11"/>
          <w:rFonts w:ascii="仿宋_GB2312" w:hAnsi="仿宋_GB2312" w:eastAsia="仿宋_GB2312" w:cs="仿宋_GB2312"/>
        </w:rPr>
        <w:t>7.2具体要求</w:t>
      </w:r>
      <w:r>
        <w:tab/>
      </w:r>
      <w:r>
        <w:fldChar w:fldCharType="begin"/>
      </w:r>
      <w:r>
        <w:instrText xml:space="preserve"> PAGEREF _Toc256000024 \h </w:instrText>
      </w:r>
      <w:r>
        <w:fldChar w:fldCharType="separate"/>
      </w:r>
      <w:r>
        <w:t>13</w:t>
      </w:r>
      <w:r>
        <w:fldChar w:fldCharType="end"/>
      </w:r>
      <w:r>
        <w:fldChar w:fldCharType="end"/>
      </w:r>
    </w:p>
    <w:p w14:paraId="54FD30E6">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"_Toc256000025" </w:instrText>
      </w:r>
      <w:r>
        <w:fldChar w:fldCharType="separate"/>
      </w:r>
      <w:r>
        <w:rPr>
          <w:rStyle w:val="11"/>
          <w:rFonts w:ascii="仿宋_GB2312" w:hAnsi="仿宋_GB2312" w:eastAsia="仿宋_GB2312" w:cs="仿宋_GB2312"/>
          <w:kern w:val="36"/>
        </w:rPr>
        <w:t>8其他要求</w:t>
      </w:r>
      <w:r>
        <w:tab/>
      </w:r>
      <w:r>
        <w:fldChar w:fldCharType="begin"/>
      </w:r>
      <w:r>
        <w:instrText xml:space="preserve"> PAGEREF _Toc256000025 \h </w:instrText>
      </w:r>
      <w:r>
        <w:fldChar w:fldCharType="separate"/>
      </w:r>
      <w:r>
        <w:t>16</w:t>
      </w:r>
      <w:r>
        <w:fldChar w:fldCharType="end"/>
      </w:r>
      <w:r>
        <w:fldChar w:fldCharType="end"/>
      </w:r>
    </w:p>
    <w:p w14:paraId="4FAD3C29">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"_Toc256000026" </w:instrText>
      </w:r>
      <w:r>
        <w:fldChar w:fldCharType="separate"/>
      </w:r>
      <w:r>
        <w:rPr>
          <w:rStyle w:val="11"/>
          <w:rFonts w:ascii="仿宋_GB2312" w:hAnsi="仿宋_GB2312" w:eastAsia="仿宋_GB2312" w:cs="仿宋_GB2312"/>
        </w:rPr>
        <w:t>8.1付款安排建议</w:t>
      </w:r>
      <w:r>
        <w:tab/>
      </w:r>
      <w:r>
        <w:fldChar w:fldCharType="begin"/>
      </w:r>
      <w:r>
        <w:instrText xml:space="preserve"> PAGEREF _Toc256000026 \h </w:instrText>
      </w:r>
      <w:r>
        <w:fldChar w:fldCharType="separate"/>
      </w:r>
      <w:r>
        <w:t>16</w:t>
      </w:r>
      <w:r>
        <w:fldChar w:fldCharType="end"/>
      </w:r>
      <w:r>
        <w:fldChar w:fldCharType="end"/>
      </w:r>
    </w:p>
    <w:p w14:paraId="45C9C0A2">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"_Toc256000027" </w:instrText>
      </w:r>
      <w:r>
        <w:fldChar w:fldCharType="separate"/>
      </w:r>
      <w:r>
        <w:rPr>
          <w:rStyle w:val="11"/>
          <w:rFonts w:ascii="仿宋_GB2312" w:hAnsi="仿宋_GB2312" w:eastAsia="仿宋_GB2312" w:cs="仿宋_GB2312"/>
        </w:rPr>
        <w:t>8.2履约保证金</w:t>
      </w:r>
      <w:r>
        <w:tab/>
      </w:r>
      <w:r>
        <w:fldChar w:fldCharType="begin"/>
      </w:r>
      <w:r>
        <w:instrText xml:space="preserve"> PAGEREF _Toc256000027 \h </w:instrText>
      </w:r>
      <w:r>
        <w:fldChar w:fldCharType="separate"/>
      </w:r>
      <w:r>
        <w:t>17</w:t>
      </w:r>
      <w:r>
        <w:fldChar w:fldCharType="end"/>
      </w:r>
      <w:r>
        <w:fldChar w:fldCharType="end"/>
      </w:r>
    </w:p>
    <w:p w14:paraId="5FEF9F88">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"_Toc256000028" </w:instrText>
      </w:r>
      <w:r>
        <w:fldChar w:fldCharType="separate"/>
      </w:r>
      <w:r>
        <w:rPr>
          <w:rStyle w:val="11"/>
          <w:rFonts w:ascii="仿宋_GB2312" w:hAnsi="仿宋_GB2312" w:eastAsia="仿宋_GB2312" w:cs="仿宋_GB2312"/>
        </w:rPr>
        <w:t>8.3其他要求</w:t>
      </w:r>
      <w:r>
        <w:tab/>
      </w:r>
      <w:r>
        <w:fldChar w:fldCharType="begin"/>
      </w:r>
      <w:r>
        <w:instrText xml:space="preserve"> PAGEREF _Toc256000028 \h </w:instrText>
      </w:r>
      <w:r>
        <w:fldChar w:fldCharType="separate"/>
      </w:r>
      <w:r>
        <w:t>18</w:t>
      </w:r>
      <w:r>
        <w:fldChar w:fldCharType="end"/>
      </w:r>
      <w:r>
        <w:fldChar w:fldCharType="end"/>
      </w:r>
    </w:p>
    <w:p w14:paraId="00049079">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"_Toc256000029" </w:instrText>
      </w:r>
      <w:r>
        <w:fldChar w:fldCharType="separate"/>
      </w:r>
      <w:r>
        <w:rPr>
          <w:rStyle w:val="11"/>
          <w:rFonts w:ascii="仿宋_GB2312" w:hAnsi="仿宋_GB2312" w:eastAsia="仿宋_GB2312" w:cs="仿宋_GB2312"/>
        </w:rPr>
        <w:t>8.3.1项目服务安全要求</w:t>
      </w:r>
      <w:r>
        <w:tab/>
      </w:r>
      <w:r>
        <w:fldChar w:fldCharType="begin"/>
      </w:r>
      <w:r>
        <w:instrText xml:space="preserve"> PAGEREF _Toc256000029 \h </w:instrText>
      </w:r>
      <w:r>
        <w:fldChar w:fldCharType="separate"/>
      </w:r>
      <w:r>
        <w:t>18</w:t>
      </w:r>
      <w:r>
        <w:fldChar w:fldCharType="end"/>
      </w:r>
      <w:r>
        <w:fldChar w:fldCharType="end"/>
      </w:r>
    </w:p>
    <w:p w14:paraId="6CF27B20">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"_Toc256000030" </w:instrText>
      </w:r>
      <w:r>
        <w:fldChar w:fldCharType="separate"/>
      </w:r>
      <w:r>
        <w:rPr>
          <w:rStyle w:val="11"/>
          <w:rFonts w:ascii="仿宋_GB2312" w:hAnsi="仿宋_GB2312" w:eastAsia="仿宋_GB2312" w:cs="仿宋_GB2312"/>
        </w:rPr>
        <w:t>8.3.2围猎条款</w:t>
      </w:r>
      <w:r>
        <w:tab/>
      </w:r>
      <w:r>
        <w:fldChar w:fldCharType="begin"/>
      </w:r>
      <w:r>
        <w:instrText xml:space="preserve"> PAGEREF _Toc256000030 \h </w:instrText>
      </w:r>
      <w:r>
        <w:fldChar w:fldCharType="separate"/>
      </w:r>
      <w:r>
        <w:t>18</w:t>
      </w:r>
      <w:r>
        <w:fldChar w:fldCharType="end"/>
      </w:r>
      <w:r>
        <w:fldChar w:fldCharType="end"/>
      </w:r>
    </w:p>
    <w:p w14:paraId="08377357">
      <w:pPr>
        <w:spacing w:before="0" w:after="0" w:line="360" w:lineRule="auto"/>
        <w:jc w:val="left"/>
      </w:pPr>
      <w:r>
        <w:rPr>
          <w:rFonts w:ascii="SimSun" w:hAnsi="SimSun" w:eastAsia="SimSun" w:cs="SimSun"/>
          <w:sz w:val="32"/>
        </w:rPr>
        <w:fldChar w:fldCharType="end"/>
      </w:r>
      <w:r>
        <w:br w:type="page"/>
      </w:r>
    </w:p>
    <w:p w14:paraId="7287305C">
      <w:pPr>
        <w:pStyle w:val="2"/>
        <w:keepNext w:val="0"/>
        <w:spacing w:before="0" w:after="0" w:line="360" w:lineRule="auto"/>
        <w:jc w:val="center"/>
        <w:rPr>
          <w:rFonts w:ascii="仿宋_GB2312" w:hAnsi="仿宋_GB2312" w:eastAsia="仿宋_GB2312" w:cs="仿宋_GB2312"/>
          <w:b/>
          <w:bCs/>
          <w:sz w:val="32"/>
          <w:szCs w:val="32"/>
        </w:rPr>
      </w:pPr>
      <w:bookmarkStart w:id="2" w:name="_Toc256000000"/>
      <w:r>
        <w:rPr>
          <w:rFonts w:ascii="仿宋_GB2312" w:hAnsi="仿宋_GB2312" w:eastAsia="仿宋_GB2312" w:cs="仿宋_GB2312"/>
          <w:kern w:val="36"/>
        </w:rPr>
        <w:t>1项目概述</w:t>
      </w:r>
      <w:bookmarkEnd w:id="2"/>
    </w:p>
    <w:p w14:paraId="63B2443C">
      <w:pPr>
        <w:pStyle w:val="3"/>
        <w:keepNext w:val="0"/>
        <w:spacing w:before="0" w:after="0" w:line="360" w:lineRule="auto"/>
        <w:rPr>
          <w:rFonts w:ascii="仿宋_GB2312" w:hAnsi="仿宋_GB2312" w:eastAsia="仿宋_GB2312" w:cs="仿宋_GB2312"/>
          <w:b/>
          <w:bCs/>
          <w:sz w:val="28"/>
          <w:szCs w:val="28"/>
        </w:rPr>
      </w:pPr>
      <w:bookmarkStart w:id="3" w:name="_Toc256000001"/>
      <w:r>
        <w:rPr>
          <w:rFonts w:ascii="仿宋_GB2312" w:hAnsi="仿宋_GB2312" w:eastAsia="仿宋_GB2312" w:cs="仿宋_GB2312"/>
          <w:i w:val="0"/>
          <w:iCs w:val="0"/>
        </w:rPr>
        <w:t>1.1项目背景</w:t>
      </w:r>
      <w:bookmarkEnd w:id="3"/>
    </w:p>
    <w:p w14:paraId="49E4D13E">
      <w:pPr>
        <w:pStyle w:val="4"/>
        <w:keepNext w:val="0"/>
        <w:spacing w:before="0" w:after="0" w:line="360" w:lineRule="auto"/>
        <w:rPr>
          <w:rFonts w:ascii="仿宋_GB2312" w:hAnsi="仿宋_GB2312" w:eastAsia="仿宋_GB2312" w:cs="仿宋_GB2312"/>
          <w:b/>
          <w:bCs/>
          <w:sz w:val="28"/>
          <w:szCs w:val="28"/>
        </w:rPr>
      </w:pPr>
      <w:bookmarkStart w:id="4" w:name="_Toc256000002"/>
      <w:r>
        <w:rPr>
          <w:rFonts w:ascii="仿宋_GB2312" w:hAnsi="仿宋_GB2312" w:eastAsia="仿宋_GB2312" w:cs="仿宋_GB2312"/>
          <w:sz w:val="28"/>
          <w:szCs w:val="28"/>
        </w:rPr>
        <w:t>1.1.1项目目的、意义及背景</w:t>
      </w:r>
      <w:bookmarkEnd w:id="4"/>
    </w:p>
    <w:p w14:paraId="2BAB8F20">
      <w:pPr>
        <w:pStyle w:val="12"/>
        <w:spacing w:before="0" w:after="0" w:line="360" w:lineRule="auto"/>
        <w:ind w:left="0" w:right="0"/>
      </w:pPr>
      <w:r>
        <w:rPr>
          <w:rFonts w:ascii="FangSong_GB2312" w:hAnsi="FangSong_GB2312" w:eastAsia="FangSong_GB2312" w:cs="FangSong_GB2312"/>
          <w:sz w:val="28"/>
          <w:szCs w:val="28"/>
        </w:rPr>
        <w:t>为适应税收事业现代化发展，满足日益增长的专业化服务需求，同时保障社会公共利益和采购活动当事人的合法权益，拟对国家税务总局阳春市税务局非执法类辅助及后勤服务项目采用公开招标方式进行采购。</w:t>
      </w:r>
    </w:p>
    <w:p w14:paraId="1354510C">
      <w:pPr>
        <w:pStyle w:val="3"/>
        <w:keepNext w:val="0"/>
        <w:spacing w:before="0" w:after="0" w:line="360" w:lineRule="auto"/>
        <w:rPr>
          <w:rFonts w:ascii="仿宋_GB2312" w:hAnsi="仿宋_GB2312" w:eastAsia="仿宋_GB2312" w:cs="仿宋_GB2312"/>
          <w:b/>
          <w:bCs/>
          <w:sz w:val="28"/>
          <w:szCs w:val="28"/>
        </w:rPr>
      </w:pPr>
      <w:bookmarkStart w:id="5" w:name="_Toc256000003"/>
      <w:r>
        <w:rPr>
          <w:rFonts w:ascii="仿宋_GB2312" w:hAnsi="仿宋_GB2312" w:eastAsia="仿宋_GB2312" w:cs="仿宋_GB2312"/>
          <w:i w:val="0"/>
          <w:iCs w:val="0"/>
        </w:rPr>
        <w:t>1.2项目内容</w:t>
      </w:r>
      <w:bookmarkEnd w:id="5"/>
    </w:p>
    <w:p w14:paraId="539FC5C5">
      <w:pPr>
        <w:pStyle w:val="4"/>
        <w:keepNext w:val="0"/>
        <w:spacing w:before="0" w:after="0" w:line="360" w:lineRule="auto"/>
        <w:rPr>
          <w:rFonts w:ascii="仿宋_GB2312" w:hAnsi="仿宋_GB2312" w:eastAsia="仿宋_GB2312" w:cs="仿宋_GB2312"/>
          <w:b/>
          <w:bCs/>
          <w:sz w:val="28"/>
          <w:szCs w:val="28"/>
        </w:rPr>
      </w:pPr>
      <w:bookmarkStart w:id="6" w:name="_Toc256000004"/>
      <w:r>
        <w:rPr>
          <w:rFonts w:ascii="仿宋_GB2312" w:hAnsi="仿宋_GB2312" w:eastAsia="仿宋_GB2312" w:cs="仿宋_GB2312"/>
          <w:sz w:val="28"/>
          <w:szCs w:val="28"/>
        </w:rPr>
        <w:t>1.2.1采购内容</w:t>
      </w:r>
      <w:bookmarkEnd w:id="6"/>
    </w:p>
    <w:p w14:paraId="25B1EA96">
      <w:pPr>
        <w:pStyle w:val="12"/>
        <w:spacing w:before="0" w:after="0" w:line="360" w:lineRule="auto"/>
        <w:ind w:left="0" w:right="0"/>
        <w:rPr>
          <w:rFonts w:hint="default" w:eastAsia="FangSong_GB2312"/>
          <w:lang w:val="en-US" w:eastAsia="zh-CN"/>
        </w:rPr>
      </w:pPr>
      <w:r>
        <w:rPr>
          <w:rFonts w:ascii="FangSong_GB2312" w:hAnsi="FangSong_GB2312" w:eastAsia="FangSong_GB2312" w:cs="FangSong_GB2312"/>
          <w:sz w:val="28"/>
          <w:szCs w:val="28"/>
        </w:rPr>
        <w:t>采购非执法类辅助服务及后勤服务，如</w:t>
      </w:r>
      <w:r>
        <w:rPr>
          <w:rFonts w:ascii="仿宋_GB2312" w:hAnsi="仿宋_GB2312" w:eastAsia="仿宋_GB2312" w:cs="仿宋_GB2312"/>
          <w:sz w:val="28"/>
          <w:szCs w:val="28"/>
        </w:rPr>
        <w:t>税费指引服务、税费咨询服务、信息录入服务、税费辅导服务、远程协助服务、协助维护办税服务厅正常秩序和舆情监控、</w:t>
      </w:r>
      <w:r>
        <w:rPr>
          <w:rFonts w:ascii="FangSong_GB2312" w:hAnsi="FangSong_GB2312" w:eastAsia="FangSong_GB2312" w:cs="FangSong_GB2312"/>
          <w:sz w:val="28"/>
          <w:szCs w:val="28"/>
        </w:rPr>
        <w:t>公务用车驾驶服务、食堂服务等，具体服务内容按照招标文件、合同及双方约定执行。</w:t>
      </w:r>
      <w:r>
        <w:rPr>
          <w:rFonts w:hint="eastAsia" w:ascii="FangSong_GB2312" w:hAnsi="FangSong_GB2312" w:eastAsia="FangSong_GB2312" w:cs="FangSong_GB2312"/>
          <w:sz w:val="28"/>
          <w:szCs w:val="28"/>
          <w:lang w:eastAsia="zh-CN"/>
        </w:rPr>
        <w:t>总预算</w:t>
      </w:r>
      <w:r>
        <w:rPr>
          <w:rFonts w:hint="eastAsia" w:ascii="FangSong_GB2312" w:hAnsi="FangSong_GB2312" w:eastAsia="FangSong_GB2312" w:cs="FangSong_GB2312"/>
          <w:sz w:val="28"/>
          <w:szCs w:val="28"/>
          <w:lang w:val="en-US" w:eastAsia="zh-CN"/>
        </w:rPr>
        <w:t>903万。</w:t>
      </w:r>
    </w:p>
    <w:p w14:paraId="7374FAA5">
      <w:pPr>
        <w:pStyle w:val="4"/>
        <w:keepNext w:val="0"/>
        <w:spacing w:before="0" w:after="0" w:line="360" w:lineRule="auto"/>
        <w:rPr>
          <w:rFonts w:ascii="仿宋_GB2312" w:hAnsi="仿宋_GB2312" w:eastAsia="仿宋_GB2312" w:cs="仿宋_GB2312"/>
          <w:b/>
          <w:bCs/>
          <w:sz w:val="28"/>
          <w:szCs w:val="28"/>
        </w:rPr>
      </w:pPr>
      <w:bookmarkStart w:id="7" w:name="_Toc256000005"/>
      <w:r>
        <w:rPr>
          <w:rFonts w:ascii="仿宋_GB2312" w:hAnsi="仿宋_GB2312" w:eastAsia="仿宋_GB2312" w:cs="仿宋_GB2312"/>
          <w:sz w:val="28"/>
          <w:szCs w:val="28"/>
        </w:rPr>
        <w:t>1.2.2项目实施要求</w:t>
      </w:r>
      <w:bookmarkEnd w:id="7"/>
    </w:p>
    <w:p w14:paraId="24580BAD">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1.2.2.1实施范围要求</w:t>
      </w:r>
    </w:p>
    <w:p w14:paraId="03E255B9">
      <w:pPr>
        <w:pStyle w:val="12"/>
        <w:spacing w:before="0" w:after="0" w:line="360" w:lineRule="auto"/>
        <w:ind w:left="0" w:right="0"/>
      </w:pPr>
      <w:r>
        <w:rPr>
          <w:rFonts w:ascii="仿宋_GB2312" w:hAnsi="仿宋_GB2312" w:eastAsia="仿宋_GB2312" w:cs="仿宋_GB2312"/>
          <w:sz w:val="28"/>
          <w:szCs w:val="28"/>
        </w:rPr>
        <w:t>为国家税务总局阳春市税务局提供非执法类辅助服务、公务用车驾驶服务、食堂服务等，具体服务内容按照招标文件、合同及双方约定执行。</w:t>
      </w:r>
    </w:p>
    <w:p w14:paraId="60C1FE3D">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1.2.2.2实施时间要求</w:t>
      </w:r>
    </w:p>
    <w:p w14:paraId="680FA550">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2027年1月1日至2028年12月31日。</w:t>
      </w:r>
    </w:p>
    <w:p w14:paraId="69BA3D74">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1.2.2.3实施地点要求</w:t>
      </w:r>
    </w:p>
    <w:p w14:paraId="07A4B484">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服务地点为国家税务总局阳春市税务局，包括：</w:t>
      </w:r>
    </w:p>
    <w:p w14:paraId="29AB5CC9">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（1）国家税务总局阳春市税务局河西办公区（广东省阳春市河西街道迎宾大道243号）；</w:t>
      </w:r>
    </w:p>
    <w:p w14:paraId="514F0B26">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（2）国家税务总局阳春市税务局东湖西办公区（广东省阳春市春城街道东湖西路5号）；</w:t>
      </w:r>
    </w:p>
    <w:p w14:paraId="6C2C92D0">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（3）国家税务总局阳春市税务局松柏税务分局（广东省阳春市松柏镇松花市场北路42号）；</w:t>
      </w:r>
    </w:p>
    <w:p w14:paraId="30FBE1E9">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（4）国家税务总局阳春市税务局春湾税务分局（广东省阳春市春湾镇青云路35号）；</w:t>
      </w:r>
    </w:p>
    <w:p w14:paraId="15368054">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（5）国家税务总局阳春市税务局合水税务分局（广东省阳春市合水镇金星大道文化广场旁）；</w:t>
      </w:r>
    </w:p>
    <w:p w14:paraId="7884FBC8">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（6）国家税务总局阳春市税务局马水税务分局（广东省阳春市马水镇人民路89号）；</w:t>
      </w:r>
    </w:p>
    <w:p w14:paraId="6754B32A">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（7）国家税务总局阳春市税务局潭水税务分局（广东省阳春市潭水镇中心小学东北侧）；</w:t>
      </w:r>
    </w:p>
    <w:p w14:paraId="50162F3C">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（8）国家税务总局阳春市税务局三甲税务分局（广东省阳春市三甲镇石咀小区158号）；</w:t>
      </w:r>
    </w:p>
    <w:p w14:paraId="06AF06E6">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（9）国家税务总局阳春市税务局岗美税务分局（广东省阳春市岗美镇华天路62号）</w:t>
      </w:r>
    </w:p>
    <w:p w14:paraId="592FE7E8">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（10）采购人要求的其他</w:t>
      </w:r>
      <w:r>
        <w:rPr>
          <w:rFonts w:hint="eastAsia" w:ascii="FangSong_GB2312" w:hAnsi="FangSong_GB2312" w:eastAsia="FangSong_GB2312" w:cs="FangSong_GB2312"/>
          <w:sz w:val="28"/>
          <w:szCs w:val="28"/>
          <w:lang w:eastAsia="zh-CN"/>
        </w:rPr>
        <w:t>合法</w:t>
      </w:r>
      <w:bookmarkStart w:id="33" w:name="_GoBack"/>
      <w:bookmarkEnd w:id="33"/>
      <w:r>
        <w:rPr>
          <w:rFonts w:ascii="FangSong_GB2312" w:hAnsi="FangSong_GB2312" w:eastAsia="FangSong_GB2312" w:cs="FangSong_GB2312"/>
          <w:sz w:val="28"/>
          <w:szCs w:val="28"/>
        </w:rPr>
        <w:t>服务地点。</w:t>
      </w:r>
    </w:p>
    <w:p w14:paraId="71A59758">
      <w:pPr>
        <w:pStyle w:val="12"/>
        <w:spacing w:before="0" w:after="0" w:line="360" w:lineRule="auto"/>
        <w:ind w:left="0" w:right="0"/>
      </w:pPr>
      <w:r>
        <w:t> </w:t>
      </w:r>
    </w:p>
    <w:p w14:paraId="6311EA82">
      <w:pPr>
        <w:pStyle w:val="2"/>
        <w:keepNext w:val="0"/>
        <w:spacing w:before="0" w:after="0" w:line="360" w:lineRule="auto"/>
        <w:jc w:val="center"/>
        <w:rPr>
          <w:rFonts w:ascii="仿宋_GB2312" w:hAnsi="仿宋_GB2312" w:eastAsia="仿宋_GB2312" w:cs="仿宋_GB2312"/>
          <w:b/>
          <w:bCs/>
          <w:sz w:val="32"/>
          <w:szCs w:val="32"/>
        </w:rPr>
      </w:pPr>
      <w:bookmarkStart w:id="8" w:name="_Toc256000006"/>
      <w:r>
        <w:rPr>
          <w:rFonts w:ascii="仿宋_GB2312" w:hAnsi="仿宋_GB2312" w:eastAsia="仿宋_GB2312" w:cs="仿宋_GB2312"/>
          <w:kern w:val="36"/>
        </w:rPr>
        <w:t>2投标/响应要求</w:t>
      </w:r>
      <w:bookmarkEnd w:id="8"/>
    </w:p>
    <w:p w14:paraId="5A17F72A">
      <w:pPr>
        <w:pStyle w:val="3"/>
        <w:keepNext w:val="0"/>
        <w:spacing w:before="0" w:after="0" w:line="360" w:lineRule="auto"/>
        <w:rPr>
          <w:rFonts w:ascii="仿宋_GB2312" w:hAnsi="仿宋_GB2312" w:eastAsia="仿宋_GB2312" w:cs="仿宋_GB2312"/>
          <w:b/>
          <w:bCs/>
          <w:sz w:val="28"/>
          <w:szCs w:val="28"/>
        </w:rPr>
      </w:pPr>
      <w:bookmarkStart w:id="9" w:name="_Toc256000007"/>
      <w:r>
        <w:rPr>
          <w:rFonts w:ascii="仿宋_GB2312" w:hAnsi="仿宋_GB2312" w:eastAsia="仿宋_GB2312" w:cs="仿宋_GB2312"/>
          <w:i w:val="0"/>
          <w:iCs w:val="0"/>
        </w:rPr>
        <w:t>2.1对供应商的要求</w:t>
      </w:r>
      <w:bookmarkEnd w:id="9"/>
    </w:p>
    <w:p w14:paraId="705A7451">
      <w:pPr>
        <w:pStyle w:val="4"/>
        <w:keepNext w:val="0"/>
        <w:spacing w:before="0" w:after="0" w:line="360" w:lineRule="auto"/>
        <w:rPr>
          <w:rFonts w:ascii="仿宋_GB2312" w:hAnsi="仿宋_GB2312" w:eastAsia="仿宋_GB2312" w:cs="仿宋_GB2312"/>
          <w:b/>
          <w:bCs/>
          <w:sz w:val="28"/>
          <w:szCs w:val="28"/>
        </w:rPr>
      </w:pPr>
      <w:bookmarkStart w:id="10" w:name="_Toc256000008"/>
      <w:r>
        <w:rPr>
          <w:rFonts w:ascii="仿宋_GB2312" w:hAnsi="仿宋_GB2312" w:eastAsia="仿宋_GB2312" w:cs="仿宋_GB2312"/>
          <w:sz w:val="28"/>
          <w:szCs w:val="28"/>
        </w:rPr>
        <w:t>2.1.1必备资质</w:t>
      </w:r>
      <w:bookmarkEnd w:id="10"/>
    </w:p>
    <w:p w14:paraId="7B455A49">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2.1.1.1投标人应遵守有关国家法律、法规和条例,具备《中华人民共和国政府采购法》第二十二条的规定和本文件中规定的条件。</w:t>
      </w:r>
    </w:p>
    <w:p w14:paraId="5189EAB1">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2.1.1.2本项目的特定资格要求</w:t>
      </w:r>
    </w:p>
    <w:p w14:paraId="5E5918BC">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sz w:val="28"/>
          <w:szCs w:val="28"/>
        </w:rPr>
        <w:t>（1）应具备《中华人民共和国政府采购法》第二十二条规定的条件，提供以下材料：</w:t>
      </w:r>
    </w:p>
    <w:p w14:paraId="65F3BC2A">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①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7241B472">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②具有良好的商业信誉和健全的财务会计制度(提供以下①或②证明材料：①经会计师事务所审计的2025年度财务状况报告；②同时提供a.基本开户行出具的资信证明，b.《基本存款账号信息》或《开户许可证》);</w:t>
      </w:r>
    </w:p>
    <w:p w14:paraId="22CE3C5F">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③具有履行合同所必需的设备和专业技术能力(提供具有履行合同所必需的设备和专业技术能力承诺函或相关证明材料);</w:t>
      </w:r>
    </w:p>
    <w:p w14:paraId="4E98A708">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④有依法缴纳税收和社会保障资金的良好记录(提供投标截止日前6个月内任意1个月依法缴纳税收和社会保障资金的相关材料。如依法免税或不需要缴纳社会保障资金的,提供相应证明材料);</w:t>
      </w:r>
    </w:p>
    <w:p w14:paraId="6476E3DE">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⑤参加政府采购活动前三年内,在经营活动中没有重大违法记录(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3AC219C">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⑥法律、行政法规规定的其他条件(提供书面声明)。</w:t>
      </w:r>
    </w:p>
    <w:p w14:paraId="045147C8">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2）信用记录：投标人未被列入“信用中国网站(www.creditchina.gov.cn)”重大税收违法失信主体；未被列入“中国执行信息公开网（http://zxgk.court.gov.cn/）”失信被执行人记录名单；未被列入“中国政府采购网(http://www.ccgp.gov.cn/)”政府采购严重违法失信行为记录名单中的禁止参加政府采购活动期间，若投标人具有分公司的，其所属分公司有上述不良信用记录的，视同该投标人存在不良信用记录。若投标人为分公司的，其所属总公司（总所）存在上述不良信用记录的，视同该分公司存在不良信用记录。（以采购代理机构于评标当天在“信用中国网站(www.creditchina.gov.cn)、中国执行信息公开网（http://zxgk.court.gov.cn/）及中国政府采购网（http://www.ccgp.gov.cn/）查询结果为准，如相关失信记录已失效，投标人需提供相关证明资料）。</w:t>
      </w:r>
    </w:p>
    <w:p w14:paraId="603FCFA7">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3）投标人必须符合法律、行政法规规定的其他条件：单位负责人为同一人或者存在直接控股、管理关系的不同供应商，不得同时参加本采购项目（或同一合同项下）投标。为本项目提供整体设计、规范编制或者项目管理、监理、检测等服务的投标人，不得再参与本项目投标。（提供按照招标文件的格式签署盖章的《资格声明函》）。</w:t>
      </w:r>
    </w:p>
    <w:p w14:paraId="09619B0C">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（4）投标人已按招标公告及招标文件的规定获取了招标文件。</w:t>
      </w:r>
    </w:p>
    <w:p w14:paraId="179C829F">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（5）本项目不接受联合体投标，不接受中标备选方案。</w:t>
      </w:r>
    </w:p>
    <w:p w14:paraId="43AD7121">
      <w:pPr>
        <w:pStyle w:val="4"/>
        <w:keepNext w:val="0"/>
        <w:spacing w:before="0" w:after="0" w:line="360" w:lineRule="auto"/>
        <w:rPr>
          <w:rFonts w:ascii="仿宋_GB2312" w:hAnsi="仿宋_GB2312" w:eastAsia="仿宋_GB2312" w:cs="仿宋_GB2312"/>
          <w:b/>
          <w:bCs/>
          <w:sz w:val="28"/>
          <w:szCs w:val="28"/>
        </w:rPr>
      </w:pPr>
      <w:bookmarkStart w:id="11" w:name="_Toc256000009"/>
      <w:r>
        <w:rPr>
          <w:rFonts w:ascii="仿宋_GB2312" w:hAnsi="仿宋_GB2312" w:eastAsia="仿宋_GB2312" w:cs="仿宋_GB2312"/>
          <w:sz w:val="28"/>
          <w:szCs w:val="28"/>
        </w:rPr>
        <w:t>2.1.2是否允许联合体</w:t>
      </w:r>
      <w:bookmarkEnd w:id="11"/>
    </w:p>
    <w:p w14:paraId="07FDCE0C">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否</w:t>
      </w:r>
    </w:p>
    <w:p w14:paraId="4D5BBCC0">
      <w:pPr>
        <w:pStyle w:val="4"/>
        <w:keepNext w:val="0"/>
        <w:spacing w:before="0" w:after="0" w:line="360" w:lineRule="auto"/>
        <w:rPr>
          <w:rFonts w:ascii="仿宋_GB2312" w:hAnsi="仿宋_GB2312" w:eastAsia="仿宋_GB2312" w:cs="仿宋_GB2312"/>
          <w:b/>
          <w:bCs/>
          <w:sz w:val="28"/>
          <w:szCs w:val="28"/>
        </w:rPr>
      </w:pPr>
      <w:bookmarkStart w:id="12" w:name="_Toc256000010"/>
      <w:r>
        <w:rPr>
          <w:rFonts w:ascii="仿宋_GB2312" w:hAnsi="仿宋_GB2312" w:eastAsia="仿宋_GB2312" w:cs="仿宋_GB2312"/>
          <w:sz w:val="28"/>
          <w:szCs w:val="28"/>
        </w:rPr>
        <w:t>2.1.3是否专门面向中小企业</w:t>
      </w:r>
      <w:bookmarkEnd w:id="12"/>
    </w:p>
    <w:p w14:paraId="297D260A">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本项目专门面向中小企业采购项目</w:t>
      </w:r>
    </w:p>
    <w:p w14:paraId="3562AC76">
      <w:pPr>
        <w:pStyle w:val="4"/>
        <w:keepNext w:val="0"/>
        <w:spacing w:before="0" w:after="0" w:line="360" w:lineRule="auto"/>
        <w:rPr>
          <w:rFonts w:ascii="仿宋_GB2312" w:hAnsi="仿宋_GB2312" w:eastAsia="仿宋_GB2312" w:cs="仿宋_GB2312"/>
          <w:b/>
          <w:bCs/>
          <w:sz w:val="28"/>
          <w:szCs w:val="28"/>
        </w:rPr>
      </w:pPr>
      <w:bookmarkStart w:id="13" w:name="_Toc256000011"/>
      <w:r>
        <w:rPr>
          <w:rFonts w:ascii="仿宋_GB2312" w:hAnsi="仿宋_GB2312" w:eastAsia="仿宋_GB2312" w:cs="仿宋_GB2312"/>
          <w:sz w:val="28"/>
          <w:szCs w:val="28"/>
        </w:rPr>
        <w:t>2.1.4其他要求</w:t>
      </w:r>
      <w:bookmarkEnd w:id="13"/>
    </w:p>
    <w:p w14:paraId="40DFC21A">
      <w:pPr>
        <w:pStyle w:val="12"/>
        <w:spacing w:before="0" w:after="0" w:line="360" w:lineRule="auto"/>
        <w:ind w:left="0" w:right="0" w:firstLine="441"/>
        <w:jc w:val="both"/>
        <w:rPr>
          <w:rFonts w:ascii="Calibri" w:hAnsi="Calibri" w:eastAsia="Calibri" w:cs="Calibri"/>
          <w:sz w:val="21"/>
          <w:szCs w:val="21"/>
        </w:rPr>
      </w:pPr>
      <w:r>
        <w:rPr>
          <w:rFonts w:ascii="FangSong_GB2312" w:hAnsi="FangSong_GB2312" w:eastAsia="FangSong_GB2312" w:cs="FangSong_GB2312"/>
          <w:sz w:val="28"/>
          <w:szCs w:val="28"/>
        </w:rPr>
        <w:t>中小企业须符合本项目采购标的对应行业（</w:t>
      </w:r>
      <w:r>
        <w:rPr>
          <w:rFonts w:ascii="FangSong_GB2312" w:hAnsi="FangSong_GB2312" w:eastAsia="FangSong_GB2312" w:cs="FangSong_GB2312"/>
          <w:sz w:val="28"/>
          <w:szCs w:val="28"/>
          <w:shd w:val="clear" w:color="auto" w:fill="FFFFFF"/>
        </w:rPr>
        <w:t>租赁和商务服务业</w:t>
      </w:r>
      <w:r>
        <w:rPr>
          <w:rFonts w:ascii="FangSong_GB2312" w:hAnsi="FangSong_GB2312" w:eastAsia="FangSong_GB2312" w:cs="FangSong_GB2312"/>
          <w:sz w:val="28"/>
          <w:szCs w:val="28"/>
        </w:rPr>
        <w:t>）的政策划分标准。监狱企业、残疾人福利单位视同小型、微型企业。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p w14:paraId="617175F3">
      <w:pPr>
        <w:pStyle w:val="3"/>
        <w:keepNext w:val="0"/>
        <w:spacing w:before="0" w:after="0" w:line="360" w:lineRule="auto"/>
        <w:rPr>
          <w:rFonts w:ascii="仿宋_GB2312" w:hAnsi="仿宋_GB2312" w:eastAsia="仿宋_GB2312" w:cs="仿宋_GB2312"/>
          <w:b/>
          <w:bCs/>
          <w:sz w:val="28"/>
          <w:szCs w:val="28"/>
        </w:rPr>
      </w:pPr>
      <w:bookmarkStart w:id="14" w:name="_Toc256000012"/>
      <w:r>
        <w:rPr>
          <w:rFonts w:ascii="仿宋_GB2312" w:hAnsi="仿宋_GB2312" w:eastAsia="仿宋_GB2312" w:cs="仿宋_GB2312"/>
          <w:i w:val="0"/>
          <w:iCs w:val="0"/>
        </w:rPr>
        <w:t>2.2技术部分投标/响应内容</w:t>
      </w:r>
      <w:bookmarkEnd w:id="14"/>
    </w:p>
    <w:p w14:paraId="76BBEDA0">
      <w:pPr>
        <w:pStyle w:val="4"/>
        <w:keepNext w:val="0"/>
        <w:spacing w:before="0" w:after="0" w:line="360" w:lineRule="auto"/>
        <w:rPr>
          <w:rFonts w:ascii="仿宋_GB2312" w:hAnsi="仿宋_GB2312" w:eastAsia="仿宋_GB2312" w:cs="仿宋_GB2312"/>
          <w:b/>
          <w:bCs/>
          <w:sz w:val="28"/>
          <w:szCs w:val="28"/>
        </w:rPr>
      </w:pPr>
      <w:bookmarkStart w:id="15" w:name="_Toc256000013"/>
      <w:r>
        <w:rPr>
          <w:rFonts w:ascii="仿宋_GB2312" w:hAnsi="仿宋_GB2312" w:eastAsia="仿宋_GB2312" w:cs="仿宋_GB2312"/>
          <w:sz w:val="28"/>
          <w:szCs w:val="28"/>
        </w:rPr>
        <w:t>2.2.1投标/响应方案要求</w:t>
      </w:r>
      <w:bookmarkEnd w:id="15"/>
    </w:p>
    <w:p w14:paraId="67BCE8D3">
      <w:pPr>
        <w:pStyle w:val="12"/>
        <w:spacing w:before="0" w:after="0" w:line="360" w:lineRule="auto"/>
        <w:ind w:left="0" w:right="0" w:firstLine="424"/>
        <w:jc w:val="both"/>
        <w:rPr>
          <w:rFonts w:ascii="Calibri" w:hAnsi="Calibri" w:eastAsia="Calibri" w:cs="Calibri"/>
          <w:sz w:val="21"/>
          <w:szCs w:val="21"/>
        </w:rPr>
      </w:pPr>
      <w:r>
        <w:rPr>
          <w:rFonts w:ascii="FangSong_GB2312" w:hAnsi="FangSong_GB2312" w:eastAsia="FangSong_GB2312" w:cs="FangSong_GB2312"/>
          <w:spacing w:val="1"/>
          <w:sz w:val="28"/>
          <w:szCs w:val="28"/>
        </w:rPr>
        <w:t>1.供应商的服务方案应当包括对项目需求的理解、项目的准备、组织实施计划等。</w:t>
      </w:r>
    </w:p>
    <w:p w14:paraId="59C6E2A8">
      <w:pPr>
        <w:pStyle w:val="12"/>
        <w:spacing w:before="0" w:after="0" w:line="360" w:lineRule="auto"/>
        <w:ind w:left="0" w:right="0" w:firstLine="424"/>
        <w:jc w:val="both"/>
        <w:rPr>
          <w:rFonts w:ascii="Calibri" w:hAnsi="Calibri" w:eastAsia="Calibri" w:cs="Calibri"/>
          <w:sz w:val="21"/>
          <w:szCs w:val="21"/>
        </w:rPr>
      </w:pPr>
      <w:r>
        <w:rPr>
          <w:rFonts w:ascii="FangSong_GB2312" w:hAnsi="FangSong_GB2312" w:eastAsia="FangSong_GB2312" w:cs="FangSong_GB2312"/>
          <w:spacing w:val="1"/>
          <w:sz w:val="28"/>
          <w:szCs w:val="28"/>
        </w:rPr>
        <w:t>2.供应商对本项目服务人员的管理应当制订相应制度，管理制度应当包括人员入职、离职、辞退、考核奖惩等。</w:t>
      </w:r>
    </w:p>
    <w:p w14:paraId="38DFA0C6">
      <w:pPr>
        <w:pStyle w:val="12"/>
        <w:spacing w:before="0" w:after="0" w:line="360" w:lineRule="auto"/>
        <w:ind w:left="0" w:right="0" w:firstLine="424"/>
        <w:jc w:val="both"/>
        <w:rPr>
          <w:rFonts w:ascii="Calibri" w:hAnsi="Calibri" w:eastAsia="Calibri" w:cs="Calibri"/>
          <w:sz w:val="21"/>
          <w:szCs w:val="21"/>
        </w:rPr>
      </w:pPr>
      <w:r>
        <w:rPr>
          <w:rFonts w:ascii="FangSong_GB2312" w:hAnsi="FangSong_GB2312" w:eastAsia="FangSong_GB2312" w:cs="FangSong_GB2312"/>
          <w:spacing w:val="1"/>
          <w:sz w:val="28"/>
          <w:szCs w:val="28"/>
        </w:rPr>
        <w:t>3.供应商提供的非执法类辅助及后勤服务应注重安全管理，常见安全事项应当制定应急预案（至少包括工伤事故、火灾事故、交通事故、食物中毒应急预案等），以防未然。</w:t>
      </w:r>
    </w:p>
    <w:p w14:paraId="0411027E">
      <w:pPr>
        <w:pStyle w:val="12"/>
        <w:spacing w:before="0" w:after="0" w:line="360" w:lineRule="auto"/>
        <w:ind w:left="0" w:right="0" w:firstLine="424"/>
        <w:jc w:val="both"/>
        <w:rPr>
          <w:rFonts w:ascii="Calibri" w:hAnsi="Calibri" w:eastAsia="Calibri" w:cs="Calibri"/>
          <w:sz w:val="21"/>
          <w:szCs w:val="21"/>
        </w:rPr>
      </w:pPr>
      <w:r>
        <w:rPr>
          <w:rFonts w:ascii="FangSong_GB2312" w:hAnsi="FangSong_GB2312" w:eastAsia="FangSong_GB2312" w:cs="FangSong_GB2312"/>
          <w:spacing w:val="1"/>
          <w:sz w:val="28"/>
          <w:szCs w:val="28"/>
        </w:rPr>
        <w:t>4.供应商应当对本项目服务人员进行业务培训，至少包括岗位知识及技能、服务礼仪、服务安全培训方案等。</w:t>
      </w:r>
    </w:p>
    <w:p w14:paraId="62EBCD43">
      <w:pPr>
        <w:pStyle w:val="2"/>
        <w:keepNext w:val="0"/>
        <w:spacing w:before="0" w:after="0" w:line="360" w:lineRule="auto"/>
        <w:jc w:val="center"/>
        <w:rPr>
          <w:rFonts w:ascii="仿宋_GB2312" w:hAnsi="仿宋_GB2312" w:eastAsia="仿宋_GB2312" w:cs="仿宋_GB2312"/>
          <w:b/>
          <w:bCs/>
          <w:sz w:val="32"/>
          <w:szCs w:val="32"/>
        </w:rPr>
      </w:pPr>
      <w:bookmarkStart w:id="16" w:name="_Toc256000014"/>
      <w:r>
        <w:rPr>
          <w:rFonts w:ascii="仿宋_GB2312" w:hAnsi="仿宋_GB2312" w:eastAsia="仿宋_GB2312" w:cs="仿宋_GB2312"/>
          <w:kern w:val="36"/>
        </w:rPr>
        <w:t>3项目需求</w:t>
      </w:r>
      <w:bookmarkEnd w:id="16"/>
    </w:p>
    <w:p w14:paraId="4206EE5A">
      <w:pPr>
        <w:pStyle w:val="3"/>
        <w:keepNext w:val="0"/>
        <w:spacing w:before="0" w:after="0" w:line="360" w:lineRule="auto"/>
        <w:rPr>
          <w:rFonts w:ascii="仿宋_GB2312" w:hAnsi="仿宋_GB2312" w:eastAsia="仿宋_GB2312" w:cs="仿宋_GB2312"/>
          <w:b/>
          <w:bCs/>
          <w:sz w:val="28"/>
          <w:szCs w:val="28"/>
        </w:rPr>
      </w:pPr>
      <w:bookmarkStart w:id="17" w:name="_Toc256000015"/>
      <w:r>
        <w:rPr>
          <w:rFonts w:ascii="仿宋_GB2312" w:hAnsi="仿宋_GB2312" w:eastAsia="仿宋_GB2312" w:cs="仿宋_GB2312"/>
          <w:i w:val="0"/>
          <w:iCs w:val="0"/>
        </w:rPr>
        <w:t>3.1总体要求</w:t>
      </w:r>
      <w:bookmarkEnd w:id="17"/>
    </w:p>
    <w:p w14:paraId="5820C077">
      <w:pPr>
        <w:pStyle w:val="12"/>
        <w:spacing w:before="0" w:after="0" w:line="360" w:lineRule="auto"/>
        <w:ind w:left="0" w:right="0" w:firstLine="422"/>
        <w:jc w:val="both"/>
        <w:rPr>
          <w:rFonts w:ascii="Calibri" w:hAnsi="Calibri" w:eastAsia="Calibri" w:cs="Calibri"/>
          <w:sz w:val="21"/>
          <w:szCs w:val="21"/>
        </w:rPr>
      </w:pPr>
      <w:r>
        <w:rPr>
          <w:rFonts w:ascii="FangSong_GB2312" w:hAnsi="FangSong_GB2312" w:eastAsia="FangSong_GB2312" w:cs="FangSong_GB2312"/>
          <w:sz w:val="28"/>
          <w:szCs w:val="28"/>
        </w:rPr>
        <w:t>非执法类辅助及后勤服务事项包括：为国家税务总局阳春市税务局提供机关非执法类辅助服务、公务用车驾驶服务、食堂服务等，具体服务内容按照招标文件、合同及双方约定执行。</w:t>
      </w:r>
    </w:p>
    <w:p w14:paraId="7D43E978">
      <w:pPr>
        <w:pStyle w:val="3"/>
        <w:keepNext w:val="0"/>
        <w:spacing w:before="0" w:after="0" w:line="360" w:lineRule="auto"/>
        <w:rPr>
          <w:rFonts w:ascii="仿宋_GB2312" w:hAnsi="仿宋_GB2312" w:eastAsia="仿宋_GB2312" w:cs="仿宋_GB2312"/>
          <w:b/>
          <w:bCs/>
          <w:sz w:val="28"/>
          <w:szCs w:val="28"/>
        </w:rPr>
      </w:pPr>
      <w:bookmarkStart w:id="18" w:name="_Toc256000016"/>
      <w:r>
        <w:rPr>
          <w:rFonts w:ascii="仿宋_GB2312" w:hAnsi="仿宋_GB2312" w:eastAsia="仿宋_GB2312" w:cs="仿宋_GB2312"/>
          <w:i w:val="0"/>
          <w:iCs w:val="0"/>
        </w:rPr>
        <w:t>3.2具体要求</w:t>
      </w:r>
      <w:bookmarkEnd w:id="18"/>
    </w:p>
    <w:p w14:paraId="234FF6FF">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b/>
          <w:bCs/>
          <w:sz w:val="28"/>
          <w:szCs w:val="28"/>
        </w:rPr>
        <w:t>1.工作时间要求</w:t>
      </w:r>
    </w:p>
    <w:p w14:paraId="051ADDF1">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1）本服务项目的工作时间由中标人根据国家有关规定及完成采购人服务工作的需要进行安排。休息日、节假日保证值班人员在岗，如发现问题立即上报采购人，并且要做好记录。如遇抗台等特殊时期，安排人员24小时现场值守。</w:t>
      </w:r>
    </w:p>
    <w:p w14:paraId="1304D74F">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（2）遇有节假日、重大活动或发生紧急情况时，中标人相关人员须按采购人要求准时到岗，并做好相关服务及应急处理。</w:t>
      </w:r>
    </w:p>
    <w:p w14:paraId="7A523DA6">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b/>
          <w:bCs/>
          <w:sz w:val="28"/>
          <w:szCs w:val="28"/>
        </w:rPr>
        <w:t>2.项目服务要求</w:t>
      </w:r>
    </w:p>
    <w:p w14:paraId="79F69170">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1）本项目的承包方式为总价包干，包含但不限于项目人员服务费等。采购人仅向中标人支付购买服务的费用，服务人员的薪酬、社会保险、公积金、节日慰问、入职及年度体检、加班费、差旅费、培训费、服装费、人员工伤和其他意外造成的损失及其他因履行本项目所产生的全部费用均由中标人负责。（提供承诺函）</w:t>
      </w:r>
    </w:p>
    <w:p w14:paraId="0C27D882">
      <w:pPr>
        <w:pStyle w:val="12"/>
        <w:spacing w:before="0" w:after="0" w:line="360" w:lineRule="auto"/>
        <w:ind w:left="0" w:right="0" w:firstLine="510"/>
        <w:jc w:val="both"/>
        <w:rPr>
          <w:rFonts w:ascii="Calibri" w:hAnsi="Calibri" w:eastAsia="Calibri" w:cs="Calibri"/>
          <w:sz w:val="21"/>
          <w:szCs w:val="21"/>
        </w:rPr>
      </w:pPr>
      <w:r>
        <w:rPr>
          <w:rFonts w:ascii="SimSun" w:hAnsi="SimSun" w:eastAsia="SimSun" w:cs="SimSun"/>
          <w:sz w:val="28"/>
          <w:szCs w:val="28"/>
        </w:rPr>
        <w:t>（2）采购人</w:t>
      </w:r>
      <w:r>
        <w:rPr>
          <w:rFonts w:ascii="FangSong_GB2312" w:hAnsi="FangSong_GB2312" w:eastAsia="FangSong_GB2312" w:cs="FangSong_GB2312"/>
          <w:sz w:val="28"/>
          <w:szCs w:val="28"/>
        </w:rPr>
        <w:t>的重要办公场所，对安全性、保密性、规范性要求严格，投标人提供的服务要求高标准、高质量。</w:t>
      </w:r>
    </w:p>
    <w:p w14:paraId="7208E4CF">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（3）中标人在未经采购人同意的情况下，不能将本项目服务内容进行分包及转包，否则采购人有权提前终止本项目服务合同，所涉及的一切法律和赔偿责任由中标人负责。</w:t>
      </w:r>
    </w:p>
    <w:p w14:paraId="2C49EEAE">
      <w:pPr>
        <w:pStyle w:val="12"/>
        <w:spacing w:before="0" w:after="0" w:line="360" w:lineRule="auto"/>
        <w:ind w:left="0" w:right="0" w:firstLine="510"/>
        <w:jc w:val="both"/>
        <w:rPr>
          <w:rFonts w:ascii="Calibri" w:hAnsi="Calibri" w:eastAsia="Calibri" w:cs="Calibri"/>
          <w:sz w:val="21"/>
          <w:szCs w:val="21"/>
        </w:rPr>
      </w:pPr>
      <w:r>
        <w:rPr>
          <w:rFonts w:ascii="SimSun" w:hAnsi="SimSun" w:eastAsia="SimSun" w:cs="SimSun"/>
          <w:sz w:val="28"/>
          <w:szCs w:val="28"/>
        </w:rPr>
        <w:t>（4）</w:t>
      </w:r>
      <w:r>
        <w:rPr>
          <w:rFonts w:ascii="FangSong_GB2312" w:hAnsi="FangSong_GB2312" w:eastAsia="FangSong_GB2312" w:cs="FangSong_GB2312"/>
          <w:sz w:val="28"/>
          <w:szCs w:val="28"/>
        </w:rPr>
        <w:t>中标人负责所有人员的人事、劳资、社会保险、计生、基础培训的人事劳资管理工作，并提供为所有人员办理劳动用工手续（签订、终止或解除劳动合同，人员的调动手续等）、结算发放工资、发放经济补偿金、缴纳社会保险、处理保险理赔、管理人事档案、提供员工培训等方面的管理服务。中标人须按照规定为所有服务人员办理社会保险，并负责办理社保的理赔手续和发放保险补助。负责处理合同服务期内所有劳资纠纷和调解管理纠纷，落实采购人根据规章制度和工作需要提出的其他要求。</w:t>
      </w:r>
    </w:p>
    <w:p w14:paraId="55B58060">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（5）所有人员与中标人存在劳动法律关系（包括劳动合同关系、工资保险关系和劳动用工手续等），中标人为用人单位，服务人员与采购人只存在业务服务关系，不存在劳动法律关系。</w:t>
      </w:r>
    </w:p>
    <w:p w14:paraId="044C9583">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（6）所有人员入职后，如采购人要求，中标人有义务及时向采购人提供所有人员资料，包括个人信息、健康证、劳动合同或劳动关系档案编号、社会保险证明等个人资料，采购人承诺不随意对外泄露。</w:t>
      </w:r>
    </w:p>
    <w:p w14:paraId="1519B642">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（7）中标人应经常性对所有服务人员进行职业道德教育，监督检查所有服务人员执行采购人规章制度的情况，对违规违法人员进行处理，维护采购人正常的经营秩序。</w:t>
      </w:r>
    </w:p>
    <w:p w14:paraId="053A534C">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8）中标人应当妥善维护与服务人员的劳动关系，对于服务人员通过采购人向中标人提出的管理、服务等方面的投诉或建议，中标人均应三个工作日内进行处理，并在处理完毕后三个工作日以书面形式反馈结果至采购人。</w:t>
      </w:r>
    </w:p>
    <w:p w14:paraId="7413DA77">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（9）中标人应至少安排1名工作人员专门负责与采购人进行工作对接，对于采购人提出的各类工作事项及服务需求均应按时按质量处理，不得敷衍了事。</w:t>
      </w:r>
    </w:p>
    <w:p w14:paraId="2B706064">
      <w:pPr>
        <w:pStyle w:val="12"/>
        <w:spacing w:before="0" w:after="0" w:line="360" w:lineRule="auto"/>
        <w:ind w:left="0" w:right="0" w:firstLine="441"/>
        <w:jc w:val="both"/>
        <w:rPr>
          <w:rFonts w:ascii="Calibri" w:hAnsi="Calibri" w:eastAsia="Calibri" w:cs="Calibri"/>
          <w:sz w:val="21"/>
          <w:szCs w:val="21"/>
        </w:rPr>
      </w:pPr>
      <w:r>
        <w:rPr>
          <w:rFonts w:ascii="FangSong_GB2312" w:hAnsi="FangSong_GB2312" w:eastAsia="FangSong_GB2312" w:cs="FangSong_GB2312"/>
          <w:sz w:val="28"/>
          <w:szCs w:val="28"/>
        </w:rPr>
        <w:t>（10）中标人提供的所有服务人员（须按采购人要求，持证上岗）需经采购人审核。</w:t>
      </w:r>
    </w:p>
    <w:p w14:paraId="4D01FD9F">
      <w:pPr>
        <w:pStyle w:val="12"/>
        <w:spacing w:before="0" w:after="0" w:line="360" w:lineRule="auto"/>
        <w:ind w:left="0" w:right="0" w:firstLine="438"/>
        <w:jc w:val="both"/>
        <w:rPr>
          <w:rFonts w:ascii="Calibri" w:hAnsi="Calibri" w:eastAsia="Calibri" w:cs="Calibri"/>
          <w:sz w:val="21"/>
          <w:szCs w:val="21"/>
        </w:rPr>
      </w:pPr>
      <w:r>
        <w:rPr>
          <w:rFonts w:ascii="FangSong_GB2312" w:hAnsi="FangSong_GB2312" w:eastAsia="FangSong_GB2312" w:cs="FangSong_GB2312"/>
          <w:sz w:val="28"/>
          <w:szCs w:val="28"/>
        </w:rPr>
        <w:t>（11）中标人须按照法律规定，根据合同约定的时间和采购人核定的标准，及时、足额向所有服务人员支付每月工资，不得无故扣发工资，不得缩减或变更交付全额社会保险的险种。</w:t>
      </w:r>
    </w:p>
    <w:p w14:paraId="32307176">
      <w:pPr>
        <w:pStyle w:val="12"/>
        <w:spacing w:before="0" w:after="0" w:line="360" w:lineRule="auto"/>
        <w:ind w:left="0" w:right="0" w:firstLine="438"/>
        <w:jc w:val="both"/>
        <w:rPr>
          <w:rFonts w:ascii="Calibri" w:hAnsi="Calibri" w:eastAsia="Calibri" w:cs="Calibri"/>
          <w:sz w:val="21"/>
          <w:szCs w:val="21"/>
        </w:rPr>
      </w:pPr>
      <w:r>
        <w:rPr>
          <w:rFonts w:ascii="FangSong_GB2312" w:hAnsi="FangSong_GB2312" w:eastAsia="FangSong_GB2312" w:cs="FangSong_GB2312"/>
          <w:sz w:val="28"/>
          <w:szCs w:val="28"/>
        </w:rPr>
        <w:t>（12）采购人可为中标人部分项目服务人员提供早、中、晚三餐，用餐人员需严格按照采购人员相关要求错峰用餐，并按要求缴纳餐费。</w:t>
      </w:r>
    </w:p>
    <w:p w14:paraId="3D0D8DBB">
      <w:pPr>
        <w:pStyle w:val="2"/>
        <w:keepNext w:val="0"/>
        <w:spacing w:before="0" w:after="0" w:line="360" w:lineRule="auto"/>
        <w:jc w:val="center"/>
        <w:rPr>
          <w:rFonts w:ascii="仿宋_GB2312" w:hAnsi="仿宋_GB2312" w:eastAsia="仿宋_GB2312" w:cs="仿宋_GB2312"/>
          <w:b/>
          <w:bCs/>
          <w:sz w:val="32"/>
          <w:szCs w:val="32"/>
        </w:rPr>
      </w:pPr>
      <w:bookmarkStart w:id="19" w:name="_Toc256000017"/>
      <w:r>
        <w:rPr>
          <w:rFonts w:ascii="仿宋_GB2312" w:hAnsi="仿宋_GB2312" w:eastAsia="仿宋_GB2312" w:cs="仿宋_GB2312"/>
          <w:kern w:val="36"/>
        </w:rPr>
        <w:t>4人员要求</w:t>
      </w:r>
      <w:bookmarkEnd w:id="19"/>
    </w:p>
    <w:p w14:paraId="6E1C83EB">
      <w:pPr>
        <w:pStyle w:val="3"/>
        <w:keepNext w:val="0"/>
        <w:spacing w:before="0" w:after="0" w:line="360" w:lineRule="auto"/>
        <w:rPr>
          <w:rFonts w:ascii="仿宋_GB2312" w:hAnsi="仿宋_GB2312" w:eastAsia="仿宋_GB2312" w:cs="仿宋_GB2312"/>
          <w:b/>
          <w:bCs/>
          <w:sz w:val="28"/>
          <w:szCs w:val="28"/>
        </w:rPr>
      </w:pPr>
      <w:bookmarkStart w:id="20" w:name="_Toc256000018"/>
      <w:r>
        <w:rPr>
          <w:rFonts w:ascii="仿宋_GB2312" w:hAnsi="仿宋_GB2312" w:eastAsia="仿宋_GB2312" w:cs="仿宋_GB2312"/>
          <w:i w:val="0"/>
          <w:iCs w:val="0"/>
        </w:rPr>
        <w:t>4.1团队要求</w:t>
      </w:r>
      <w:bookmarkEnd w:id="20"/>
    </w:p>
    <w:p w14:paraId="45A470AD">
      <w:pPr>
        <w:pStyle w:val="4"/>
        <w:keepNext w:val="0"/>
        <w:spacing w:before="0" w:after="0" w:line="360" w:lineRule="auto"/>
        <w:rPr>
          <w:rFonts w:ascii="仿宋_GB2312" w:hAnsi="仿宋_GB2312" w:eastAsia="仿宋_GB2312" w:cs="仿宋_GB2312"/>
          <w:b/>
          <w:bCs/>
          <w:sz w:val="28"/>
          <w:szCs w:val="28"/>
        </w:rPr>
      </w:pPr>
      <w:bookmarkStart w:id="21" w:name="_Toc256000019"/>
      <w:r>
        <w:rPr>
          <w:rFonts w:ascii="仿宋_GB2312" w:hAnsi="仿宋_GB2312" w:eastAsia="仿宋_GB2312" w:cs="仿宋_GB2312"/>
          <w:sz w:val="28"/>
          <w:szCs w:val="28"/>
        </w:rPr>
        <w:t>4.1.1项目服务岗位设置要求</w:t>
      </w:r>
      <w:bookmarkEnd w:id="21"/>
    </w:p>
    <w:p w14:paraId="66A9CB45">
      <w:pPr>
        <w:pStyle w:val="12"/>
        <w:spacing w:before="0" w:after="0" w:line="360" w:lineRule="auto"/>
        <w:ind w:left="0" w:right="0" w:firstLine="438"/>
        <w:jc w:val="both"/>
        <w:rPr>
          <w:rFonts w:ascii="Calibri" w:hAnsi="Calibri" w:eastAsia="Calibri" w:cs="Calibri"/>
          <w:sz w:val="21"/>
          <w:szCs w:val="21"/>
        </w:rPr>
      </w:pPr>
      <w:r>
        <w:rPr>
          <w:rFonts w:ascii="FangSong_GB2312" w:hAnsi="FangSong_GB2312" w:eastAsia="FangSong_GB2312" w:cs="FangSong_GB2312"/>
          <w:sz w:val="28"/>
          <w:szCs w:val="28"/>
        </w:rPr>
        <w:t>①本项目岗位配置建议为60个，岗位配置以采购人的实际服务需要执行。合同履行期间，如需调整岗位数量及要求的，可以经采购人、中标人双方协商进行调整确定。</w:t>
      </w:r>
    </w:p>
    <w:p w14:paraId="58623A89">
      <w:pPr>
        <w:pStyle w:val="12"/>
        <w:spacing w:before="0" w:after="0" w:line="360" w:lineRule="auto"/>
        <w:ind w:left="0" w:right="0" w:firstLine="438"/>
        <w:jc w:val="both"/>
        <w:rPr>
          <w:rFonts w:ascii="Calibri" w:hAnsi="Calibri" w:eastAsia="Calibri" w:cs="Calibri"/>
          <w:sz w:val="21"/>
          <w:szCs w:val="21"/>
        </w:rPr>
      </w:pPr>
      <w:r>
        <w:rPr>
          <w:rFonts w:ascii="FangSong_GB2312" w:hAnsi="FangSong_GB2312" w:eastAsia="FangSong_GB2312" w:cs="FangSong_GB2312"/>
          <w:sz w:val="28"/>
          <w:szCs w:val="28"/>
        </w:rPr>
        <w:t>②服务的岗位配置建议如下：</w:t>
      </w:r>
    </w:p>
    <w:tbl>
      <w:tblPr>
        <w:tblStyle w:val="13"/>
        <w:tblW w:w="9610" w:type="dxa"/>
        <w:jc w:val="center"/>
        <w:tblCellSpacing w:w="0" w:type="dxa"/>
        <w:tblLayout w:type="autofit"/>
        <w:tblCellMar>
          <w:top w:w="15" w:type="dxa"/>
          <w:left w:w="15" w:type="dxa"/>
          <w:bottom w:w="15" w:type="dxa"/>
          <w:right w:w="15" w:type="dxa"/>
        </w:tblCellMar>
      </w:tblPr>
      <w:tblGrid>
        <w:gridCol w:w="1834"/>
        <w:gridCol w:w="5292"/>
        <w:gridCol w:w="2484"/>
      </w:tblGrid>
      <w:tr w14:paraId="2690B728">
        <w:tblPrEx>
          <w:tblCellMar>
            <w:top w:w="15" w:type="dxa"/>
            <w:left w:w="15" w:type="dxa"/>
            <w:bottom w:w="15" w:type="dxa"/>
            <w:right w:w="15" w:type="dxa"/>
          </w:tblCellMar>
        </w:tblPrEx>
        <w:trPr>
          <w:trHeight w:val="489" w:hRule="atLeast"/>
          <w:tblCellSpacing w:w="0" w:type="dxa"/>
          <w:jc w:val="center"/>
        </w:trPr>
        <w:tc>
          <w:tcPr>
            <w:tcW w:w="1831" w:type="dxa"/>
            <w:tcBorders>
              <w:top w:val="single" w:color="000000" w:sz="8" w:space="0"/>
              <w:left w:val="single" w:color="000000" w:sz="8" w:space="0"/>
              <w:bottom w:val="single" w:color="000000" w:sz="8" w:space="0"/>
              <w:right w:val="single" w:color="000000" w:sz="8" w:space="0"/>
            </w:tcBorders>
            <w:noWrap w:val="0"/>
            <w:tcMar>
              <w:top w:w="25" w:type="dxa"/>
              <w:left w:w="25" w:type="dxa"/>
              <w:bottom w:w="25" w:type="dxa"/>
              <w:right w:w="25" w:type="dxa"/>
            </w:tcMar>
            <w:vAlign w:val="center"/>
          </w:tcPr>
          <w:p w14:paraId="72B1A5F1">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序号</w:t>
            </w:r>
          </w:p>
        </w:tc>
        <w:tc>
          <w:tcPr>
            <w:tcW w:w="5281" w:type="dxa"/>
            <w:tcBorders>
              <w:top w:val="single" w:color="000000" w:sz="8" w:space="0"/>
              <w:bottom w:val="single" w:color="000000" w:sz="8" w:space="0"/>
              <w:right w:val="single" w:color="000000" w:sz="8" w:space="0"/>
            </w:tcBorders>
            <w:noWrap w:val="0"/>
            <w:tcMar>
              <w:top w:w="25" w:type="dxa"/>
              <w:left w:w="15" w:type="dxa"/>
              <w:bottom w:w="25" w:type="dxa"/>
              <w:right w:w="25" w:type="dxa"/>
            </w:tcMar>
            <w:vAlign w:val="center"/>
          </w:tcPr>
          <w:p w14:paraId="2CA274E6">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岗位</w:t>
            </w:r>
          </w:p>
        </w:tc>
        <w:tc>
          <w:tcPr>
            <w:tcW w:w="2479" w:type="dxa"/>
            <w:tcBorders>
              <w:top w:val="single" w:color="000000" w:sz="8" w:space="0"/>
              <w:bottom w:val="single" w:color="000000" w:sz="8" w:space="0"/>
              <w:right w:val="single" w:color="000000" w:sz="8" w:space="0"/>
            </w:tcBorders>
            <w:noWrap w:val="0"/>
            <w:tcMar>
              <w:top w:w="25" w:type="dxa"/>
              <w:left w:w="15" w:type="dxa"/>
              <w:bottom w:w="25" w:type="dxa"/>
              <w:right w:w="25" w:type="dxa"/>
            </w:tcMar>
            <w:vAlign w:val="center"/>
          </w:tcPr>
          <w:p w14:paraId="1898DCD3">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岗位数量</w:t>
            </w:r>
          </w:p>
        </w:tc>
      </w:tr>
      <w:tr w14:paraId="22AE175D">
        <w:tblPrEx>
          <w:tblCellMar>
            <w:top w:w="15" w:type="dxa"/>
            <w:left w:w="15" w:type="dxa"/>
            <w:bottom w:w="15" w:type="dxa"/>
            <w:right w:w="15" w:type="dxa"/>
          </w:tblCellMar>
        </w:tblPrEx>
        <w:trPr>
          <w:trHeight w:val="489" w:hRule="atLeast"/>
          <w:tblCellSpacing w:w="0" w:type="dxa"/>
          <w:jc w:val="center"/>
        </w:trPr>
        <w:tc>
          <w:tcPr>
            <w:tcW w:w="1831" w:type="dxa"/>
            <w:tcBorders>
              <w:left w:val="single" w:color="000000" w:sz="8" w:space="0"/>
              <w:bottom w:val="single" w:color="000000" w:sz="8" w:space="0"/>
              <w:right w:val="single" w:color="000000" w:sz="8" w:space="0"/>
            </w:tcBorders>
            <w:noWrap w:val="0"/>
            <w:tcMar>
              <w:top w:w="15" w:type="dxa"/>
              <w:left w:w="25" w:type="dxa"/>
              <w:bottom w:w="25" w:type="dxa"/>
              <w:right w:w="25" w:type="dxa"/>
            </w:tcMar>
            <w:vAlign w:val="center"/>
          </w:tcPr>
          <w:p w14:paraId="7346F345">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1</w:t>
            </w:r>
          </w:p>
        </w:tc>
        <w:tc>
          <w:tcPr>
            <w:tcW w:w="5281" w:type="dxa"/>
            <w:tcBorders>
              <w:bottom w:val="single" w:color="000000" w:sz="8" w:space="0"/>
              <w:right w:val="single" w:color="000000" w:sz="8" w:space="0"/>
            </w:tcBorders>
            <w:noWrap w:val="0"/>
            <w:tcMar>
              <w:top w:w="15" w:type="dxa"/>
              <w:left w:w="15" w:type="dxa"/>
              <w:bottom w:w="25" w:type="dxa"/>
              <w:right w:w="25" w:type="dxa"/>
            </w:tcMar>
            <w:vAlign w:val="center"/>
          </w:tcPr>
          <w:p w14:paraId="519B2594">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非执法类辅助岗（含主管）</w:t>
            </w:r>
          </w:p>
        </w:tc>
        <w:tc>
          <w:tcPr>
            <w:tcW w:w="2479" w:type="dxa"/>
            <w:tcBorders>
              <w:bottom w:val="single" w:color="000000" w:sz="8" w:space="0"/>
              <w:right w:val="single" w:color="000000" w:sz="8" w:space="0"/>
            </w:tcBorders>
            <w:noWrap w:val="0"/>
            <w:tcMar>
              <w:top w:w="15" w:type="dxa"/>
              <w:left w:w="15" w:type="dxa"/>
              <w:bottom w:w="25" w:type="dxa"/>
              <w:right w:w="25" w:type="dxa"/>
            </w:tcMar>
            <w:vAlign w:val="center"/>
          </w:tcPr>
          <w:p w14:paraId="7B118D78">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44</w:t>
            </w:r>
          </w:p>
        </w:tc>
      </w:tr>
      <w:tr w14:paraId="32BDC2BE">
        <w:tblPrEx>
          <w:tblCellMar>
            <w:top w:w="15" w:type="dxa"/>
            <w:left w:w="15" w:type="dxa"/>
            <w:bottom w:w="15" w:type="dxa"/>
            <w:right w:w="15" w:type="dxa"/>
          </w:tblCellMar>
        </w:tblPrEx>
        <w:trPr>
          <w:trHeight w:val="489" w:hRule="atLeast"/>
          <w:tblCellSpacing w:w="0" w:type="dxa"/>
          <w:jc w:val="center"/>
        </w:trPr>
        <w:tc>
          <w:tcPr>
            <w:tcW w:w="1831" w:type="dxa"/>
            <w:tcBorders>
              <w:left w:val="single" w:color="000000" w:sz="8" w:space="0"/>
              <w:bottom w:val="single" w:color="000000" w:sz="8" w:space="0"/>
              <w:right w:val="single" w:color="000000" w:sz="8" w:space="0"/>
            </w:tcBorders>
            <w:noWrap w:val="0"/>
            <w:tcMar>
              <w:top w:w="15" w:type="dxa"/>
              <w:left w:w="25" w:type="dxa"/>
              <w:bottom w:w="25" w:type="dxa"/>
              <w:right w:w="25" w:type="dxa"/>
            </w:tcMar>
            <w:vAlign w:val="center"/>
          </w:tcPr>
          <w:p w14:paraId="36C963FD">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2</w:t>
            </w:r>
          </w:p>
        </w:tc>
        <w:tc>
          <w:tcPr>
            <w:tcW w:w="5281" w:type="dxa"/>
            <w:tcBorders>
              <w:bottom w:val="single" w:color="000000" w:sz="8" w:space="0"/>
              <w:right w:val="single" w:color="000000" w:sz="8" w:space="0"/>
            </w:tcBorders>
            <w:noWrap w:val="0"/>
            <w:tcMar>
              <w:top w:w="15" w:type="dxa"/>
              <w:left w:w="15" w:type="dxa"/>
              <w:bottom w:w="25" w:type="dxa"/>
              <w:right w:w="25" w:type="dxa"/>
            </w:tcMar>
            <w:vAlign w:val="center"/>
          </w:tcPr>
          <w:p w14:paraId="796179BA">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公务用车驾驶服务岗</w:t>
            </w:r>
          </w:p>
        </w:tc>
        <w:tc>
          <w:tcPr>
            <w:tcW w:w="2479" w:type="dxa"/>
            <w:tcBorders>
              <w:bottom w:val="single" w:color="000000" w:sz="8" w:space="0"/>
              <w:right w:val="single" w:color="000000" w:sz="8" w:space="0"/>
            </w:tcBorders>
            <w:noWrap w:val="0"/>
            <w:tcMar>
              <w:top w:w="15" w:type="dxa"/>
              <w:left w:w="15" w:type="dxa"/>
              <w:bottom w:w="25" w:type="dxa"/>
              <w:right w:w="25" w:type="dxa"/>
            </w:tcMar>
            <w:vAlign w:val="center"/>
          </w:tcPr>
          <w:p w14:paraId="011823A2">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11</w:t>
            </w:r>
          </w:p>
        </w:tc>
      </w:tr>
      <w:tr w14:paraId="78AC5AEF">
        <w:tblPrEx>
          <w:tblCellMar>
            <w:top w:w="15" w:type="dxa"/>
            <w:left w:w="15" w:type="dxa"/>
            <w:bottom w:w="15" w:type="dxa"/>
            <w:right w:w="15" w:type="dxa"/>
          </w:tblCellMar>
        </w:tblPrEx>
        <w:trPr>
          <w:trHeight w:val="489" w:hRule="atLeast"/>
          <w:tblCellSpacing w:w="0" w:type="dxa"/>
          <w:jc w:val="center"/>
        </w:trPr>
        <w:tc>
          <w:tcPr>
            <w:tcW w:w="1831" w:type="dxa"/>
            <w:tcBorders>
              <w:left w:val="single" w:color="000000" w:sz="8" w:space="0"/>
              <w:bottom w:val="single" w:color="000000" w:sz="8" w:space="0"/>
              <w:right w:val="single" w:color="000000" w:sz="8" w:space="0"/>
            </w:tcBorders>
            <w:noWrap w:val="0"/>
            <w:tcMar>
              <w:top w:w="15" w:type="dxa"/>
              <w:left w:w="25" w:type="dxa"/>
              <w:bottom w:w="25" w:type="dxa"/>
              <w:right w:w="25" w:type="dxa"/>
            </w:tcMar>
            <w:vAlign w:val="center"/>
          </w:tcPr>
          <w:p w14:paraId="1A52A4E3">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3</w:t>
            </w:r>
          </w:p>
        </w:tc>
        <w:tc>
          <w:tcPr>
            <w:tcW w:w="5281" w:type="dxa"/>
            <w:tcBorders>
              <w:bottom w:val="single" w:color="000000" w:sz="8" w:space="0"/>
              <w:right w:val="single" w:color="000000" w:sz="8" w:space="0"/>
            </w:tcBorders>
            <w:noWrap w:val="0"/>
            <w:tcMar>
              <w:top w:w="15" w:type="dxa"/>
              <w:left w:w="15" w:type="dxa"/>
              <w:bottom w:w="25" w:type="dxa"/>
              <w:right w:w="25" w:type="dxa"/>
            </w:tcMar>
            <w:vAlign w:val="center"/>
          </w:tcPr>
          <w:p w14:paraId="6F8EEE82">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食堂服务岗（主厨岗）</w:t>
            </w:r>
          </w:p>
        </w:tc>
        <w:tc>
          <w:tcPr>
            <w:tcW w:w="2479" w:type="dxa"/>
            <w:tcBorders>
              <w:bottom w:val="single" w:color="000000" w:sz="8" w:space="0"/>
              <w:right w:val="single" w:color="000000" w:sz="8" w:space="0"/>
            </w:tcBorders>
            <w:noWrap w:val="0"/>
            <w:tcMar>
              <w:top w:w="15" w:type="dxa"/>
              <w:left w:w="15" w:type="dxa"/>
              <w:bottom w:w="25" w:type="dxa"/>
              <w:right w:w="25" w:type="dxa"/>
            </w:tcMar>
            <w:vAlign w:val="center"/>
          </w:tcPr>
          <w:p w14:paraId="6D91F41A">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1</w:t>
            </w:r>
          </w:p>
        </w:tc>
      </w:tr>
      <w:tr w14:paraId="4B32D30E">
        <w:tblPrEx>
          <w:tblCellMar>
            <w:top w:w="15" w:type="dxa"/>
            <w:left w:w="15" w:type="dxa"/>
            <w:bottom w:w="15" w:type="dxa"/>
            <w:right w:w="15" w:type="dxa"/>
          </w:tblCellMar>
        </w:tblPrEx>
        <w:trPr>
          <w:trHeight w:val="489" w:hRule="atLeast"/>
          <w:tblCellSpacing w:w="0" w:type="dxa"/>
          <w:jc w:val="center"/>
        </w:trPr>
        <w:tc>
          <w:tcPr>
            <w:tcW w:w="1831" w:type="dxa"/>
            <w:tcBorders>
              <w:left w:val="single" w:color="000000" w:sz="8" w:space="0"/>
              <w:bottom w:val="single" w:color="000000" w:sz="8" w:space="0"/>
              <w:right w:val="single" w:color="000000" w:sz="8" w:space="0"/>
            </w:tcBorders>
            <w:noWrap w:val="0"/>
            <w:tcMar>
              <w:top w:w="15" w:type="dxa"/>
              <w:left w:w="25" w:type="dxa"/>
              <w:bottom w:w="25" w:type="dxa"/>
              <w:right w:w="25" w:type="dxa"/>
            </w:tcMar>
            <w:vAlign w:val="center"/>
          </w:tcPr>
          <w:p w14:paraId="274B9469">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4</w:t>
            </w:r>
          </w:p>
        </w:tc>
        <w:tc>
          <w:tcPr>
            <w:tcW w:w="5282" w:type="dxa"/>
            <w:tcBorders>
              <w:bottom w:val="single" w:color="000000" w:sz="8" w:space="0"/>
              <w:right w:val="single" w:color="000000" w:sz="8" w:space="0"/>
            </w:tcBorders>
            <w:noWrap w:val="0"/>
            <w:tcMar>
              <w:top w:w="15" w:type="dxa"/>
              <w:left w:w="15" w:type="dxa"/>
              <w:bottom w:w="25" w:type="dxa"/>
              <w:right w:w="25" w:type="dxa"/>
            </w:tcMar>
            <w:vAlign w:val="center"/>
          </w:tcPr>
          <w:p w14:paraId="62CBA665">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食堂服务岗（辅厨岗）</w:t>
            </w:r>
          </w:p>
        </w:tc>
        <w:tc>
          <w:tcPr>
            <w:tcW w:w="2479" w:type="dxa"/>
            <w:tcBorders>
              <w:bottom w:val="single" w:color="000000" w:sz="8" w:space="0"/>
              <w:right w:val="single" w:color="000000" w:sz="8" w:space="0"/>
            </w:tcBorders>
            <w:noWrap w:val="0"/>
            <w:tcMar>
              <w:top w:w="15" w:type="dxa"/>
              <w:left w:w="15" w:type="dxa"/>
              <w:bottom w:w="25" w:type="dxa"/>
              <w:right w:w="25" w:type="dxa"/>
            </w:tcMar>
            <w:vAlign w:val="center"/>
          </w:tcPr>
          <w:p w14:paraId="4BCC8652">
            <w:pPr>
              <w:pStyle w:val="12"/>
              <w:spacing w:before="0" w:after="0" w:line="315" w:lineRule="atLeast"/>
              <w:ind w:left="0" w:right="0"/>
              <w:jc w:val="center"/>
              <w:rPr>
                <w:rFonts w:ascii="Calibri" w:hAnsi="Calibri" w:eastAsia="Calibri" w:cs="Calibri"/>
                <w:b w:val="0"/>
                <w:bCs w:val="0"/>
                <w:i w:val="0"/>
                <w:iCs w:val="0"/>
                <w:smallCaps w:val="0"/>
                <w:color w:val="000000"/>
                <w:sz w:val="21"/>
                <w:szCs w:val="21"/>
              </w:rPr>
            </w:pPr>
            <w:r>
              <w:rPr>
                <w:rFonts w:ascii="FangSong_GB2312" w:hAnsi="FangSong_GB2312" w:eastAsia="FangSong_GB2312" w:cs="FangSong_GB2312"/>
                <w:b w:val="0"/>
                <w:bCs w:val="0"/>
                <w:i w:val="0"/>
                <w:iCs w:val="0"/>
                <w:smallCaps w:val="0"/>
                <w:color w:val="000000"/>
                <w:sz w:val="28"/>
                <w:szCs w:val="28"/>
              </w:rPr>
              <w:t>4</w:t>
            </w:r>
          </w:p>
        </w:tc>
      </w:tr>
    </w:tbl>
    <w:p w14:paraId="4A34849F">
      <w:pPr>
        <w:pStyle w:val="2"/>
        <w:keepNext w:val="0"/>
        <w:spacing w:before="0" w:after="0" w:line="360" w:lineRule="auto"/>
        <w:jc w:val="center"/>
        <w:rPr>
          <w:rFonts w:ascii="仿宋_GB2312" w:hAnsi="仿宋_GB2312" w:eastAsia="仿宋_GB2312" w:cs="仿宋_GB2312"/>
          <w:b/>
          <w:bCs/>
          <w:sz w:val="32"/>
          <w:szCs w:val="32"/>
        </w:rPr>
      </w:pPr>
      <w:bookmarkStart w:id="22" w:name="_Toc256000020"/>
      <w:r>
        <w:rPr>
          <w:rFonts w:ascii="仿宋_GB2312" w:hAnsi="仿宋_GB2312" w:eastAsia="仿宋_GB2312" w:cs="仿宋_GB2312"/>
          <w:kern w:val="36"/>
        </w:rPr>
        <w:t>5管理实施要求</w:t>
      </w:r>
      <w:bookmarkEnd w:id="22"/>
    </w:p>
    <w:p w14:paraId="7DA4931F">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b/>
          <w:bCs/>
          <w:sz w:val="28"/>
          <w:szCs w:val="28"/>
        </w:rPr>
        <w:t>（一）投标价格</w:t>
      </w:r>
    </w:p>
    <w:p w14:paraId="0DD8C6B1">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1.本项目投标报价包含但不限于项目人员服务费等。采购人仅向中标人支付购买服务的费用，服务人员的薪酬、社会保险、公积金、节日慰问、入职及年度体检、加班费、差旅费、培训费、服装费、人员工伤和其他意外造成的损失及其他因履行本项目所产生的全部费用均由中标人负责。</w:t>
      </w:r>
    </w:p>
    <w:p w14:paraId="0ED4B6AC">
      <w:pPr>
        <w:pStyle w:val="12"/>
        <w:spacing w:before="0" w:after="0" w:line="360" w:lineRule="auto"/>
        <w:ind w:left="0" w:right="62" w:firstLine="436"/>
        <w:rPr>
          <w:rFonts w:ascii="Calibri" w:hAnsi="Calibri" w:eastAsia="Calibri" w:cs="Calibri"/>
          <w:sz w:val="21"/>
          <w:szCs w:val="21"/>
        </w:rPr>
      </w:pPr>
      <w:r>
        <w:rPr>
          <w:rFonts w:ascii="FangSong_GB2312" w:hAnsi="FangSong_GB2312" w:eastAsia="FangSong_GB2312" w:cs="FangSong_GB2312"/>
          <w:spacing w:val="-4"/>
          <w:sz w:val="28"/>
          <w:szCs w:val="28"/>
        </w:rPr>
        <w:t>2.投标人应根据本企业的经营成本及风险评估自行决定报价，岗位配置表数量及各项服务费用明细，需同时提交独立的详细的报价明细说明。</w:t>
      </w:r>
    </w:p>
    <w:p w14:paraId="3150D822">
      <w:pPr>
        <w:pStyle w:val="12"/>
        <w:spacing w:before="0" w:after="0" w:line="360" w:lineRule="auto"/>
        <w:ind w:left="0" w:right="0" w:firstLine="425"/>
        <w:jc w:val="both"/>
        <w:rPr>
          <w:rFonts w:ascii="Calibri" w:hAnsi="Calibri" w:eastAsia="Calibri" w:cs="Calibri"/>
          <w:sz w:val="21"/>
          <w:szCs w:val="21"/>
        </w:rPr>
      </w:pPr>
      <w:r>
        <w:rPr>
          <w:rFonts w:ascii="FangSong_GB2312" w:hAnsi="FangSong_GB2312" w:eastAsia="FangSong_GB2312" w:cs="FangSong_GB2312"/>
          <w:spacing w:val="-2"/>
          <w:sz w:val="28"/>
          <w:szCs w:val="28"/>
        </w:rPr>
        <w:t>3.投标人应充分了解项目的位置、情况及任何其他足以影响投标报价的情况，任何因忽视或误解项目情况而导致索赔或服务期限延长申请将不获批准。</w:t>
      </w:r>
    </w:p>
    <w:p w14:paraId="5BC7FC6D">
      <w:pPr>
        <w:pStyle w:val="12"/>
        <w:spacing w:before="0" w:after="0" w:line="360" w:lineRule="auto"/>
        <w:ind w:left="0" w:right="0" w:firstLine="425"/>
        <w:jc w:val="both"/>
        <w:rPr>
          <w:rFonts w:ascii="Calibri" w:hAnsi="Calibri" w:eastAsia="Calibri" w:cs="Calibri"/>
          <w:sz w:val="21"/>
          <w:szCs w:val="21"/>
        </w:rPr>
      </w:pPr>
      <w:r>
        <w:rPr>
          <w:rFonts w:ascii="FangSong_GB2312" w:hAnsi="FangSong_GB2312" w:eastAsia="FangSong_GB2312" w:cs="FangSong_GB2312"/>
          <w:spacing w:val="-2"/>
          <w:sz w:val="28"/>
          <w:szCs w:val="28"/>
        </w:rPr>
        <w:t>4.投标人不得以弄虚作假，违规手段期望通过索赔等方式获取补偿，否则，除可能遭到拒绝外，还可能将被作为不良行为记录在案，并可能影响其以后参加政府采购的项目投标。各投标人在投标报价时，应充分考虑投标报价的风险。</w:t>
      </w:r>
    </w:p>
    <w:p w14:paraId="1D49A2A6">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5.中标人应按采购人要求负责组织本项目服务人员的工作服装及上岗标识、入职体检和年度体检，相关费用由中标人支付。（提供承诺函）</w:t>
      </w:r>
    </w:p>
    <w:p w14:paraId="6DE9A7D4">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6.中标人应充分了解因采购人的工作安排可能发生的差旅费，所需金额预估为5万元/年。本项目服务人员（一般是公务用车驾驶服务岗人员）的差旅费（包括住宿费、伙食补助等出差费用），由中标人向采购人核实后，由中标人支付。</w:t>
      </w:r>
    </w:p>
    <w:p w14:paraId="74BCBCAC">
      <w:pPr>
        <w:pStyle w:val="12"/>
        <w:spacing w:before="0" w:after="0" w:line="360" w:lineRule="auto"/>
        <w:ind w:left="0" w:right="0" w:firstLine="510"/>
        <w:jc w:val="both"/>
        <w:rPr>
          <w:rFonts w:ascii="Calibri" w:hAnsi="Calibri" w:eastAsia="Calibri" w:cs="Calibri"/>
          <w:sz w:val="21"/>
          <w:szCs w:val="21"/>
        </w:rPr>
      </w:pPr>
      <w:r>
        <w:rPr>
          <w:rFonts w:ascii="FangSong_GB2312" w:hAnsi="FangSong_GB2312" w:eastAsia="FangSong_GB2312" w:cs="FangSong_GB2312"/>
          <w:sz w:val="28"/>
          <w:szCs w:val="28"/>
        </w:rPr>
        <w:t>7.中标人根据有关法律法规与采购单位签订非执法类辅助及后勤服务合同，对项目人员实行统一管理，提供相应服务，在服务期限内因中标人原因造成的所有损失或法律责任，均由中标人承担，采购人将不承担任何费用及责任。（须提供承诺函）</w:t>
      </w:r>
    </w:p>
    <w:p w14:paraId="49E44BB9">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b/>
          <w:bCs/>
          <w:sz w:val="28"/>
          <w:szCs w:val="28"/>
        </w:rPr>
        <w:t>（二）服务具体内容及要求</w:t>
      </w:r>
    </w:p>
    <w:p w14:paraId="1DA00D9E">
      <w:pPr>
        <w:pStyle w:val="14"/>
        <w:spacing w:before="0" w:after="0" w:line="360" w:lineRule="auto"/>
        <w:ind w:firstLine="422"/>
        <w:rPr>
          <w:rFonts w:ascii="SimSun" w:hAnsi="SimSun" w:eastAsia="SimSun" w:cs="SimSun"/>
        </w:rPr>
      </w:pPr>
      <w:r>
        <w:rPr>
          <w:rFonts w:ascii="FangSong_GB2312" w:hAnsi="FangSong_GB2312" w:eastAsia="FangSong_GB2312" w:cs="FangSong_GB2312"/>
          <w:b/>
          <w:bCs/>
          <w:sz w:val="28"/>
          <w:szCs w:val="28"/>
        </w:rPr>
        <w:t>1.非执法类辅助服务岗</w:t>
      </w:r>
    </w:p>
    <w:p w14:paraId="459FAB26">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主要负责税费指引服务、税费咨询服务、信息录入服务、税费辅导服务、远程协助服务、协助维护办税服务厅正常秩序和舆情监控，协助完成各项考核工作和采购人交办的其他工作任务，具体岗位要求如下：</w:t>
      </w:r>
    </w:p>
    <w:p w14:paraId="3439C271">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（1）税费指引服务：了解纳税人缴费人的涉税（费）诉求，协助纳税人缴费人进行取号，引导纳税人缴费人到对应窗口办理涉税（费）业务；分流入厅办税（费）人员，避免造成办税服务厅、服务网点拥堵。</w:t>
      </w:r>
    </w:p>
    <w:p w14:paraId="156A530A">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（2）税费咨询服务：解答纳税人缴费人办税（费）过程中遇到的涉税（费）相关问题，接听对外公开电话；受理投诉、意见建议。</w:t>
      </w:r>
    </w:p>
    <w:p w14:paraId="0188D00E">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3）信息录入服务：负责根据业务办理资料，将资料的相关信息完整、准确地录入相关业务系统，提交推送相关审核岗位。根据业务资料电子化的需要，开展数据录入、影像扫描工作，确保纸质资料于电子资料的一致性、完整性。</w:t>
      </w:r>
    </w:p>
    <w:p w14:paraId="6567CC9C">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4）税费辅导服务：辅助纳税人缴费人使用电子税务局、自然人电子税务局等平台并完成各类涉税（费）业务；辅导纳税人缴费人通过微信、支付宝、微信公众号、网上银行、二维码扫码等方式自助完成税费缴纳；根据纳税人缴费人需求，提供申请、申报等表单，辅导并协助其在电子税务局进行相关数据的登记录入，推行贴心化服务，促使纳税人缴费人逐步适应税费事项全程“网上办”。</w:t>
      </w:r>
    </w:p>
    <w:p w14:paraId="6A36C7CF">
      <w:pPr>
        <w:pStyle w:val="14"/>
        <w:spacing w:before="0" w:after="0" w:line="360" w:lineRule="auto"/>
        <w:ind w:firstLine="420"/>
        <w:rPr>
          <w:rFonts w:ascii="SimSun" w:hAnsi="SimSun" w:eastAsia="SimSun" w:cs="SimSun"/>
        </w:rPr>
      </w:pPr>
      <w:r>
        <w:rPr>
          <w:rFonts w:ascii="FangSong_GB2312" w:hAnsi="FangSong_GB2312" w:eastAsia="FangSong_GB2312" w:cs="FangSong_GB2312"/>
          <w:sz w:val="28"/>
          <w:szCs w:val="28"/>
        </w:rPr>
        <w:t>（5）远程协助服务：协助税务机关设置纳税人涉税远程协助服务工作开展，在线对纳税认税务咨询、涉税辅导提供在线服务。</w:t>
      </w:r>
    </w:p>
    <w:p w14:paraId="388BAA58">
      <w:pPr>
        <w:pStyle w:val="14"/>
        <w:spacing w:before="0" w:after="0" w:line="360" w:lineRule="auto"/>
        <w:ind w:firstLine="422"/>
        <w:rPr>
          <w:rFonts w:ascii="SimSun" w:hAnsi="SimSun" w:eastAsia="SimSun" w:cs="SimSun"/>
        </w:rPr>
      </w:pPr>
      <w:r>
        <w:rPr>
          <w:rFonts w:ascii="FangSong_GB2312" w:hAnsi="FangSong_GB2312" w:eastAsia="FangSong_GB2312" w:cs="FangSong_GB2312"/>
          <w:b/>
          <w:bCs/>
          <w:sz w:val="28"/>
          <w:szCs w:val="28"/>
        </w:rPr>
        <w:t>2.公务用车驾驶服务岗</w:t>
      </w:r>
    </w:p>
    <w:p w14:paraId="3B9A2846">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（1）未安排出勤的驾驶员应按时上下班，坚守工作岗位，在司机室等候出车；当天机动应急值班小组人员必须保持24小时通讯畅通，随叫随到。</w:t>
      </w:r>
    </w:p>
    <w:p w14:paraId="4AE82888">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（2）安排出勤的驾驶员应准时出车，不得误点；出车后，按审核过的公差派车单出勤，不私自出车，不擅自将车辆交给非驾驶员驾驶。</w:t>
      </w:r>
    </w:p>
    <w:p w14:paraId="068DDCE1">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（3）做好使用车辆的洗护工作，保持车辆外部干净无污渍，内部整洁无异味。</w:t>
      </w:r>
    </w:p>
    <w:p w14:paraId="2AD187E9">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（4）做好使用车辆的日常检查维护保养工作，发现故障及时报备维修，消除事故隐患，做到不带故障出车。</w:t>
      </w:r>
    </w:p>
    <w:p w14:paraId="6B31EF79">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（5）检查使用车辆的水、电、油及其他性能是否正常，发现不正常时，要立即加补或调整。</w:t>
      </w:r>
    </w:p>
    <w:p w14:paraId="24426AE3">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（6）出车执行任务应严格遵守交通规则，安全驾驶。发生交通意外要保护好现场，并及时报告当地公安交警部门、投保的保险公司，同时要及时报告，不得隐瞒不报。</w:t>
      </w:r>
    </w:p>
    <w:p w14:paraId="636D73CE">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（7）驾驶员出车执行任务，遇特殊情况不能按时返回的，应及时向公务用车管理岗说明原因。</w:t>
      </w:r>
    </w:p>
    <w:p w14:paraId="54C6B4A3">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（8）出车在外或出车归来应安全停放车辆，锁好保险锁，保管好车辆和证件，严防丢失。</w:t>
      </w:r>
    </w:p>
    <w:p w14:paraId="56A35D4A">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（9）出车归来应做好车辆交接手续；完成出车任务后应及时向公务用车管理岗报告，并对车辆进行安全检查后归库。</w:t>
      </w:r>
    </w:p>
    <w:p w14:paraId="01848DEA">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（10）日常工作中应注重保持个人仪容仪表；出车时要讲文明、懂礼貌，保证优质服务。</w:t>
      </w:r>
    </w:p>
    <w:p w14:paraId="704C856A">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（11）完成采购人交办的其他事项。</w:t>
      </w:r>
    </w:p>
    <w:p w14:paraId="4129E8E8">
      <w:pPr>
        <w:pStyle w:val="14"/>
        <w:spacing w:before="0" w:after="0" w:line="360" w:lineRule="auto"/>
        <w:ind w:firstLine="422"/>
        <w:rPr>
          <w:rFonts w:ascii="SimSun" w:hAnsi="SimSun" w:eastAsia="SimSun" w:cs="SimSun"/>
        </w:rPr>
      </w:pPr>
      <w:r>
        <w:rPr>
          <w:rFonts w:ascii="FangSong_GB2312" w:hAnsi="FangSong_GB2312" w:eastAsia="FangSong_GB2312" w:cs="FangSong_GB2312"/>
          <w:b/>
          <w:bCs/>
          <w:sz w:val="28"/>
          <w:szCs w:val="28"/>
        </w:rPr>
        <w:t>3.食堂服务岗</w:t>
      </w:r>
    </w:p>
    <w:p w14:paraId="660622F5">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①　仓库管理员和厨房相关负责人对购进食品物品进行监秤、检查质量及验收，并履行签收和入库手续。</w:t>
      </w:r>
    </w:p>
    <w:p w14:paraId="242813F5">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②　做好食品储存工作，采取有效措施确保食品材料新鲜、洁净，无污染、无变质，成品存放实行“四隔离”（即生与熟隔离，成品与半成品隔离，食物与药物隔离，食品与天然水、冰隔离）。</w:t>
      </w:r>
    </w:p>
    <w:p w14:paraId="30553806">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③　做好食品材料加工工作，不加工变质原料，确保食品卫生安全。</w:t>
      </w:r>
    </w:p>
    <w:p w14:paraId="7DB84185">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④　对原料做到先进先出，随时检查，不得使用任何霉变、有异味等变质食材原料。食材当天使用的食品实行验收领用制，办理签收领用手续。需提前储备的食品、物品经仓库管理员验收入库后，办理进出仓手续。</w:t>
      </w:r>
    </w:p>
    <w:p w14:paraId="0A6AEB66">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⑤　食堂工作环境实行每日清扫、每周大扫除制度，采取有效措施预防和消灭“四害”，建立健全安全卫生管理制度。</w:t>
      </w:r>
    </w:p>
    <w:p w14:paraId="6359F81B">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⑥　对餐后用具务必做到“四过关”（即“一冲、二刷、三洗、四消毒”），冲洗干净后放入消毒柜进行高温消毒，清洁餐具不能有洗涤用品、食物残渣、油渍残留。</w:t>
      </w:r>
    </w:p>
    <w:p w14:paraId="5C63E6E5">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⑦　对厨房操作间设备设施与用具实行“定置管理”，按岗位包干负责，做到摆放整齐有序，无油无尘；地面无污水、无杂物。操作间和取餐区域安装视频监控设备，实行“明厨亮灶工程”，接受监督。</w:t>
      </w:r>
    </w:p>
    <w:p w14:paraId="05C4BC6C">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⑧　食品操作台应将生熟食品分开处理，刀、砧板、抹布必须保持清洁卫生；砧板在贮藏过程中如有变质、变味、腐坏应及时更换。</w:t>
      </w:r>
    </w:p>
    <w:p w14:paraId="3B52D967">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⑨　蔬菜清洁加工时应做到“一拣、二洗、三浸、四检测”，保证无腐败、无杂物，必须保证菜品干净卫生。</w:t>
      </w:r>
    </w:p>
    <w:p w14:paraId="3FFBEF57">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⑩　厨师配合厨房管理岗指示要求，带领厨房人员做好每日工作，确保厨房工作正常运转。制定每周营养健康食谱，并积极听取干部职工意见建议，不断提升出品质量。</w:t>
      </w:r>
    </w:p>
    <w:p w14:paraId="6E0D5A43">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⑪　注意个人卫生，勤洗手、勤剪指甲、勤理发、勤洗工作服，保持个人仪容仪表。进入后厨区域必须穿着工作服，正确佩戴厨师帽（不外露头发），正确佩戴口罩。</w:t>
      </w:r>
    </w:p>
    <w:p w14:paraId="7813C247">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⑫　严格遵守用火、用气安全等相关规定，在显著位置张贴各类紧急报警电话号码。出现突发事件进行基本的应急处理，包括停水、停电、设备故障、火情、食物中毒等。</w:t>
      </w:r>
    </w:p>
    <w:p w14:paraId="340E3E15">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⑬　做好食品留样存储，按要求每餐对直接入口的食品进行留样。</w:t>
      </w:r>
    </w:p>
    <w:p w14:paraId="37A2C93F">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⑭　下班后需对厨房内容易发生危险的地方认真检查，储存好各种食品，杜绝食物中毒事件的发生；关好电源、水源、天然气，锁好门窗方可离开。</w:t>
      </w:r>
    </w:p>
    <w:p w14:paraId="13A43A1D">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⑮　完成采购人交办的其他事项。</w:t>
      </w:r>
    </w:p>
    <w:p w14:paraId="59089C97">
      <w:pPr>
        <w:pStyle w:val="14"/>
        <w:spacing w:before="0" w:after="0" w:line="360" w:lineRule="auto"/>
        <w:ind w:firstLine="422"/>
        <w:rPr>
          <w:rFonts w:ascii="SimSun" w:hAnsi="SimSun" w:eastAsia="SimSun" w:cs="SimSun"/>
        </w:rPr>
      </w:pPr>
      <w:r>
        <w:rPr>
          <w:rFonts w:ascii="FangSong_GB2312" w:hAnsi="FangSong_GB2312" w:eastAsia="FangSong_GB2312" w:cs="FangSong_GB2312"/>
          <w:b/>
          <w:bCs/>
          <w:sz w:val="28"/>
          <w:szCs w:val="28"/>
        </w:rPr>
        <w:t>4.其他服务</w:t>
      </w:r>
    </w:p>
    <w:p w14:paraId="53026307">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（1）临时性的加班服务，按采购人需求进行提供；</w:t>
      </w:r>
    </w:p>
    <w:p w14:paraId="1262A70F">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（2）因工作需要而增设的非执法类辅助及后勤服务岗，岗位内容由采购人和中标人另行协商确定。</w:t>
      </w:r>
    </w:p>
    <w:p w14:paraId="2414F3D6">
      <w:pPr>
        <w:pStyle w:val="2"/>
        <w:keepNext w:val="0"/>
        <w:spacing w:before="0" w:after="0" w:line="360" w:lineRule="auto"/>
        <w:jc w:val="center"/>
        <w:rPr>
          <w:rFonts w:ascii="仿宋_GB2312" w:hAnsi="仿宋_GB2312" w:eastAsia="仿宋_GB2312" w:cs="仿宋_GB2312"/>
          <w:b/>
          <w:bCs/>
          <w:sz w:val="32"/>
          <w:szCs w:val="32"/>
        </w:rPr>
      </w:pPr>
      <w:bookmarkStart w:id="23" w:name="_Toc256000021"/>
      <w:r>
        <w:rPr>
          <w:rFonts w:ascii="仿宋_GB2312" w:hAnsi="仿宋_GB2312" w:eastAsia="仿宋_GB2312" w:cs="仿宋_GB2312"/>
          <w:kern w:val="36"/>
        </w:rPr>
        <w:t>6风险管控要求</w:t>
      </w:r>
      <w:bookmarkEnd w:id="23"/>
    </w:p>
    <w:p w14:paraId="264D8ADE">
      <w:pPr>
        <w:pStyle w:val="12"/>
        <w:spacing w:before="0" w:after="0" w:line="360" w:lineRule="auto"/>
        <w:ind w:left="0" w:right="0" w:firstLine="420"/>
        <w:jc w:val="both"/>
        <w:rPr>
          <w:rFonts w:ascii="Calibri" w:hAnsi="Calibri" w:eastAsia="Calibri" w:cs="Calibri"/>
          <w:sz w:val="21"/>
          <w:szCs w:val="21"/>
        </w:rPr>
      </w:pPr>
      <w:r>
        <w:rPr>
          <w:rFonts w:ascii="SimSun" w:hAnsi="SimSun" w:eastAsia="SimSun" w:cs="SimSun"/>
          <w:sz w:val="28"/>
          <w:szCs w:val="28"/>
        </w:rPr>
        <w:t>（</w:t>
      </w:r>
      <w:r>
        <w:rPr>
          <w:rFonts w:ascii="FangSong_GB2312" w:hAnsi="FangSong_GB2312" w:eastAsia="FangSong_GB2312" w:cs="FangSong_GB2312"/>
          <w:sz w:val="28"/>
          <w:szCs w:val="28"/>
        </w:rPr>
        <w:t>1）不按规定签订或者履行合同应对措施</w:t>
      </w:r>
      <w:r>
        <w:rPr>
          <w:rFonts w:ascii="SimSun" w:hAnsi="SimSun" w:eastAsia="SimSun" w:cs="SimSun"/>
          <w:sz w:val="28"/>
          <w:szCs w:val="28"/>
        </w:rPr>
        <w:t>：</w:t>
      </w:r>
    </w:p>
    <w:p w14:paraId="6DBC5B1D">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若中标供应商拒绝与采购人签订合同的，采购人可以按照评审报告推荐的中标或者成交候选人名单排序，确定下一候选人为中标供应商，也可以重新开展政府采购活动。</w:t>
      </w:r>
    </w:p>
    <w:p w14:paraId="134D271B">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若履约出现问题，采购方按照招标文件规定的履约担保、考核机制、退出机制对中标供应商进行约束，保障合同顺利履行。</w:t>
      </w:r>
    </w:p>
    <w:p w14:paraId="50570699">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（2）出现损害国家利益和社会公共利益情形应对措施：</w:t>
      </w:r>
    </w:p>
    <w:p w14:paraId="538B9AA6">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加强对中标人的履约管理，并按照采购合同约定履行合同，对于中标人违反采购合同约定的行为、出现损害国家利益以及社会公共利益情形，及时处理，依法追究其违约责任，采购方将该情况报告相关政府采购监督管理部门。</w:t>
      </w:r>
    </w:p>
    <w:p w14:paraId="025676E1">
      <w:pPr>
        <w:pStyle w:val="2"/>
        <w:keepNext w:val="0"/>
        <w:spacing w:before="0" w:after="0" w:line="360" w:lineRule="auto"/>
        <w:jc w:val="center"/>
        <w:rPr>
          <w:rFonts w:ascii="仿宋_GB2312" w:hAnsi="仿宋_GB2312" w:eastAsia="仿宋_GB2312" w:cs="仿宋_GB2312"/>
          <w:b/>
          <w:bCs/>
          <w:sz w:val="32"/>
          <w:szCs w:val="32"/>
        </w:rPr>
      </w:pPr>
      <w:bookmarkStart w:id="24" w:name="_Toc256000022"/>
      <w:r>
        <w:rPr>
          <w:rFonts w:ascii="仿宋_GB2312" w:hAnsi="仿宋_GB2312" w:eastAsia="仿宋_GB2312" w:cs="仿宋_GB2312"/>
          <w:kern w:val="36"/>
        </w:rPr>
        <w:t>7履约验收要求</w:t>
      </w:r>
      <w:bookmarkEnd w:id="24"/>
    </w:p>
    <w:p w14:paraId="6EA61AD7">
      <w:pPr>
        <w:pStyle w:val="3"/>
        <w:keepNext w:val="0"/>
        <w:spacing w:before="0" w:after="0" w:line="360" w:lineRule="auto"/>
        <w:rPr>
          <w:rFonts w:ascii="仿宋_GB2312" w:hAnsi="仿宋_GB2312" w:eastAsia="仿宋_GB2312" w:cs="仿宋_GB2312"/>
          <w:b/>
          <w:bCs/>
          <w:sz w:val="28"/>
          <w:szCs w:val="28"/>
        </w:rPr>
      </w:pPr>
      <w:bookmarkStart w:id="25" w:name="_Toc256000023"/>
      <w:r>
        <w:rPr>
          <w:rFonts w:ascii="仿宋_GB2312" w:hAnsi="仿宋_GB2312" w:eastAsia="仿宋_GB2312" w:cs="仿宋_GB2312"/>
          <w:i w:val="0"/>
          <w:iCs w:val="0"/>
        </w:rPr>
        <w:t>7.1总体要求</w:t>
      </w:r>
      <w:bookmarkEnd w:id="25"/>
    </w:p>
    <w:tbl>
      <w:tblPr>
        <w:tblStyle w:val="9"/>
        <w:tblW w:w="5000" w:type="pct"/>
        <w:tblInd w:w="30" w:type="dxa"/>
        <w:tblLayout w:type="autofit"/>
        <w:tblCellMar>
          <w:top w:w="15" w:type="dxa"/>
          <w:left w:w="15" w:type="dxa"/>
          <w:bottom w:w="15" w:type="dxa"/>
          <w:right w:w="15" w:type="dxa"/>
        </w:tblCellMar>
      </w:tblPr>
      <w:tblGrid>
        <w:gridCol w:w="4532"/>
        <w:gridCol w:w="4532"/>
      </w:tblGrid>
      <w:tr w14:paraId="1046668F">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F59EBBE">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验收名称</w:t>
            </w:r>
          </w:p>
        </w:tc>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72333A2B">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验收要求</w:t>
            </w:r>
          </w:p>
        </w:tc>
      </w:tr>
      <w:tr w14:paraId="743492F2">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B1276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4E82A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2003CA26">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067C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6007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54097B6F">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1B2F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第3次验收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543D2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45CCA952">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F0BCC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第4次验收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A9E5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06F42234">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9D78C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第5次验收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4F862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4F78C149">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BA57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第6次验收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A9262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17B69EE3">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1A169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第7次验收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521A7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4317779B">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3564E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第8次验收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52FF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2AC3E41C">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7F48C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第9次验收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E8DF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3762F2A3">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74810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第10次验收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55E7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15180BAD">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D828A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5D81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331E857C">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B80F3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第12次验收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51EE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6B4845F1">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2A82C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第13次验收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66E9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641FFD92">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0F840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第14次验收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09AE0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7BA0E41D">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D4F3A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第15次验收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52163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54FAFCBF">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97114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第16次验收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4C044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2A9DCF03">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2151A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第17次验收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1A90D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33C9672D">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ED56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第18次验收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31849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506B7D58">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B2DCA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第19次验收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5039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21DC9625">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DAB78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第20次验收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41FD6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7D96EF2E">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C20E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F3B33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063E158D">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04528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第22次验收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737E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184C8402">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53018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第23次验收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02BB0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r w14:paraId="55FB65D2">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E995F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第24次验收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F362A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采购人对中标人的服务工作进行考核，原则上每月考核一次，采用综合考评办法</w:t>
            </w:r>
          </w:p>
        </w:tc>
      </w:tr>
    </w:tbl>
    <w:p w14:paraId="11E1C5D0">
      <w:pPr>
        <w:pStyle w:val="3"/>
        <w:keepNext w:val="0"/>
        <w:spacing w:before="0" w:after="0" w:line="360" w:lineRule="auto"/>
        <w:rPr>
          <w:rFonts w:ascii="仿宋_GB2312" w:hAnsi="仿宋_GB2312" w:eastAsia="仿宋_GB2312" w:cs="仿宋_GB2312"/>
          <w:b/>
          <w:bCs/>
          <w:sz w:val="28"/>
          <w:szCs w:val="28"/>
        </w:rPr>
      </w:pPr>
      <w:bookmarkStart w:id="26" w:name="_Toc256000024"/>
      <w:r>
        <w:rPr>
          <w:rFonts w:ascii="仿宋_GB2312" w:hAnsi="仿宋_GB2312" w:eastAsia="仿宋_GB2312" w:cs="仿宋_GB2312"/>
          <w:i w:val="0"/>
          <w:iCs w:val="0"/>
        </w:rPr>
        <w:t>7.2具体要求</w:t>
      </w:r>
      <w:bookmarkEnd w:id="26"/>
    </w:p>
    <w:p w14:paraId="6A6E52AA">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b/>
          <w:bCs/>
          <w:sz w:val="28"/>
          <w:szCs w:val="28"/>
        </w:rPr>
        <w:t>（一）验收标准</w:t>
      </w:r>
    </w:p>
    <w:p w14:paraId="2ABDD087">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采购人按照采购人的非执法类辅助及后勤服务要求对中标人提供的服务通过下述考核的方式进行履约验收。</w:t>
      </w:r>
    </w:p>
    <w:p w14:paraId="77B5D655">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b/>
          <w:bCs/>
          <w:sz w:val="28"/>
          <w:szCs w:val="28"/>
        </w:rPr>
        <w:t>（二）考核时间和标准</w:t>
      </w:r>
    </w:p>
    <w:p w14:paraId="26D1806C">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1.采购人对中标人的服务工作进行考核，原则上每月考核一次，采用综合考评办法，详见附表：非执法类辅助及后勤服务综合考评表。 如出现下列情形，采购人有权对中标人做相应处罚：</w:t>
      </w:r>
    </w:p>
    <w:p w14:paraId="060A4433">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（1）综合考评得分大于或等于 90 分而小于100分的，中标人需自觉整改至符合要求；</w:t>
      </w:r>
    </w:p>
    <w:p w14:paraId="65EBF30A">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（2）综合考评得分大于或等于 80 分而小于 90 分的，每次扣除中标人次月本项目服务费用的5%；</w:t>
      </w:r>
    </w:p>
    <w:p w14:paraId="1C3BB637">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（3）综合考评得分大于或等于 70 分而小于 80 分的，每次扣除中标人次月本项目服务费用的10%；</w:t>
      </w:r>
    </w:p>
    <w:p w14:paraId="0BDBAF0B">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（4）综合考评得分小于70 分的，每次扣除中标人次月本项目服务费用的20%；</w:t>
      </w:r>
    </w:p>
    <w:p w14:paraId="5D207609">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5）合同期内，如出现月度综合考评得分小于70分累计2次的，或其他重大责任治安消防等事故的，采购人有权单方终止合同，由此而引致的一切责任由中标人负责，造成采购人经济损失的，中标人应负责赔偿。（须提供承诺函）</w:t>
      </w:r>
    </w:p>
    <w:p w14:paraId="13BAF675">
      <w:pPr>
        <w:pStyle w:val="12"/>
        <w:spacing w:before="0" w:after="0" w:line="360" w:lineRule="auto"/>
        <w:ind w:left="0" w:right="0" w:firstLine="420"/>
        <w:jc w:val="both"/>
        <w:rPr>
          <w:rFonts w:ascii="Calibri" w:hAnsi="Calibri" w:eastAsia="Calibri" w:cs="Calibri"/>
          <w:sz w:val="21"/>
          <w:szCs w:val="21"/>
        </w:rPr>
      </w:pPr>
      <w:r>
        <w:rPr>
          <w:rFonts w:ascii="FangSong_GB2312" w:hAnsi="FangSong_GB2312" w:eastAsia="FangSong_GB2312" w:cs="FangSong_GB2312"/>
          <w:sz w:val="28"/>
          <w:szCs w:val="28"/>
        </w:rPr>
        <w:t>（6）中标人向采购人缴纳违约罚金可由采购人在次月支付本项目服务费用中直接扣减。</w:t>
      </w:r>
    </w:p>
    <w:p w14:paraId="147D7F28">
      <w:pPr>
        <w:pStyle w:val="12"/>
        <w:spacing w:before="0" w:after="0" w:line="360" w:lineRule="auto"/>
        <w:ind w:left="0" w:right="0" w:firstLine="420"/>
        <w:jc w:val="both"/>
        <w:rPr>
          <w:rFonts w:ascii="Calibri" w:hAnsi="Calibri" w:eastAsia="Calibri" w:cs="Calibri"/>
          <w:sz w:val="21"/>
          <w:szCs w:val="21"/>
        </w:rPr>
      </w:pPr>
    </w:p>
    <w:p w14:paraId="097EFE53">
      <w:pPr>
        <w:pStyle w:val="12"/>
        <w:spacing w:before="0" w:after="0" w:line="360" w:lineRule="auto"/>
        <w:ind w:left="0" w:right="0" w:firstLine="420"/>
        <w:jc w:val="both"/>
        <w:rPr>
          <w:rFonts w:ascii="Calibri" w:hAnsi="Calibri" w:eastAsia="Calibri" w:cs="Calibri"/>
          <w:sz w:val="21"/>
          <w:szCs w:val="21"/>
        </w:rPr>
      </w:pPr>
      <w:r>
        <w:rPr>
          <w:rFonts w:ascii="Calibri" w:hAnsi="Calibri" w:eastAsia="Calibri" w:cs="Calibri"/>
          <w:sz w:val="21"/>
          <w:szCs w:val="21"/>
        </w:rPr>
        <w:br w:type="textWrapping" w:clear="all"/>
      </w:r>
      <w:r>
        <w:rPr>
          <w:rFonts w:ascii="FangSong_GB2312" w:hAnsi="FangSong_GB2312" w:eastAsia="FangSong_GB2312" w:cs="FangSong_GB2312"/>
          <w:spacing w:val="-4"/>
          <w:sz w:val="28"/>
          <w:szCs w:val="28"/>
        </w:rPr>
        <w:t>附表：非执法类辅助及后勤服务综合考评表</w:t>
      </w:r>
    </w:p>
    <w:p w14:paraId="1A51F1D4">
      <w:pPr>
        <w:pStyle w:val="12"/>
        <w:spacing w:before="0" w:after="0" w:line="360" w:lineRule="auto"/>
        <w:ind w:left="0" w:right="0"/>
        <w:jc w:val="center"/>
        <w:rPr>
          <w:rFonts w:ascii="Calibri" w:hAnsi="Calibri" w:eastAsia="Calibri" w:cs="Calibri"/>
          <w:sz w:val="21"/>
          <w:szCs w:val="21"/>
        </w:rPr>
      </w:pPr>
      <w:r>
        <w:rPr>
          <w:rFonts w:ascii="Calibri" w:hAnsi="Calibri" w:eastAsia="Calibri" w:cs="Calibri"/>
          <w:sz w:val="21"/>
          <w:szCs w:val="21"/>
        </w:rPr>
        <w:t> </w:t>
      </w:r>
    </w:p>
    <w:p w14:paraId="38E51FBA">
      <w:pPr>
        <w:pStyle w:val="15"/>
        <w:spacing w:before="0" w:after="0" w:line="360" w:lineRule="auto"/>
        <w:ind w:left="0" w:right="0"/>
        <w:rPr>
          <w:rFonts w:ascii="Calibri" w:hAnsi="Calibri" w:eastAsia="Calibri" w:cs="Calibri"/>
          <w:sz w:val="21"/>
          <w:szCs w:val="21"/>
        </w:rPr>
      </w:pPr>
      <w:r>
        <w:rPr>
          <w:rFonts w:ascii="SimSun" w:hAnsi="SimSun" w:eastAsia="SimSun" w:cs="SimSun"/>
          <w:b/>
          <w:bCs/>
          <w:sz w:val="28"/>
          <w:szCs w:val="28"/>
        </w:rPr>
        <w:t>被</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考</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评</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单</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位</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w:t>
      </w:r>
      <w:r>
        <w:rPr>
          <w:rFonts w:ascii="FangSong_GB2312" w:hAnsi="FangSong_GB2312" w:eastAsia="FangSong_GB2312" w:cs="FangSong_GB2312"/>
          <w:b/>
          <w:bCs/>
          <w:sz w:val="28"/>
          <w:szCs w:val="28"/>
        </w:rPr>
        <w:t>                                       考评月份：   </w:t>
      </w:r>
      <w:r>
        <w:rPr>
          <w:rFonts w:ascii="SimSun" w:hAnsi="SimSun" w:eastAsia="SimSun" w:cs="SimSun"/>
          <w:b/>
          <w:bCs/>
          <w:sz w:val="28"/>
          <w:szCs w:val="28"/>
        </w:rPr>
        <w:t>年</w:t>
      </w:r>
      <w:r>
        <w:rPr>
          <w:rFonts w:ascii="FangSong_GB2312" w:hAnsi="FangSong_GB2312" w:eastAsia="FangSong_GB2312" w:cs="FangSong_GB2312"/>
          <w:b/>
          <w:bCs/>
          <w:sz w:val="28"/>
          <w:szCs w:val="28"/>
        </w:rPr>
        <w:t xml:space="preserve">    </w:t>
      </w:r>
      <w:r>
        <w:rPr>
          <w:rFonts w:ascii="SimSun" w:hAnsi="SimSun" w:eastAsia="SimSun" w:cs="SimSun"/>
          <w:b/>
          <w:bCs/>
          <w:sz w:val="28"/>
          <w:szCs w:val="28"/>
        </w:rPr>
        <w:t>月</w:t>
      </w:r>
    </w:p>
    <w:tbl>
      <w:tblPr>
        <w:tblStyle w:val="13"/>
        <w:tblW w:w="9145" w:type="dxa"/>
        <w:tblCellSpacing w:w="0" w:type="dxa"/>
        <w:tblInd w:w="128" w:type="dxa"/>
        <w:tblLayout w:type="fixed"/>
        <w:tblCellMar>
          <w:top w:w="15" w:type="dxa"/>
          <w:left w:w="15" w:type="dxa"/>
          <w:bottom w:w="15" w:type="dxa"/>
          <w:right w:w="15" w:type="dxa"/>
        </w:tblCellMar>
      </w:tblPr>
      <w:tblGrid>
        <w:gridCol w:w="435"/>
        <w:gridCol w:w="997"/>
        <w:gridCol w:w="588"/>
        <w:gridCol w:w="4387"/>
        <w:gridCol w:w="500"/>
        <w:gridCol w:w="466"/>
        <w:gridCol w:w="1772"/>
      </w:tblGrid>
      <w:tr w14:paraId="4FA12C77">
        <w:tblPrEx>
          <w:tblCellMar>
            <w:top w:w="15" w:type="dxa"/>
            <w:left w:w="15" w:type="dxa"/>
            <w:bottom w:w="15" w:type="dxa"/>
            <w:right w:w="15" w:type="dxa"/>
          </w:tblCellMar>
        </w:tblPrEx>
        <w:trPr>
          <w:trHeight w:val="760" w:hRule="atLeast"/>
          <w:tblCellSpacing w:w="0" w:type="dxa"/>
        </w:trPr>
        <w:tc>
          <w:tcPr>
            <w:tcW w:w="435" w:type="dxa"/>
            <w:tcBorders>
              <w:top w:val="single" w:color="000000" w:sz="8" w:space="0"/>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14:paraId="44E4C594">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序号</w:t>
            </w:r>
          </w:p>
        </w:tc>
        <w:tc>
          <w:tcPr>
            <w:tcW w:w="997"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3662753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项目</w:t>
            </w:r>
          </w:p>
        </w:tc>
        <w:tc>
          <w:tcPr>
            <w:tcW w:w="588"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61444326">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总分</w:t>
            </w:r>
          </w:p>
        </w:tc>
        <w:tc>
          <w:tcPr>
            <w:tcW w:w="4387"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192B7B9B">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考评内容</w:t>
            </w:r>
          </w:p>
        </w:tc>
        <w:tc>
          <w:tcPr>
            <w:tcW w:w="500"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76510E1A">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分值</w:t>
            </w:r>
          </w:p>
        </w:tc>
        <w:tc>
          <w:tcPr>
            <w:tcW w:w="466"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28F79353">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评分</w:t>
            </w:r>
          </w:p>
        </w:tc>
        <w:tc>
          <w:tcPr>
            <w:tcW w:w="1772"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5B6709B6">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bCs/>
                <w:i w:val="0"/>
                <w:iCs w:val="0"/>
                <w:smallCaps w:val="0"/>
                <w:color w:val="000000"/>
                <w:sz w:val="24"/>
                <w:szCs w:val="24"/>
              </w:rPr>
              <w:t>评分细则</w:t>
            </w:r>
          </w:p>
        </w:tc>
      </w:tr>
      <w:tr w14:paraId="45F119EF">
        <w:tblPrEx>
          <w:tblCellMar>
            <w:top w:w="15" w:type="dxa"/>
            <w:left w:w="15" w:type="dxa"/>
            <w:bottom w:w="15" w:type="dxa"/>
            <w:right w:w="15" w:type="dxa"/>
          </w:tblCellMar>
        </w:tblPrEx>
        <w:trPr>
          <w:trHeight w:val="500" w:hRule="atLeast"/>
          <w:tblCellSpacing w:w="0" w:type="dxa"/>
        </w:trPr>
        <w:tc>
          <w:tcPr>
            <w:tcW w:w="435" w:type="dxa"/>
            <w:vMerge w:val="restart"/>
            <w:tcBorders>
              <w:left w:val="single" w:color="000000" w:sz="8" w:space="0"/>
              <w:bottom w:val="nil"/>
              <w:right w:val="single" w:color="000000" w:sz="8" w:space="0"/>
            </w:tcBorders>
            <w:noWrap w:val="0"/>
            <w:tcMar>
              <w:top w:w="0" w:type="dxa"/>
              <w:left w:w="118" w:type="dxa"/>
              <w:bottom w:w="0" w:type="dxa"/>
              <w:right w:w="118" w:type="dxa"/>
            </w:tcMar>
            <w:vAlign w:val="center"/>
          </w:tcPr>
          <w:p w14:paraId="6401B9FA">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w:t>
            </w:r>
          </w:p>
        </w:tc>
        <w:tc>
          <w:tcPr>
            <w:tcW w:w="997" w:type="dxa"/>
            <w:vMerge w:val="restart"/>
            <w:tcBorders>
              <w:bottom w:val="nil"/>
              <w:right w:val="single" w:color="000000" w:sz="8" w:space="0"/>
            </w:tcBorders>
            <w:noWrap w:val="0"/>
            <w:tcMar>
              <w:top w:w="0" w:type="dxa"/>
              <w:left w:w="108" w:type="dxa"/>
              <w:bottom w:w="0" w:type="dxa"/>
              <w:right w:w="118" w:type="dxa"/>
            </w:tcMar>
            <w:vAlign w:val="center"/>
          </w:tcPr>
          <w:p w14:paraId="10C049E8">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内部管理</w:t>
            </w:r>
          </w:p>
        </w:tc>
        <w:tc>
          <w:tcPr>
            <w:tcW w:w="588" w:type="dxa"/>
            <w:vMerge w:val="restart"/>
            <w:tcBorders>
              <w:bottom w:val="nil"/>
              <w:right w:val="single" w:color="000000" w:sz="8" w:space="0"/>
            </w:tcBorders>
            <w:noWrap w:val="0"/>
            <w:tcMar>
              <w:top w:w="0" w:type="dxa"/>
              <w:left w:w="108" w:type="dxa"/>
              <w:bottom w:w="0" w:type="dxa"/>
              <w:right w:w="118" w:type="dxa"/>
            </w:tcMar>
            <w:vAlign w:val="center"/>
          </w:tcPr>
          <w:p w14:paraId="2135FAD7">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10</w:t>
            </w: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0235F806">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1、严格落实打卡上下班制度。</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5772CA98">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561F5506">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restart"/>
            <w:tcBorders>
              <w:bottom w:val="nil"/>
              <w:right w:val="single" w:color="000000" w:sz="8" w:space="0"/>
            </w:tcBorders>
            <w:noWrap w:val="0"/>
            <w:tcMar>
              <w:top w:w="0" w:type="dxa"/>
              <w:left w:w="108" w:type="dxa"/>
              <w:bottom w:w="0" w:type="dxa"/>
              <w:right w:w="118" w:type="dxa"/>
            </w:tcMar>
            <w:vAlign w:val="center"/>
          </w:tcPr>
          <w:p w14:paraId="10BD1051">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凡有</w:t>
            </w:r>
            <w:r>
              <w:rPr>
                <w:rStyle w:val="16"/>
                <w:rFonts w:ascii="FangSong_GB2312" w:hAnsi="FangSong_GB2312" w:eastAsia="FangSong_GB2312" w:cs="FangSong_GB2312"/>
                <w:b w:val="0"/>
                <w:bCs w:val="0"/>
                <w:i w:val="0"/>
                <w:iCs w:val="0"/>
                <w:smallCaps w:val="0"/>
                <w:color w:val="000000"/>
                <w:sz w:val="24"/>
                <w:szCs w:val="24"/>
              </w:rPr>
              <w:t>1人不符合，扣除1分</w:t>
            </w:r>
          </w:p>
        </w:tc>
      </w:tr>
      <w:tr w14:paraId="07D612FD">
        <w:tblPrEx>
          <w:tblCellMar>
            <w:top w:w="15" w:type="dxa"/>
            <w:left w:w="15" w:type="dxa"/>
            <w:bottom w:w="15" w:type="dxa"/>
            <w:right w:w="15" w:type="dxa"/>
          </w:tblCellMar>
        </w:tblPrEx>
        <w:trPr>
          <w:trHeight w:val="900" w:hRule="atLeast"/>
          <w:tblCellSpacing w:w="0" w:type="dxa"/>
        </w:trPr>
        <w:tc>
          <w:tcPr>
            <w:tcW w:w="435" w:type="dxa"/>
            <w:vMerge w:val="continue"/>
            <w:tcBorders>
              <w:left w:val="single" w:color="000000" w:sz="8" w:space="0"/>
              <w:right w:val="single" w:color="000000" w:sz="8" w:space="0"/>
            </w:tcBorders>
            <w:vAlign w:val="center"/>
          </w:tcPr>
          <w:p w14:paraId="5A2AAC99">
            <w:pPr>
              <w:rPr>
                <w:rStyle w:val="16"/>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6E603B5B">
            <w:pPr>
              <w:rPr>
                <w:rStyle w:val="16"/>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643988BC">
            <w:pPr>
              <w:rPr>
                <w:rStyle w:val="16"/>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331A667B">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2、项目投标时所承诺的项目工作人员，必须和承接此项目后开展工作的团队人员相符，未征得采购人同意不得更换团队成员。</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4A2FB277">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F24A52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bottom w:val="single" w:color="000000" w:sz="8" w:space="0"/>
              <w:right w:val="single" w:color="000000" w:sz="8" w:space="0"/>
            </w:tcBorders>
            <w:vAlign w:val="center"/>
          </w:tcPr>
          <w:p w14:paraId="32192253">
            <w:pPr>
              <w:rPr>
                <w:rFonts w:ascii="FangSong_GB2312" w:hAnsi="FangSong_GB2312" w:eastAsia="FangSong_GB2312" w:cs="FangSong_GB2312"/>
                <w:b w:val="0"/>
                <w:bCs w:val="0"/>
                <w:i w:val="0"/>
                <w:iCs w:val="0"/>
                <w:smallCaps w:val="0"/>
                <w:color w:val="000000"/>
                <w:sz w:val="24"/>
                <w:szCs w:val="24"/>
              </w:rPr>
            </w:pPr>
          </w:p>
        </w:tc>
      </w:tr>
      <w:tr w14:paraId="6669FF65">
        <w:tblPrEx>
          <w:tblCellMar>
            <w:top w:w="15" w:type="dxa"/>
            <w:left w:w="15" w:type="dxa"/>
            <w:bottom w:w="15" w:type="dxa"/>
            <w:right w:w="15" w:type="dxa"/>
          </w:tblCellMar>
        </w:tblPrEx>
        <w:trPr>
          <w:trHeight w:val="500" w:hRule="atLeast"/>
          <w:tblCellSpacing w:w="0" w:type="dxa"/>
        </w:trPr>
        <w:tc>
          <w:tcPr>
            <w:tcW w:w="435" w:type="dxa"/>
            <w:vMerge w:val="continue"/>
            <w:tcBorders>
              <w:left w:val="single" w:color="000000" w:sz="8" w:space="0"/>
              <w:right w:val="single" w:color="000000" w:sz="8" w:space="0"/>
            </w:tcBorders>
            <w:vAlign w:val="center"/>
          </w:tcPr>
          <w:p w14:paraId="2025F5F4">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0346D9BE">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73589723">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11C5FF7C">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3、有健全的项目人员管理制度，运作规范。</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32718080">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80E116F">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restart"/>
            <w:tcBorders>
              <w:bottom w:val="nil"/>
              <w:right w:val="single" w:color="000000" w:sz="8" w:space="0"/>
            </w:tcBorders>
            <w:noWrap w:val="0"/>
            <w:tcMar>
              <w:top w:w="0" w:type="dxa"/>
              <w:left w:w="108" w:type="dxa"/>
              <w:bottom w:w="0" w:type="dxa"/>
              <w:right w:w="118" w:type="dxa"/>
            </w:tcMar>
            <w:vAlign w:val="center"/>
          </w:tcPr>
          <w:p w14:paraId="408518F8">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完全符合得满分，部分符合相应递减，不符合得</w:t>
            </w:r>
            <w:r>
              <w:rPr>
                <w:rStyle w:val="16"/>
                <w:rFonts w:ascii="FangSong_GB2312" w:hAnsi="FangSong_GB2312" w:eastAsia="FangSong_GB2312" w:cs="FangSong_GB2312"/>
                <w:b w:val="0"/>
                <w:bCs w:val="0"/>
                <w:i w:val="0"/>
                <w:iCs w:val="0"/>
                <w:smallCaps w:val="0"/>
                <w:color w:val="000000"/>
                <w:sz w:val="24"/>
                <w:szCs w:val="24"/>
              </w:rPr>
              <w:t>0分</w:t>
            </w:r>
          </w:p>
        </w:tc>
      </w:tr>
      <w:tr w14:paraId="07D12F4D">
        <w:tblPrEx>
          <w:tblCellMar>
            <w:top w:w="15" w:type="dxa"/>
            <w:left w:w="15" w:type="dxa"/>
            <w:bottom w:w="15" w:type="dxa"/>
            <w:right w:w="15" w:type="dxa"/>
          </w:tblCellMar>
        </w:tblPrEx>
        <w:trPr>
          <w:trHeight w:val="920" w:hRule="atLeast"/>
          <w:tblCellSpacing w:w="0" w:type="dxa"/>
        </w:trPr>
        <w:tc>
          <w:tcPr>
            <w:tcW w:w="435" w:type="dxa"/>
            <w:vMerge w:val="continue"/>
            <w:tcBorders>
              <w:left w:val="single" w:color="000000" w:sz="8" w:space="0"/>
              <w:bottom w:val="single" w:color="000000" w:sz="8" w:space="0"/>
              <w:right w:val="single" w:color="000000" w:sz="8" w:space="0"/>
            </w:tcBorders>
            <w:vAlign w:val="center"/>
          </w:tcPr>
          <w:p w14:paraId="4B2075C1">
            <w:pPr>
              <w:rPr>
                <w:rStyle w:val="16"/>
                <w:rFonts w:ascii="FangSong_GB2312" w:hAnsi="FangSong_GB2312" w:eastAsia="FangSong_GB2312" w:cs="FangSong_GB2312"/>
                <w:b w:val="0"/>
                <w:bCs w:val="0"/>
                <w:i w:val="0"/>
                <w:iCs w:val="0"/>
                <w:smallCaps w:val="0"/>
                <w:color w:val="000000"/>
                <w:sz w:val="24"/>
                <w:szCs w:val="24"/>
              </w:rPr>
            </w:pPr>
          </w:p>
        </w:tc>
        <w:tc>
          <w:tcPr>
            <w:tcW w:w="997" w:type="dxa"/>
            <w:vMerge w:val="continue"/>
            <w:tcBorders>
              <w:bottom w:val="single" w:color="000000" w:sz="8" w:space="0"/>
              <w:right w:val="single" w:color="000000" w:sz="8" w:space="0"/>
            </w:tcBorders>
            <w:vAlign w:val="center"/>
          </w:tcPr>
          <w:p w14:paraId="37458E47">
            <w:pPr>
              <w:rPr>
                <w:rStyle w:val="16"/>
                <w:rFonts w:ascii="FangSong_GB2312" w:hAnsi="FangSong_GB2312" w:eastAsia="FangSong_GB2312" w:cs="FangSong_GB2312"/>
                <w:b w:val="0"/>
                <w:bCs w:val="0"/>
                <w:i w:val="0"/>
                <w:iCs w:val="0"/>
                <w:smallCaps w:val="0"/>
                <w:color w:val="000000"/>
                <w:sz w:val="24"/>
                <w:szCs w:val="24"/>
              </w:rPr>
            </w:pPr>
          </w:p>
        </w:tc>
        <w:tc>
          <w:tcPr>
            <w:tcW w:w="588" w:type="dxa"/>
            <w:vMerge w:val="continue"/>
            <w:tcBorders>
              <w:bottom w:val="single" w:color="000000" w:sz="8" w:space="0"/>
              <w:right w:val="single" w:color="000000" w:sz="8" w:space="0"/>
            </w:tcBorders>
            <w:vAlign w:val="center"/>
          </w:tcPr>
          <w:p w14:paraId="26F3015D">
            <w:pPr>
              <w:rPr>
                <w:rStyle w:val="16"/>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20705A2C">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4、健全考核制度，岗位职责，工作流程。建立各类应急预案。</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3EDCCF8">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780069F7">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bottom w:val="single" w:color="000000" w:sz="8" w:space="0"/>
              <w:right w:val="single" w:color="000000" w:sz="8" w:space="0"/>
            </w:tcBorders>
            <w:vAlign w:val="center"/>
          </w:tcPr>
          <w:p w14:paraId="4AC6625F">
            <w:pPr>
              <w:rPr>
                <w:rFonts w:ascii="FangSong_GB2312" w:hAnsi="FangSong_GB2312" w:eastAsia="FangSong_GB2312" w:cs="FangSong_GB2312"/>
                <w:b w:val="0"/>
                <w:bCs w:val="0"/>
                <w:i w:val="0"/>
                <w:iCs w:val="0"/>
                <w:smallCaps w:val="0"/>
                <w:color w:val="000000"/>
                <w:sz w:val="24"/>
                <w:szCs w:val="24"/>
              </w:rPr>
            </w:pPr>
          </w:p>
        </w:tc>
      </w:tr>
      <w:tr w14:paraId="7F625E84">
        <w:tblPrEx>
          <w:tblCellMar>
            <w:top w:w="15" w:type="dxa"/>
            <w:left w:w="15" w:type="dxa"/>
            <w:bottom w:w="15" w:type="dxa"/>
            <w:right w:w="15" w:type="dxa"/>
          </w:tblCellMar>
        </w:tblPrEx>
        <w:trPr>
          <w:trHeight w:val="780" w:hRule="atLeast"/>
          <w:tblCellSpacing w:w="0" w:type="dxa"/>
        </w:trPr>
        <w:tc>
          <w:tcPr>
            <w:tcW w:w="435" w:type="dxa"/>
            <w:vMerge w:val="restart"/>
            <w:tcBorders>
              <w:left w:val="single" w:color="000000" w:sz="8" w:space="0"/>
              <w:right w:val="single" w:color="000000" w:sz="8" w:space="0"/>
            </w:tcBorders>
            <w:noWrap w:val="0"/>
            <w:tcMar>
              <w:top w:w="0" w:type="dxa"/>
              <w:left w:w="118" w:type="dxa"/>
              <w:bottom w:w="0" w:type="dxa"/>
              <w:right w:w="118" w:type="dxa"/>
            </w:tcMar>
            <w:vAlign w:val="center"/>
          </w:tcPr>
          <w:p w14:paraId="147DD2FF">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w:t>
            </w:r>
          </w:p>
        </w:tc>
        <w:tc>
          <w:tcPr>
            <w:tcW w:w="997" w:type="dxa"/>
            <w:vMerge w:val="restart"/>
            <w:tcBorders>
              <w:right w:val="single" w:color="000000" w:sz="8" w:space="0"/>
            </w:tcBorders>
            <w:noWrap w:val="0"/>
            <w:tcMar>
              <w:top w:w="0" w:type="dxa"/>
              <w:left w:w="108" w:type="dxa"/>
              <w:bottom w:w="0" w:type="dxa"/>
              <w:right w:w="118" w:type="dxa"/>
            </w:tcMar>
            <w:vAlign w:val="center"/>
          </w:tcPr>
          <w:p w14:paraId="0DC44C74">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辅助服务</w:t>
            </w:r>
          </w:p>
        </w:tc>
        <w:tc>
          <w:tcPr>
            <w:tcW w:w="588" w:type="dxa"/>
            <w:vMerge w:val="restart"/>
            <w:tcBorders>
              <w:right w:val="single" w:color="000000" w:sz="8" w:space="0"/>
            </w:tcBorders>
            <w:noWrap w:val="0"/>
            <w:tcMar>
              <w:top w:w="0" w:type="dxa"/>
              <w:left w:w="108" w:type="dxa"/>
              <w:bottom w:w="0" w:type="dxa"/>
              <w:right w:w="118" w:type="dxa"/>
            </w:tcMar>
            <w:vAlign w:val="center"/>
          </w:tcPr>
          <w:p w14:paraId="7ED0C2E3">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31</w:t>
            </w: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5D0AEE56">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1、工作服穿着整齐，仪表要整齐、干净，无污渍；纽扣要齐全，扣好；员工证要佩戴整齐，不能歪斜。</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31ADA0E6">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6A40CCE1">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restart"/>
            <w:tcBorders>
              <w:right w:val="single" w:color="000000" w:sz="8" w:space="0"/>
            </w:tcBorders>
            <w:noWrap w:val="0"/>
            <w:tcMar>
              <w:top w:w="0" w:type="dxa"/>
              <w:left w:w="108" w:type="dxa"/>
              <w:bottom w:w="0" w:type="dxa"/>
              <w:right w:w="118" w:type="dxa"/>
            </w:tcMar>
            <w:vAlign w:val="center"/>
          </w:tcPr>
          <w:p w14:paraId="5FE05A71">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符合得满分，不符合得0分</w:t>
            </w:r>
          </w:p>
        </w:tc>
      </w:tr>
      <w:tr w14:paraId="731BE477">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427A4A8A">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CC4B62B">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044F40DA">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614F50C2">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2、按照采购人相关要求完成各项工作任务，人员岗位职责明确有详尽的记录。</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6F4B066E">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001B2B25">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59C48011">
            <w:pPr>
              <w:rPr>
                <w:rFonts w:ascii="FangSong_GB2312" w:hAnsi="FangSong_GB2312" w:eastAsia="FangSong_GB2312" w:cs="FangSong_GB2312"/>
                <w:b w:val="0"/>
                <w:bCs w:val="0"/>
                <w:i w:val="0"/>
                <w:iCs w:val="0"/>
                <w:smallCaps w:val="0"/>
                <w:color w:val="000000"/>
                <w:sz w:val="24"/>
                <w:szCs w:val="24"/>
              </w:rPr>
            </w:pPr>
          </w:p>
        </w:tc>
      </w:tr>
      <w:tr w14:paraId="7BEBA863">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06025BBE">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474987E5">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6489F923">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10B94438">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3、接待纳税人要热情微笑相迎，使用礼貌用语。</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476A872">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BFF349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66CF9BCC">
            <w:pPr>
              <w:rPr>
                <w:rFonts w:ascii="FangSong_GB2312" w:hAnsi="FangSong_GB2312" w:eastAsia="FangSong_GB2312" w:cs="FangSong_GB2312"/>
                <w:b w:val="0"/>
                <w:bCs w:val="0"/>
                <w:i w:val="0"/>
                <w:iCs w:val="0"/>
                <w:smallCaps w:val="0"/>
                <w:color w:val="000000"/>
                <w:sz w:val="24"/>
                <w:szCs w:val="24"/>
              </w:rPr>
            </w:pPr>
          </w:p>
        </w:tc>
      </w:tr>
      <w:tr w14:paraId="4249C49D">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0F4FA295">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669A5235">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297841FF">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1F1D0104">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4、同事间要和睦相处，工作上要互相配合。</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309D3D5E">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04A05D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474102C2">
            <w:pPr>
              <w:rPr>
                <w:rFonts w:ascii="FangSong_GB2312" w:hAnsi="FangSong_GB2312" w:eastAsia="FangSong_GB2312" w:cs="FangSong_GB2312"/>
                <w:b w:val="0"/>
                <w:bCs w:val="0"/>
                <w:i w:val="0"/>
                <w:iCs w:val="0"/>
                <w:smallCaps w:val="0"/>
                <w:color w:val="000000"/>
                <w:sz w:val="24"/>
                <w:szCs w:val="24"/>
              </w:rPr>
            </w:pPr>
          </w:p>
        </w:tc>
      </w:tr>
      <w:tr w14:paraId="0C66C0BF">
        <w:tblPrEx>
          <w:tblCellMar>
            <w:top w:w="15" w:type="dxa"/>
            <w:left w:w="15" w:type="dxa"/>
            <w:bottom w:w="15" w:type="dxa"/>
            <w:right w:w="15" w:type="dxa"/>
          </w:tblCellMar>
        </w:tblPrEx>
        <w:trPr>
          <w:trHeight w:val="90" w:hRule="atLeast"/>
          <w:tblCellSpacing w:w="0" w:type="dxa"/>
        </w:trPr>
        <w:tc>
          <w:tcPr>
            <w:tcW w:w="435" w:type="dxa"/>
            <w:vMerge w:val="continue"/>
            <w:tcBorders>
              <w:left w:val="single" w:color="000000" w:sz="8" w:space="0"/>
              <w:right w:val="single" w:color="000000" w:sz="8" w:space="0"/>
            </w:tcBorders>
            <w:vAlign w:val="center"/>
          </w:tcPr>
          <w:p w14:paraId="6DF51D69">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63663EF7">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5DCEB745">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2C301C51">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5、接听电话应及时，一般铃响不超过三次，纳税人咨询电话要做好记录，严禁长时间使用办公电话私聊。</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0FF975EE">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90D482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7124AAA5">
            <w:pPr>
              <w:rPr>
                <w:rFonts w:ascii="FangSong_GB2312" w:hAnsi="FangSong_GB2312" w:eastAsia="FangSong_GB2312" w:cs="FangSong_GB2312"/>
                <w:b w:val="0"/>
                <w:bCs w:val="0"/>
                <w:i w:val="0"/>
                <w:iCs w:val="0"/>
                <w:smallCaps w:val="0"/>
                <w:color w:val="000000"/>
                <w:sz w:val="24"/>
                <w:szCs w:val="24"/>
              </w:rPr>
            </w:pPr>
          </w:p>
        </w:tc>
      </w:tr>
      <w:tr w14:paraId="6E4A2F92">
        <w:tblPrEx>
          <w:tblCellMar>
            <w:top w:w="15" w:type="dxa"/>
            <w:left w:w="15" w:type="dxa"/>
            <w:bottom w:w="15" w:type="dxa"/>
            <w:right w:w="15" w:type="dxa"/>
          </w:tblCellMar>
        </w:tblPrEx>
        <w:trPr>
          <w:trHeight w:val="940" w:hRule="atLeast"/>
          <w:tblCellSpacing w:w="0" w:type="dxa"/>
        </w:trPr>
        <w:tc>
          <w:tcPr>
            <w:tcW w:w="435" w:type="dxa"/>
            <w:vMerge w:val="continue"/>
            <w:tcBorders>
              <w:left w:val="single" w:color="000000" w:sz="8" w:space="0"/>
              <w:right w:val="single" w:color="000000" w:sz="8" w:space="0"/>
            </w:tcBorders>
            <w:vAlign w:val="center"/>
          </w:tcPr>
          <w:p w14:paraId="7D162CA4">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508F003">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0EBD9752">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5BD66742">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6、严禁使用办公电脑玩游戏和浏览与本职工作无关的网站和网页。</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C071C68">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18885F5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3565C57">
            <w:pPr>
              <w:rPr>
                <w:rFonts w:ascii="FangSong_GB2312" w:hAnsi="FangSong_GB2312" w:eastAsia="FangSong_GB2312" w:cs="FangSong_GB2312"/>
                <w:b w:val="0"/>
                <w:bCs w:val="0"/>
                <w:i w:val="0"/>
                <w:iCs w:val="0"/>
                <w:smallCaps w:val="0"/>
                <w:color w:val="000000"/>
                <w:sz w:val="24"/>
                <w:szCs w:val="24"/>
              </w:rPr>
            </w:pPr>
          </w:p>
        </w:tc>
      </w:tr>
      <w:tr w14:paraId="0E717533">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2BDC576B">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6C06856B">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0317157A">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38C4F92C">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7、对于上司安排的工作及时回复，如不能及时回复的要及时说明情况，征得同意后延长工作完成时间。</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7181F17">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56880757">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2583CEB6">
            <w:pPr>
              <w:rPr>
                <w:rFonts w:ascii="FangSong_GB2312" w:hAnsi="FangSong_GB2312" w:eastAsia="FangSong_GB2312" w:cs="FangSong_GB2312"/>
                <w:b w:val="0"/>
                <w:bCs w:val="0"/>
                <w:i w:val="0"/>
                <w:iCs w:val="0"/>
                <w:smallCaps w:val="0"/>
                <w:color w:val="000000"/>
                <w:sz w:val="24"/>
                <w:szCs w:val="24"/>
              </w:rPr>
            </w:pPr>
          </w:p>
        </w:tc>
      </w:tr>
      <w:tr w14:paraId="106F7685">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31379671">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DB1C5C0">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257B9498">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483017BF">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8、对待工作有责任心、严谨认真，未出现工作疏漏。疏忽现象。</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3D3C1664">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D720B98">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4E67E15C">
            <w:pPr>
              <w:rPr>
                <w:rFonts w:ascii="FangSong_GB2312" w:hAnsi="FangSong_GB2312" w:eastAsia="FangSong_GB2312" w:cs="FangSong_GB2312"/>
                <w:b w:val="0"/>
                <w:bCs w:val="0"/>
                <w:i w:val="0"/>
                <w:iCs w:val="0"/>
                <w:smallCaps w:val="0"/>
                <w:color w:val="000000"/>
                <w:sz w:val="24"/>
                <w:szCs w:val="24"/>
              </w:rPr>
            </w:pPr>
          </w:p>
        </w:tc>
      </w:tr>
      <w:tr w14:paraId="35932EE8">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1DEE2B10">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159AC3C3">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38ECE7CF">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2235CA74">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9、积极参加业务培训，善于自我学习，提高工作能力。</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656EFE56">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903481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72A4FB6A">
            <w:pPr>
              <w:rPr>
                <w:rFonts w:ascii="FangSong_GB2312" w:hAnsi="FangSong_GB2312" w:eastAsia="FangSong_GB2312" w:cs="FangSong_GB2312"/>
                <w:b w:val="0"/>
                <w:bCs w:val="0"/>
                <w:i w:val="0"/>
                <w:iCs w:val="0"/>
                <w:smallCaps w:val="0"/>
                <w:color w:val="000000"/>
                <w:sz w:val="24"/>
                <w:szCs w:val="24"/>
              </w:rPr>
            </w:pPr>
          </w:p>
        </w:tc>
      </w:tr>
      <w:tr w14:paraId="6B70C480">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1779EBF6">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263DBDED">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1EF65EA8">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34DF2B63">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10、严守秘密，不在公开场合谈论涉密相关事宜。</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54B50D3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95B83E3">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BEE35B2">
            <w:pPr>
              <w:rPr>
                <w:rFonts w:ascii="FangSong_GB2312" w:hAnsi="FangSong_GB2312" w:eastAsia="FangSong_GB2312" w:cs="FangSong_GB2312"/>
                <w:b w:val="0"/>
                <w:bCs w:val="0"/>
                <w:i w:val="0"/>
                <w:iCs w:val="0"/>
                <w:smallCaps w:val="0"/>
                <w:color w:val="000000"/>
                <w:sz w:val="24"/>
                <w:szCs w:val="24"/>
              </w:rPr>
            </w:pPr>
          </w:p>
        </w:tc>
      </w:tr>
      <w:tr w14:paraId="2C3E538E">
        <w:tblPrEx>
          <w:tblCellMar>
            <w:top w:w="15" w:type="dxa"/>
            <w:left w:w="15" w:type="dxa"/>
            <w:bottom w:w="15" w:type="dxa"/>
            <w:right w:w="15" w:type="dxa"/>
          </w:tblCellMar>
        </w:tblPrEx>
        <w:trPr>
          <w:trHeight w:val="780" w:hRule="atLeast"/>
          <w:tblCellSpacing w:w="0" w:type="dxa"/>
        </w:trPr>
        <w:tc>
          <w:tcPr>
            <w:tcW w:w="435" w:type="dxa"/>
            <w:vMerge w:val="restart"/>
            <w:tcBorders>
              <w:left w:val="single" w:color="000000" w:sz="8" w:space="0"/>
              <w:bottom w:val="nil"/>
              <w:right w:val="single" w:color="000000" w:sz="8" w:space="0"/>
            </w:tcBorders>
            <w:noWrap w:val="0"/>
            <w:tcMar>
              <w:top w:w="0" w:type="dxa"/>
              <w:left w:w="118" w:type="dxa"/>
              <w:bottom w:w="0" w:type="dxa"/>
              <w:right w:w="118" w:type="dxa"/>
            </w:tcMar>
            <w:vAlign w:val="center"/>
          </w:tcPr>
          <w:p w14:paraId="4FB09E9D">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997" w:type="dxa"/>
            <w:vMerge w:val="restart"/>
            <w:tcBorders>
              <w:bottom w:val="nil"/>
              <w:right w:val="single" w:color="000000" w:sz="8" w:space="0"/>
            </w:tcBorders>
            <w:noWrap w:val="0"/>
            <w:tcMar>
              <w:top w:w="0" w:type="dxa"/>
              <w:left w:w="108" w:type="dxa"/>
              <w:bottom w:w="0" w:type="dxa"/>
              <w:right w:w="118" w:type="dxa"/>
            </w:tcMar>
            <w:vAlign w:val="center"/>
          </w:tcPr>
          <w:p w14:paraId="5162D66A">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驾驶服务</w:t>
            </w:r>
          </w:p>
        </w:tc>
        <w:tc>
          <w:tcPr>
            <w:tcW w:w="588" w:type="dxa"/>
            <w:vMerge w:val="restart"/>
            <w:tcBorders>
              <w:bottom w:val="nil"/>
              <w:right w:val="single" w:color="000000" w:sz="8" w:space="0"/>
            </w:tcBorders>
            <w:noWrap w:val="0"/>
            <w:tcMar>
              <w:top w:w="0" w:type="dxa"/>
              <w:left w:w="108" w:type="dxa"/>
              <w:bottom w:w="0" w:type="dxa"/>
              <w:right w:w="118" w:type="dxa"/>
            </w:tcMar>
            <w:vAlign w:val="center"/>
          </w:tcPr>
          <w:p w14:paraId="228E5B85">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24</w:t>
            </w: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511C65A1">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1、工作服穿着整齐，仪表要整齐、干净，无污渍；纽扣要齐全，扣好；员工证要佩戴整齐，不能歪斜。</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10FFAC71">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2011250">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restart"/>
            <w:tcBorders>
              <w:bottom w:val="nil"/>
              <w:right w:val="single" w:color="000000" w:sz="8" w:space="0"/>
            </w:tcBorders>
            <w:noWrap w:val="0"/>
            <w:tcMar>
              <w:top w:w="0" w:type="dxa"/>
              <w:left w:w="108" w:type="dxa"/>
              <w:bottom w:w="0" w:type="dxa"/>
              <w:right w:w="118" w:type="dxa"/>
            </w:tcMar>
            <w:vAlign w:val="center"/>
          </w:tcPr>
          <w:p w14:paraId="75A9048E">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完全符合得满分，部分符合相应递减，不符合得</w:t>
            </w:r>
            <w:r>
              <w:rPr>
                <w:rStyle w:val="16"/>
                <w:rFonts w:ascii="FangSong_GB2312" w:hAnsi="FangSong_GB2312" w:eastAsia="FangSong_GB2312" w:cs="FangSong_GB2312"/>
                <w:b w:val="0"/>
                <w:bCs w:val="0"/>
                <w:i w:val="0"/>
                <w:iCs w:val="0"/>
                <w:smallCaps w:val="0"/>
                <w:color w:val="000000"/>
                <w:sz w:val="24"/>
                <w:szCs w:val="24"/>
              </w:rPr>
              <w:t>0分</w:t>
            </w:r>
          </w:p>
        </w:tc>
      </w:tr>
      <w:tr w14:paraId="2B715859">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0E49F769">
            <w:pPr>
              <w:rPr>
                <w:rStyle w:val="16"/>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41325A3E">
            <w:pPr>
              <w:rPr>
                <w:rStyle w:val="16"/>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10BF9692">
            <w:pPr>
              <w:rPr>
                <w:rStyle w:val="16"/>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315F93F3">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2、文明服务，态度和蔼，说话有礼貌，答话要明确迅速。</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1657E7F0">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2B3B1EF5">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11924253">
            <w:pPr>
              <w:rPr>
                <w:rFonts w:ascii="FangSong_GB2312" w:hAnsi="FangSong_GB2312" w:eastAsia="FangSong_GB2312" w:cs="FangSong_GB2312"/>
                <w:b w:val="0"/>
                <w:bCs w:val="0"/>
                <w:i w:val="0"/>
                <w:iCs w:val="0"/>
                <w:smallCaps w:val="0"/>
                <w:color w:val="000000"/>
                <w:sz w:val="24"/>
                <w:szCs w:val="24"/>
              </w:rPr>
            </w:pPr>
          </w:p>
        </w:tc>
      </w:tr>
      <w:tr w14:paraId="5579B8B4">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67283722">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C4E8A6E">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44BBBBC6">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720F27B6">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3、安排出勤的驾驶员应准时出车，不得误点；出车后，按审核过的公差派车单出勤，不私自出车，不擅自将车辆交给非驾驶员驾驶。</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E349655">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6C0E84DE">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3395528">
            <w:pPr>
              <w:rPr>
                <w:rFonts w:ascii="FangSong_GB2312" w:hAnsi="FangSong_GB2312" w:eastAsia="FangSong_GB2312" w:cs="FangSong_GB2312"/>
                <w:b w:val="0"/>
                <w:bCs w:val="0"/>
                <w:i w:val="0"/>
                <w:iCs w:val="0"/>
                <w:smallCaps w:val="0"/>
                <w:color w:val="000000"/>
                <w:sz w:val="24"/>
                <w:szCs w:val="24"/>
              </w:rPr>
            </w:pPr>
          </w:p>
        </w:tc>
      </w:tr>
      <w:tr w14:paraId="736B7933">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7FF31267">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4EA394DE">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65D779F1">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70A4FF59">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4、做好使用车辆的洗护工作，保持车辆外部干净无污渍，内部整洁无异味。</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72C5D119">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3045755">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19215309">
            <w:pPr>
              <w:rPr>
                <w:rFonts w:ascii="FangSong_GB2312" w:hAnsi="FangSong_GB2312" w:eastAsia="FangSong_GB2312" w:cs="FangSong_GB2312"/>
                <w:b w:val="0"/>
                <w:bCs w:val="0"/>
                <w:i w:val="0"/>
                <w:iCs w:val="0"/>
                <w:smallCaps w:val="0"/>
                <w:color w:val="000000"/>
                <w:sz w:val="24"/>
                <w:szCs w:val="24"/>
              </w:rPr>
            </w:pPr>
          </w:p>
        </w:tc>
      </w:tr>
      <w:tr w14:paraId="0B6191A1">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right w:val="single" w:color="000000" w:sz="8" w:space="0"/>
            </w:tcBorders>
            <w:vAlign w:val="center"/>
          </w:tcPr>
          <w:p w14:paraId="1EF01727">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1044961">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7DD5150D">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54896506">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5、做好使用车辆的日常检查维护保养工作，发现故障及时报备维修，消除事故隐患，做到不带故障出车。</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1AC533F9">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959236E">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6C519ACC">
            <w:pPr>
              <w:rPr>
                <w:rFonts w:ascii="FangSong_GB2312" w:hAnsi="FangSong_GB2312" w:eastAsia="FangSong_GB2312" w:cs="FangSong_GB2312"/>
                <w:b w:val="0"/>
                <w:bCs w:val="0"/>
                <w:i w:val="0"/>
                <w:iCs w:val="0"/>
                <w:smallCaps w:val="0"/>
                <w:color w:val="000000"/>
                <w:sz w:val="24"/>
                <w:szCs w:val="24"/>
              </w:rPr>
            </w:pPr>
          </w:p>
        </w:tc>
      </w:tr>
      <w:tr w14:paraId="432916C9">
        <w:tblPrEx>
          <w:tblCellMar>
            <w:top w:w="15" w:type="dxa"/>
            <w:left w:w="15" w:type="dxa"/>
            <w:bottom w:w="15" w:type="dxa"/>
            <w:right w:w="15" w:type="dxa"/>
          </w:tblCellMar>
        </w:tblPrEx>
        <w:trPr>
          <w:trHeight w:val="875" w:hRule="atLeast"/>
          <w:tblCellSpacing w:w="0" w:type="dxa"/>
        </w:trPr>
        <w:tc>
          <w:tcPr>
            <w:tcW w:w="435" w:type="dxa"/>
            <w:vMerge w:val="continue"/>
            <w:tcBorders>
              <w:left w:val="single" w:color="000000" w:sz="8" w:space="0"/>
              <w:right w:val="single" w:color="000000" w:sz="8" w:space="0"/>
            </w:tcBorders>
            <w:vAlign w:val="center"/>
          </w:tcPr>
          <w:p w14:paraId="7C8B30EE">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51E35EC4">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546C423E">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28D7B215">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6、车辆停放规范有序，机动车和非机动车实行分区域停放。</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0B809A71">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5D47C174">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1EA35927">
            <w:pPr>
              <w:rPr>
                <w:rFonts w:ascii="FangSong_GB2312" w:hAnsi="FangSong_GB2312" w:eastAsia="FangSong_GB2312" w:cs="FangSong_GB2312"/>
                <w:b w:val="0"/>
                <w:bCs w:val="0"/>
                <w:i w:val="0"/>
                <w:iCs w:val="0"/>
                <w:smallCaps w:val="0"/>
                <w:color w:val="000000"/>
                <w:sz w:val="24"/>
                <w:szCs w:val="24"/>
              </w:rPr>
            </w:pPr>
          </w:p>
        </w:tc>
      </w:tr>
      <w:tr w14:paraId="1BE2973A">
        <w:tblPrEx>
          <w:tblCellMar>
            <w:top w:w="15" w:type="dxa"/>
            <w:left w:w="15" w:type="dxa"/>
            <w:bottom w:w="15" w:type="dxa"/>
            <w:right w:w="15" w:type="dxa"/>
          </w:tblCellMar>
        </w:tblPrEx>
        <w:trPr>
          <w:trHeight w:val="816" w:hRule="atLeast"/>
          <w:tblCellSpacing w:w="0" w:type="dxa"/>
        </w:trPr>
        <w:tc>
          <w:tcPr>
            <w:tcW w:w="435" w:type="dxa"/>
            <w:vMerge w:val="continue"/>
            <w:tcBorders>
              <w:left w:val="single" w:color="000000" w:sz="8" w:space="0"/>
              <w:right w:val="single" w:color="000000" w:sz="8" w:space="0"/>
            </w:tcBorders>
            <w:vAlign w:val="center"/>
          </w:tcPr>
          <w:p w14:paraId="5F4800E1">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7183CE4E">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0C98770C">
            <w:pPr>
              <w:rPr>
                <w:rFonts w:ascii="FangSong_GB2312" w:hAnsi="FangSong_GB2312" w:eastAsia="FangSong_GB2312" w:cs="FangSong_GB2312"/>
                <w:b w:val="0"/>
                <w:bCs w:val="0"/>
                <w:i w:val="0"/>
                <w:iCs w:val="0"/>
                <w:smallCaps w:val="0"/>
                <w:color w:val="000000"/>
                <w:sz w:val="24"/>
                <w:szCs w:val="24"/>
              </w:rPr>
            </w:pPr>
          </w:p>
        </w:tc>
        <w:tc>
          <w:tcPr>
            <w:tcW w:w="4387" w:type="dxa"/>
            <w:tcBorders>
              <w:right w:val="single" w:color="000000" w:sz="8" w:space="0"/>
            </w:tcBorders>
            <w:noWrap w:val="0"/>
            <w:tcMar>
              <w:top w:w="0" w:type="dxa"/>
              <w:left w:w="108" w:type="dxa"/>
              <w:bottom w:w="0" w:type="dxa"/>
              <w:right w:w="118" w:type="dxa"/>
            </w:tcMar>
            <w:vAlign w:val="center"/>
          </w:tcPr>
          <w:p w14:paraId="3FEC0063">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7、出车在外或出车归来应安全停放车辆，锁好保险锁，保管好车辆和证件，严防丢失。</w:t>
            </w:r>
          </w:p>
        </w:tc>
        <w:tc>
          <w:tcPr>
            <w:tcW w:w="500" w:type="dxa"/>
            <w:tcBorders>
              <w:right w:val="single" w:color="000000" w:sz="8" w:space="0"/>
            </w:tcBorders>
            <w:noWrap w:val="0"/>
            <w:tcMar>
              <w:top w:w="0" w:type="dxa"/>
              <w:left w:w="108" w:type="dxa"/>
              <w:bottom w:w="0" w:type="dxa"/>
              <w:right w:w="118" w:type="dxa"/>
            </w:tcMar>
            <w:vAlign w:val="center"/>
          </w:tcPr>
          <w:p w14:paraId="6B6505DD">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p w14:paraId="6C8FE0C2">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7F72B3F8">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28518694">
            <w:pPr>
              <w:rPr>
                <w:rFonts w:ascii="FangSong_GB2312" w:hAnsi="FangSong_GB2312" w:eastAsia="FangSong_GB2312" w:cs="FangSong_GB2312"/>
                <w:b w:val="0"/>
                <w:bCs w:val="0"/>
                <w:i w:val="0"/>
                <w:iCs w:val="0"/>
                <w:smallCaps w:val="0"/>
                <w:color w:val="000000"/>
                <w:sz w:val="24"/>
                <w:szCs w:val="24"/>
              </w:rPr>
            </w:pPr>
          </w:p>
        </w:tc>
      </w:tr>
      <w:tr w14:paraId="777FB22E">
        <w:tblPrEx>
          <w:tblCellMar>
            <w:top w:w="15" w:type="dxa"/>
            <w:left w:w="15" w:type="dxa"/>
            <w:bottom w:w="15" w:type="dxa"/>
            <w:right w:w="15" w:type="dxa"/>
          </w:tblCellMar>
        </w:tblPrEx>
        <w:trPr>
          <w:trHeight w:val="780" w:hRule="atLeast"/>
          <w:tblCellSpacing w:w="0" w:type="dxa"/>
        </w:trPr>
        <w:tc>
          <w:tcPr>
            <w:tcW w:w="435" w:type="dxa"/>
            <w:vMerge w:val="continue"/>
            <w:tcBorders>
              <w:left w:val="single" w:color="000000" w:sz="8" w:space="0"/>
              <w:bottom w:val="single" w:color="000000" w:sz="8" w:space="0"/>
              <w:right w:val="single" w:color="000000" w:sz="8" w:space="0"/>
            </w:tcBorders>
            <w:vAlign w:val="center"/>
          </w:tcPr>
          <w:p w14:paraId="2980AB55">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bottom w:val="single" w:color="000000" w:sz="8" w:space="0"/>
              <w:right w:val="single" w:color="000000" w:sz="8" w:space="0"/>
            </w:tcBorders>
            <w:vAlign w:val="center"/>
          </w:tcPr>
          <w:p w14:paraId="375FF603">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bottom w:val="single" w:color="000000" w:sz="8" w:space="0"/>
              <w:right w:val="single" w:color="000000" w:sz="8" w:space="0"/>
            </w:tcBorders>
            <w:vAlign w:val="center"/>
          </w:tcPr>
          <w:p w14:paraId="4D254A62">
            <w:pPr>
              <w:rPr>
                <w:rFonts w:ascii="FangSong_GB2312" w:hAnsi="FangSong_GB2312" w:eastAsia="FangSong_GB2312" w:cs="FangSong_GB2312"/>
                <w:b w:val="0"/>
                <w:bCs w:val="0"/>
                <w:i w:val="0"/>
                <w:iCs w:val="0"/>
                <w:smallCaps w:val="0"/>
                <w:color w:val="000000"/>
                <w:sz w:val="24"/>
                <w:szCs w:val="24"/>
              </w:rPr>
            </w:pPr>
          </w:p>
        </w:tc>
        <w:tc>
          <w:tcPr>
            <w:tcW w:w="4387"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08FD4A6F">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8、出车归来应做好车辆交接手续；完成出车任务后应及时向公务用车管理岗报告，并对车辆进行安全检查后归库。</w:t>
            </w:r>
          </w:p>
        </w:tc>
        <w:tc>
          <w:tcPr>
            <w:tcW w:w="500"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14:paraId="4C1E5289">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DD2FEBD">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bottom w:val="single" w:color="000000" w:sz="8" w:space="0"/>
              <w:right w:val="single" w:color="000000" w:sz="8" w:space="0"/>
            </w:tcBorders>
            <w:vAlign w:val="center"/>
          </w:tcPr>
          <w:p w14:paraId="58DD7775">
            <w:pPr>
              <w:rPr>
                <w:rFonts w:ascii="FangSong_GB2312" w:hAnsi="FangSong_GB2312" w:eastAsia="FangSong_GB2312" w:cs="FangSong_GB2312"/>
                <w:b w:val="0"/>
                <w:bCs w:val="0"/>
                <w:i w:val="0"/>
                <w:iCs w:val="0"/>
                <w:smallCaps w:val="0"/>
                <w:color w:val="000000"/>
                <w:sz w:val="24"/>
                <w:szCs w:val="24"/>
              </w:rPr>
            </w:pPr>
          </w:p>
        </w:tc>
      </w:tr>
      <w:tr w14:paraId="6D4527F4">
        <w:tblPrEx>
          <w:tblCellMar>
            <w:top w:w="15" w:type="dxa"/>
            <w:left w:w="15" w:type="dxa"/>
            <w:bottom w:w="15" w:type="dxa"/>
            <w:right w:w="15" w:type="dxa"/>
          </w:tblCellMar>
        </w:tblPrEx>
        <w:trPr>
          <w:trHeight w:val="740" w:hRule="atLeast"/>
          <w:tblCellSpacing w:w="0" w:type="dxa"/>
        </w:trPr>
        <w:tc>
          <w:tcPr>
            <w:tcW w:w="435" w:type="dxa"/>
            <w:vMerge w:val="restart"/>
            <w:tcBorders>
              <w:left w:val="single" w:color="000000" w:sz="8" w:space="0"/>
              <w:bottom w:val="nil"/>
              <w:right w:val="single" w:color="000000" w:sz="8" w:space="0"/>
            </w:tcBorders>
            <w:noWrap w:val="0"/>
            <w:tcMar>
              <w:top w:w="0" w:type="dxa"/>
              <w:left w:w="118" w:type="dxa"/>
              <w:bottom w:w="0" w:type="dxa"/>
              <w:right w:w="118" w:type="dxa"/>
            </w:tcMar>
            <w:vAlign w:val="center"/>
          </w:tcPr>
          <w:p w14:paraId="6D36F8D6">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w:t>
            </w:r>
          </w:p>
        </w:tc>
        <w:tc>
          <w:tcPr>
            <w:tcW w:w="997" w:type="dxa"/>
            <w:vMerge w:val="restart"/>
            <w:tcBorders>
              <w:bottom w:val="nil"/>
              <w:right w:val="single" w:color="000000" w:sz="8" w:space="0"/>
            </w:tcBorders>
            <w:noWrap w:val="0"/>
            <w:tcMar>
              <w:top w:w="0" w:type="dxa"/>
              <w:left w:w="108" w:type="dxa"/>
              <w:bottom w:w="0" w:type="dxa"/>
              <w:right w:w="118" w:type="dxa"/>
            </w:tcMar>
            <w:vAlign w:val="center"/>
          </w:tcPr>
          <w:p w14:paraId="7873E62E">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食堂服务</w:t>
            </w:r>
          </w:p>
        </w:tc>
        <w:tc>
          <w:tcPr>
            <w:tcW w:w="588" w:type="dxa"/>
            <w:vMerge w:val="restart"/>
            <w:tcBorders>
              <w:bottom w:val="nil"/>
              <w:right w:val="single" w:color="000000" w:sz="8" w:space="0"/>
            </w:tcBorders>
            <w:noWrap w:val="0"/>
            <w:tcMar>
              <w:top w:w="0" w:type="dxa"/>
              <w:left w:w="108" w:type="dxa"/>
              <w:bottom w:w="0" w:type="dxa"/>
              <w:right w:w="118" w:type="dxa"/>
            </w:tcMar>
            <w:vAlign w:val="center"/>
          </w:tcPr>
          <w:p w14:paraId="6555184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24</w:t>
            </w: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613D7867">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1、工作服穿着整齐，仪表要整齐、干净，无污渍；纽扣要齐全，扣好；员工证要佩戴整齐，不能歪斜。</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6BF2FC03">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E01AA62">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restart"/>
            <w:tcBorders>
              <w:bottom w:val="nil"/>
              <w:right w:val="single" w:color="000000" w:sz="8" w:space="0"/>
            </w:tcBorders>
            <w:noWrap w:val="0"/>
            <w:tcMar>
              <w:top w:w="0" w:type="dxa"/>
              <w:left w:w="108" w:type="dxa"/>
              <w:bottom w:w="0" w:type="dxa"/>
              <w:right w:w="118" w:type="dxa"/>
            </w:tcMar>
            <w:vAlign w:val="center"/>
          </w:tcPr>
          <w:p w14:paraId="579E343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完全符合得满分，部分符合相应递减，不符合得</w:t>
            </w:r>
            <w:r>
              <w:rPr>
                <w:rStyle w:val="16"/>
                <w:rFonts w:ascii="FangSong_GB2312" w:hAnsi="FangSong_GB2312" w:eastAsia="FangSong_GB2312" w:cs="FangSong_GB2312"/>
                <w:b w:val="0"/>
                <w:bCs w:val="0"/>
                <w:i w:val="0"/>
                <w:iCs w:val="0"/>
                <w:smallCaps w:val="0"/>
                <w:color w:val="000000"/>
                <w:sz w:val="24"/>
                <w:szCs w:val="24"/>
              </w:rPr>
              <w:t>0分</w:t>
            </w:r>
          </w:p>
        </w:tc>
      </w:tr>
      <w:tr w14:paraId="793E827C">
        <w:tblPrEx>
          <w:tblCellMar>
            <w:top w:w="15" w:type="dxa"/>
            <w:left w:w="15" w:type="dxa"/>
            <w:bottom w:w="15" w:type="dxa"/>
            <w:right w:w="15" w:type="dxa"/>
          </w:tblCellMar>
        </w:tblPrEx>
        <w:trPr>
          <w:trHeight w:val="740" w:hRule="atLeast"/>
          <w:tblCellSpacing w:w="0" w:type="dxa"/>
        </w:trPr>
        <w:tc>
          <w:tcPr>
            <w:tcW w:w="435" w:type="dxa"/>
            <w:vMerge w:val="continue"/>
            <w:tcBorders>
              <w:left w:val="single" w:color="000000" w:sz="8" w:space="0"/>
              <w:right w:val="single" w:color="000000" w:sz="8" w:space="0"/>
            </w:tcBorders>
            <w:vAlign w:val="center"/>
          </w:tcPr>
          <w:p w14:paraId="42B130D2">
            <w:pPr>
              <w:rPr>
                <w:rStyle w:val="16"/>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46FA4D6D">
            <w:pPr>
              <w:rPr>
                <w:rStyle w:val="16"/>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27497B5B">
            <w:pPr>
              <w:rPr>
                <w:rStyle w:val="16"/>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6568803B">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2、文明服务，态度和蔼，说话有礼貌，答话要明确迅速。</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52DE8FC9">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674B60EE">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F52D925">
            <w:pPr>
              <w:rPr>
                <w:rFonts w:ascii="FangSong_GB2312" w:hAnsi="FangSong_GB2312" w:eastAsia="FangSong_GB2312" w:cs="FangSong_GB2312"/>
                <w:b w:val="0"/>
                <w:bCs w:val="0"/>
                <w:i w:val="0"/>
                <w:iCs w:val="0"/>
                <w:smallCaps w:val="0"/>
                <w:color w:val="000000"/>
                <w:sz w:val="24"/>
                <w:szCs w:val="24"/>
              </w:rPr>
            </w:pPr>
          </w:p>
        </w:tc>
      </w:tr>
      <w:tr w14:paraId="35AC75A6">
        <w:tblPrEx>
          <w:tblCellMar>
            <w:top w:w="15" w:type="dxa"/>
            <w:left w:w="15" w:type="dxa"/>
            <w:bottom w:w="15" w:type="dxa"/>
            <w:right w:w="15" w:type="dxa"/>
          </w:tblCellMar>
        </w:tblPrEx>
        <w:trPr>
          <w:trHeight w:val="740" w:hRule="atLeast"/>
          <w:tblCellSpacing w:w="0" w:type="dxa"/>
        </w:trPr>
        <w:tc>
          <w:tcPr>
            <w:tcW w:w="435" w:type="dxa"/>
            <w:vMerge w:val="continue"/>
            <w:tcBorders>
              <w:left w:val="single" w:color="000000" w:sz="8" w:space="0"/>
              <w:right w:val="single" w:color="000000" w:sz="8" w:space="0"/>
            </w:tcBorders>
            <w:vAlign w:val="center"/>
          </w:tcPr>
          <w:p w14:paraId="6E693B93">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39A7F95B">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79BB9B9C">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79E1F203">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3、厨房相关负责人对购进食品物品进行监秤、检查质量及验收，并履行签收和入库手续。</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7F4C0A05">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26337BD9">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082A173">
            <w:pPr>
              <w:rPr>
                <w:rFonts w:ascii="FangSong_GB2312" w:hAnsi="FangSong_GB2312" w:eastAsia="FangSong_GB2312" w:cs="FangSong_GB2312"/>
                <w:b w:val="0"/>
                <w:bCs w:val="0"/>
                <w:i w:val="0"/>
                <w:iCs w:val="0"/>
                <w:smallCaps w:val="0"/>
                <w:color w:val="000000"/>
                <w:sz w:val="24"/>
                <w:szCs w:val="24"/>
              </w:rPr>
            </w:pPr>
          </w:p>
        </w:tc>
      </w:tr>
      <w:tr w14:paraId="0409F556">
        <w:tblPrEx>
          <w:tblCellMar>
            <w:top w:w="15" w:type="dxa"/>
            <w:left w:w="15" w:type="dxa"/>
            <w:bottom w:w="15" w:type="dxa"/>
            <w:right w:w="15" w:type="dxa"/>
          </w:tblCellMar>
        </w:tblPrEx>
        <w:trPr>
          <w:trHeight w:val="1200" w:hRule="atLeast"/>
          <w:tblCellSpacing w:w="0" w:type="dxa"/>
        </w:trPr>
        <w:tc>
          <w:tcPr>
            <w:tcW w:w="435" w:type="dxa"/>
            <w:vMerge w:val="continue"/>
            <w:tcBorders>
              <w:left w:val="single" w:color="000000" w:sz="8" w:space="0"/>
              <w:right w:val="single" w:color="000000" w:sz="8" w:space="0"/>
            </w:tcBorders>
            <w:vAlign w:val="center"/>
          </w:tcPr>
          <w:p w14:paraId="19E35829">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136C39AF">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7B59BF08">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1CEB1EFF">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4、做好食品储存工作，采取有效措施确保食品材料新鲜、洁净，无污染、无变质，成品存放实行“四隔离”（即生与熟隔离，成品与半成品隔离，食物与药物隔离，食品与天然水、冰隔离）。</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1ECF468E">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0E04D4A">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1BACFC6">
            <w:pPr>
              <w:rPr>
                <w:rFonts w:ascii="FangSong_GB2312" w:hAnsi="FangSong_GB2312" w:eastAsia="FangSong_GB2312" w:cs="FangSong_GB2312"/>
                <w:b w:val="0"/>
                <w:bCs w:val="0"/>
                <w:i w:val="0"/>
                <w:iCs w:val="0"/>
                <w:smallCaps w:val="0"/>
                <w:color w:val="000000"/>
                <w:sz w:val="24"/>
                <w:szCs w:val="24"/>
              </w:rPr>
            </w:pPr>
          </w:p>
        </w:tc>
      </w:tr>
      <w:tr w14:paraId="77F876BD">
        <w:tblPrEx>
          <w:tblCellMar>
            <w:top w:w="15" w:type="dxa"/>
            <w:left w:w="15" w:type="dxa"/>
            <w:bottom w:w="15" w:type="dxa"/>
            <w:right w:w="15" w:type="dxa"/>
          </w:tblCellMar>
        </w:tblPrEx>
        <w:trPr>
          <w:trHeight w:val="740" w:hRule="atLeast"/>
          <w:tblCellSpacing w:w="0" w:type="dxa"/>
        </w:trPr>
        <w:tc>
          <w:tcPr>
            <w:tcW w:w="435" w:type="dxa"/>
            <w:vMerge w:val="continue"/>
            <w:tcBorders>
              <w:left w:val="single" w:color="000000" w:sz="8" w:space="0"/>
              <w:right w:val="single" w:color="000000" w:sz="8" w:space="0"/>
            </w:tcBorders>
            <w:vAlign w:val="center"/>
          </w:tcPr>
          <w:p w14:paraId="2AF08260">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09597EE9">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4C4F0866">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010907A0">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5、做好食品材料加工工作，不加工变质原料，确保食品卫生安全。</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694815ED">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6A1F75F">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6A737AD9">
            <w:pPr>
              <w:rPr>
                <w:rFonts w:ascii="FangSong_GB2312" w:hAnsi="FangSong_GB2312" w:eastAsia="FangSong_GB2312" w:cs="FangSong_GB2312"/>
                <w:b w:val="0"/>
                <w:bCs w:val="0"/>
                <w:i w:val="0"/>
                <w:iCs w:val="0"/>
                <w:smallCaps w:val="0"/>
                <w:color w:val="000000"/>
                <w:sz w:val="24"/>
                <w:szCs w:val="24"/>
              </w:rPr>
            </w:pPr>
          </w:p>
        </w:tc>
      </w:tr>
      <w:tr w14:paraId="633C1F30">
        <w:tblPrEx>
          <w:tblCellMar>
            <w:top w:w="15" w:type="dxa"/>
            <w:left w:w="15" w:type="dxa"/>
            <w:bottom w:w="15" w:type="dxa"/>
            <w:right w:w="15" w:type="dxa"/>
          </w:tblCellMar>
        </w:tblPrEx>
        <w:trPr>
          <w:trHeight w:val="740" w:hRule="atLeast"/>
          <w:tblCellSpacing w:w="0" w:type="dxa"/>
        </w:trPr>
        <w:tc>
          <w:tcPr>
            <w:tcW w:w="435" w:type="dxa"/>
            <w:vMerge w:val="continue"/>
            <w:tcBorders>
              <w:left w:val="single" w:color="000000" w:sz="8" w:space="0"/>
              <w:right w:val="single" w:color="000000" w:sz="8" w:space="0"/>
            </w:tcBorders>
            <w:vAlign w:val="center"/>
          </w:tcPr>
          <w:p w14:paraId="065F492C">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05DC1F88">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2A2C6059">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74E16035">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6、食堂工作环境实行每日清扫、每周大扫除制度，采取有效措施预防和消灭“四害”。</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FE2DE0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A6593F9">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1AE04A21">
            <w:pPr>
              <w:rPr>
                <w:rFonts w:ascii="FangSong_GB2312" w:hAnsi="FangSong_GB2312" w:eastAsia="FangSong_GB2312" w:cs="FangSong_GB2312"/>
                <w:b w:val="0"/>
                <w:bCs w:val="0"/>
                <w:i w:val="0"/>
                <w:iCs w:val="0"/>
                <w:smallCaps w:val="0"/>
                <w:color w:val="000000"/>
                <w:sz w:val="24"/>
                <w:szCs w:val="24"/>
              </w:rPr>
            </w:pPr>
          </w:p>
        </w:tc>
      </w:tr>
      <w:tr w14:paraId="63119E11">
        <w:tblPrEx>
          <w:tblCellMar>
            <w:top w:w="15" w:type="dxa"/>
            <w:left w:w="15" w:type="dxa"/>
            <w:bottom w:w="15" w:type="dxa"/>
            <w:right w:w="15" w:type="dxa"/>
          </w:tblCellMar>
        </w:tblPrEx>
        <w:trPr>
          <w:trHeight w:val="1240" w:hRule="atLeast"/>
          <w:tblCellSpacing w:w="0" w:type="dxa"/>
        </w:trPr>
        <w:tc>
          <w:tcPr>
            <w:tcW w:w="435" w:type="dxa"/>
            <w:vMerge w:val="continue"/>
            <w:tcBorders>
              <w:left w:val="single" w:color="000000" w:sz="8" w:space="0"/>
              <w:right w:val="single" w:color="000000" w:sz="8" w:space="0"/>
            </w:tcBorders>
            <w:vAlign w:val="center"/>
          </w:tcPr>
          <w:p w14:paraId="18B4046C">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263BCC99">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6D1BF723">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678B9544">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7、对餐后用具务必做到“四过关”（即“一冲、二刷、三洗、四消毒”），冲洗干净后放入消毒柜进行高温消毒，清洁餐具不能有洗涤用品、食物残渣、油渍残留。</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4575EC8F">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A1DA5EB">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right w:val="single" w:color="000000" w:sz="8" w:space="0"/>
            </w:tcBorders>
            <w:vAlign w:val="center"/>
          </w:tcPr>
          <w:p w14:paraId="376E7D1D">
            <w:pPr>
              <w:rPr>
                <w:rFonts w:ascii="FangSong_GB2312" w:hAnsi="FangSong_GB2312" w:eastAsia="FangSong_GB2312" w:cs="FangSong_GB2312"/>
                <w:b w:val="0"/>
                <w:bCs w:val="0"/>
                <w:i w:val="0"/>
                <w:iCs w:val="0"/>
                <w:smallCaps w:val="0"/>
                <w:color w:val="000000"/>
                <w:sz w:val="24"/>
                <w:szCs w:val="24"/>
              </w:rPr>
            </w:pPr>
          </w:p>
        </w:tc>
      </w:tr>
      <w:tr w14:paraId="6774E890">
        <w:tblPrEx>
          <w:tblCellMar>
            <w:top w:w="15" w:type="dxa"/>
            <w:left w:w="15" w:type="dxa"/>
            <w:bottom w:w="15" w:type="dxa"/>
            <w:right w:w="15" w:type="dxa"/>
          </w:tblCellMar>
        </w:tblPrEx>
        <w:trPr>
          <w:trHeight w:val="1220" w:hRule="atLeast"/>
          <w:tblCellSpacing w:w="0" w:type="dxa"/>
        </w:trPr>
        <w:tc>
          <w:tcPr>
            <w:tcW w:w="435" w:type="dxa"/>
            <w:vMerge w:val="continue"/>
            <w:tcBorders>
              <w:left w:val="single" w:color="000000" w:sz="8" w:space="0"/>
              <w:bottom w:val="single" w:color="000000" w:sz="8" w:space="0"/>
              <w:right w:val="single" w:color="000000" w:sz="8" w:space="0"/>
            </w:tcBorders>
            <w:vAlign w:val="center"/>
          </w:tcPr>
          <w:p w14:paraId="3CBF06D9">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bottom w:val="single" w:color="000000" w:sz="8" w:space="0"/>
              <w:right w:val="single" w:color="000000" w:sz="8" w:space="0"/>
            </w:tcBorders>
            <w:vAlign w:val="center"/>
          </w:tcPr>
          <w:p w14:paraId="6B6E5FFE">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bottom w:val="single" w:color="000000" w:sz="8" w:space="0"/>
              <w:right w:val="single" w:color="000000" w:sz="8" w:space="0"/>
            </w:tcBorders>
            <w:vAlign w:val="center"/>
          </w:tcPr>
          <w:p w14:paraId="783DAC57">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0AC4D777">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8、下班后需对厨房内容易发生危险的地方认真检查，储存好各种食品，杜绝食物中毒事件的发生；关好电源、水源、天然气，锁好门窗方可离开。</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00C3E412">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3ADCE909">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vMerge w:val="continue"/>
            <w:tcBorders>
              <w:bottom w:val="single" w:color="000000" w:sz="8" w:space="0"/>
              <w:right w:val="single" w:color="000000" w:sz="8" w:space="0"/>
            </w:tcBorders>
            <w:vAlign w:val="center"/>
          </w:tcPr>
          <w:p w14:paraId="4C2C019E">
            <w:pPr>
              <w:rPr>
                <w:rFonts w:ascii="FangSong_GB2312" w:hAnsi="FangSong_GB2312" w:eastAsia="FangSong_GB2312" w:cs="FangSong_GB2312"/>
                <w:b w:val="0"/>
                <w:bCs w:val="0"/>
                <w:i w:val="0"/>
                <w:iCs w:val="0"/>
                <w:smallCaps w:val="0"/>
                <w:color w:val="000000"/>
                <w:sz w:val="24"/>
                <w:szCs w:val="24"/>
              </w:rPr>
            </w:pPr>
          </w:p>
        </w:tc>
      </w:tr>
      <w:tr w14:paraId="7A091B12">
        <w:tblPrEx>
          <w:tblCellMar>
            <w:top w:w="15" w:type="dxa"/>
            <w:left w:w="15" w:type="dxa"/>
            <w:bottom w:w="15" w:type="dxa"/>
            <w:right w:w="15" w:type="dxa"/>
          </w:tblCellMar>
        </w:tblPrEx>
        <w:trPr>
          <w:trHeight w:val="1060" w:hRule="atLeast"/>
          <w:tblCellSpacing w:w="0" w:type="dxa"/>
        </w:trPr>
        <w:tc>
          <w:tcPr>
            <w:tcW w:w="435" w:type="dxa"/>
            <w:vMerge w:val="restart"/>
            <w:tcBorders>
              <w:left w:val="single" w:color="000000" w:sz="8" w:space="0"/>
              <w:bottom w:val="nil"/>
              <w:right w:val="single" w:color="000000" w:sz="8" w:space="0"/>
            </w:tcBorders>
            <w:noWrap w:val="0"/>
            <w:tcMar>
              <w:top w:w="0" w:type="dxa"/>
              <w:left w:w="118" w:type="dxa"/>
              <w:bottom w:w="0" w:type="dxa"/>
              <w:right w:w="118" w:type="dxa"/>
            </w:tcMar>
            <w:vAlign w:val="center"/>
          </w:tcPr>
          <w:p w14:paraId="0FE95C88">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5</w:t>
            </w:r>
          </w:p>
        </w:tc>
        <w:tc>
          <w:tcPr>
            <w:tcW w:w="997" w:type="dxa"/>
            <w:vMerge w:val="restart"/>
            <w:tcBorders>
              <w:bottom w:val="nil"/>
              <w:right w:val="single" w:color="000000" w:sz="8" w:space="0"/>
            </w:tcBorders>
            <w:noWrap w:val="0"/>
            <w:tcMar>
              <w:top w:w="0" w:type="dxa"/>
              <w:left w:w="108" w:type="dxa"/>
              <w:bottom w:w="0" w:type="dxa"/>
              <w:right w:w="118" w:type="dxa"/>
            </w:tcMar>
            <w:vAlign w:val="center"/>
          </w:tcPr>
          <w:p w14:paraId="0866DB65">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投诉整改</w:t>
            </w:r>
          </w:p>
        </w:tc>
        <w:tc>
          <w:tcPr>
            <w:tcW w:w="588" w:type="dxa"/>
            <w:vMerge w:val="restart"/>
            <w:tcBorders>
              <w:bottom w:val="nil"/>
              <w:right w:val="single" w:color="000000" w:sz="8" w:space="0"/>
            </w:tcBorders>
            <w:noWrap w:val="0"/>
            <w:tcMar>
              <w:top w:w="0" w:type="dxa"/>
              <w:left w:w="108" w:type="dxa"/>
              <w:bottom w:w="0" w:type="dxa"/>
              <w:right w:w="118" w:type="dxa"/>
            </w:tcMar>
            <w:vAlign w:val="center"/>
          </w:tcPr>
          <w:p w14:paraId="13C1CFC7">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11</w:t>
            </w: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115FD95B">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1、建立完善的投诉响应机制，并能妥善处理各类投诉及建议，给予投诉客户答复。</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22732FEB">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24124081">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tcBorders>
              <w:bottom w:val="single" w:color="000000" w:sz="8" w:space="0"/>
              <w:right w:val="single" w:color="000000" w:sz="8" w:space="0"/>
            </w:tcBorders>
            <w:noWrap w:val="0"/>
            <w:tcMar>
              <w:top w:w="0" w:type="dxa"/>
              <w:left w:w="108" w:type="dxa"/>
              <w:bottom w:w="0" w:type="dxa"/>
              <w:right w:w="118" w:type="dxa"/>
            </w:tcMar>
            <w:vAlign w:val="center"/>
          </w:tcPr>
          <w:p w14:paraId="059BACF7">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投诉事件经认定属实，未妥善处理扣1</w:t>
            </w:r>
            <w:r>
              <w:rPr>
                <w:rStyle w:val="16"/>
                <w:rFonts w:ascii="FangSong_GB2312" w:hAnsi="FangSong_GB2312" w:eastAsia="FangSong_GB2312" w:cs="FangSong_GB2312"/>
                <w:b w:val="0"/>
                <w:bCs w:val="0"/>
                <w:i w:val="0"/>
                <w:iCs w:val="0"/>
                <w:smallCaps w:val="0"/>
                <w:color w:val="000000"/>
                <w:sz w:val="24"/>
                <w:szCs w:val="24"/>
              </w:rPr>
              <w:t>分。</w:t>
            </w:r>
          </w:p>
        </w:tc>
      </w:tr>
      <w:tr w14:paraId="468DCB7E">
        <w:tblPrEx>
          <w:tblCellMar>
            <w:top w:w="15" w:type="dxa"/>
            <w:left w:w="15" w:type="dxa"/>
            <w:bottom w:w="15" w:type="dxa"/>
            <w:right w:w="15" w:type="dxa"/>
          </w:tblCellMar>
        </w:tblPrEx>
        <w:trPr>
          <w:trHeight w:val="500" w:hRule="atLeast"/>
          <w:tblCellSpacing w:w="0" w:type="dxa"/>
        </w:trPr>
        <w:tc>
          <w:tcPr>
            <w:tcW w:w="435" w:type="dxa"/>
            <w:vMerge w:val="continue"/>
            <w:tcBorders>
              <w:left w:val="single" w:color="000000" w:sz="8" w:space="0"/>
              <w:right w:val="single" w:color="000000" w:sz="8" w:space="0"/>
            </w:tcBorders>
            <w:vAlign w:val="center"/>
          </w:tcPr>
          <w:p w14:paraId="647C089D">
            <w:pPr>
              <w:rPr>
                <w:rStyle w:val="16"/>
                <w:rFonts w:ascii="FangSong_GB2312" w:hAnsi="FangSong_GB2312" w:eastAsia="FangSong_GB2312" w:cs="FangSong_GB2312"/>
                <w:b w:val="0"/>
                <w:bCs w:val="0"/>
                <w:i w:val="0"/>
                <w:iCs w:val="0"/>
                <w:smallCaps w:val="0"/>
                <w:color w:val="000000"/>
                <w:sz w:val="24"/>
                <w:szCs w:val="24"/>
              </w:rPr>
            </w:pPr>
          </w:p>
        </w:tc>
        <w:tc>
          <w:tcPr>
            <w:tcW w:w="997" w:type="dxa"/>
            <w:vMerge w:val="continue"/>
            <w:tcBorders>
              <w:right w:val="single" w:color="000000" w:sz="8" w:space="0"/>
            </w:tcBorders>
            <w:vAlign w:val="center"/>
          </w:tcPr>
          <w:p w14:paraId="2681B850">
            <w:pPr>
              <w:rPr>
                <w:rStyle w:val="16"/>
                <w:rFonts w:ascii="FangSong_GB2312" w:hAnsi="FangSong_GB2312" w:eastAsia="FangSong_GB2312" w:cs="FangSong_GB2312"/>
                <w:b w:val="0"/>
                <w:bCs w:val="0"/>
                <w:i w:val="0"/>
                <w:iCs w:val="0"/>
                <w:smallCaps w:val="0"/>
                <w:color w:val="000000"/>
                <w:sz w:val="24"/>
                <w:szCs w:val="24"/>
              </w:rPr>
            </w:pPr>
          </w:p>
        </w:tc>
        <w:tc>
          <w:tcPr>
            <w:tcW w:w="588" w:type="dxa"/>
            <w:vMerge w:val="continue"/>
            <w:tcBorders>
              <w:right w:val="single" w:color="000000" w:sz="8" w:space="0"/>
            </w:tcBorders>
            <w:vAlign w:val="center"/>
          </w:tcPr>
          <w:p w14:paraId="25C93A9D">
            <w:pPr>
              <w:rPr>
                <w:rStyle w:val="16"/>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30BF974E">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2、检查整改有效落实。</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10852003">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5</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B4CDC2E">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tcBorders>
              <w:bottom w:val="single" w:color="000000" w:sz="8" w:space="0"/>
              <w:right w:val="single" w:color="000000" w:sz="8" w:space="0"/>
            </w:tcBorders>
            <w:noWrap w:val="0"/>
            <w:tcMar>
              <w:top w:w="0" w:type="dxa"/>
              <w:left w:w="108" w:type="dxa"/>
              <w:bottom w:w="0" w:type="dxa"/>
              <w:right w:w="118" w:type="dxa"/>
            </w:tcMar>
            <w:vAlign w:val="center"/>
          </w:tcPr>
          <w:p w14:paraId="2C8B67D3">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strike w:val="0"/>
                <w:color w:val="000000"/>
                <w:sz w:val="24"/>
                <w:szCs w:val="24"/>
                <w:u w:val="none"/>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19050"/>
                  <wp:effectExtent l="0" t="0" r="9525"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5"/>
                          <a:stretch>
                            <a:fillRect/>
                          </a:stretch>
                        </pic:blipFill>
                        <pic:spPr>
                          <a:xfrm>
                            <a:off x="0" y="0"/>
                            <a:ext cx="9525" cy="19050"/>
                          </a:xfrm>
                          <a:prstGeom prst="rect">
                            <a:avLst/>
                          </a:prstGeom>
                        </pic:spPr>
                      </pic:pic>
                    </a:graphicData>
                  </a:graphic>
                </wp:anchor>
              </w:drawing>
            </w:r>
            <w:r>
              <w:rPr>
                <w:rFonts w:ascii="FangSong_GB2312" w:hAnsi="FangSong_GB2312" w:eastAsia="FangSong_GB2312" w:cs="FangSong_GB2312"/>
                <w:b w:val="0"/>
                <w:bCs w:val="0"/>
                <w:i w:val="0"/>
                <w:iCs w:val="0"/>
                <w:smallCaps w:val="0"/>
                <w:strike w:val="0"/>
                <w:color w:val="000000"/>
                <w:sz w:val="24"/>
                <w:szCs w:val="24"/>
                <w:u w:val="none"/>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19050"/>
                  <wp:effectExtent l="0" t="0" r="9525" b="0"/>
                  <wp:wrapNone/>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5"/>
                          <a:stretch>
                            <a:fillRect/>
                          </a:stretch>
                        </pic:blipFill>
                        <pic:spPr>
                          <a:xfrm>
                            <a:off x="0" y="0"/>
                            <a:ext cx="9525" cy="19050"/>
                          </a:xfrm>
                          <a:prstGeom prst="rect">
                            <a:avLst/>
                          </a:prstGeom>
                        </pic:spPr>
                      </pic:pic>
                    </a:graphicData>
                  </a:graphic>
                </wp:anchor>
              </w:drawing>
            </w:r>
            <w:r>
              <w:rPr>
                <w:rFonts w:ascii="FangSong_GB2312" w:hAnsi="FangSong_GB2312" w:eastAsia="FangSong_GB2312" w:cs="FangSong_GB2312"/>
                <w:b w:val="0"/>
                <w:bCs w:val="0"/>
                <w:i w:val="0"/>
                <w:iCs w:val="0"/>
                <w:smallCaps w:val="0"/>
                <w:color w:val="000000"/>
                <w:sz w:val="24"/>
                <w:szCs w:val="24"/>
              </w:rPr>
              <w:t>符合得5分，不符合得0分</w:t>
            </w:r>
          </w:p>
        </w:tc>
      </w:tr>
      <w:tr w14:paraId="115A8DFB">
        <w:tblPrEx>
          <w:tblCellMar>
            <w:top w:w="15" w:type="dxa"/>
            <w:left w:w="15" w:type="dxa"/>
            <w:bottom w:w="15" w:type="dxa"/>
            <w:right w:w="15" w:type="dxa"/>
          </w:tblCellMar>
        </w:tblPrEx>
        <w:trPr>
          <w:trHeight w:val="500" w:hRule="atLeast"/>
          <w:tblCellSpacing w:w="0" w:type="dxa"/>
        </w:trPr>
        <w:tc>
          <w:tcPr>
            <w:tcW w:w="435" w:type="dxa"/>
            <w:vMerge w:val="continue"/>
            <w:tcBorders>
              <w:left w:val="single" w:color="000000" w:sz="8" w:space="0"/>
              <w:bottom w:val="single" w:color="000000" w:sz="8" w:space="0"/>
              <w:right w:val="single" w:color="000000" w:sz="8" w:space="0"/>
            </w:tcBorders>
            <w:vAlign w:val="center"/>
          </w:tcPr>
          <w:p w14:paraId="5920F37D">
            <w:pPr>
              <w:rPr>
                <w:rFonts w:ascii="FangSong_GB2312" w:hAnsi="FangSong_GB2312" w:eastAsia="FangSong_GB2312" w:cs="FangSong_GB2312"/>
                <w:b w:val="0"/>
                <w:bCs w:val="0"/>
                <w:i w:val="0"/>
                <w:iCs w:val="0"/>
                <w:smallCaps w:val="0"/>
                <w:color w:val="000000"/>
                <w:sz w:val="24"/>
                <w:szCs w:val="24"/>
              </w:rPr>
            </w:pPr>
          </w:p>
        </w:tc>
        <w:tc>
          <w:tcPr>
            <w:tcW w:w="997" w:type="dxa"/>
            <w:vMerge w:val="continue"/>
            <w:tcBorders>
              <w:bottom w:val="single" w:color="000000" w:sz="8" w:space="0"/>
              <w:right w:val="single" w:color="000000" w:sz="8" w:space="0"/>
            </w:tcBorders>
            <w:vAlign w:val="center"/>
          </w:tcPr>
          <w:p w14:paraId="57A5AB81">
            <w:pPr>
              <w:rPr>
                <w:rFonts w:ascii="FangSong_GB2312" w:hAnsi="FangSong_GB2312" w:eastAsia="FangSong_GB2312" w:cs="FangSong_GB2312"/>
                <w:b w:val="0"/>
                <w:bCs w:val="0"/>
                <w:i w:val="0"/>
                <w:iCs w:val="0"/>
                <w:smallCaps w:val="0"/>
                <w:color w:val="000000"/>
                <w:sz w:val="24"/>
                <w:szCs w:val="24"/>
              </w:rPr>
            </w:pPr>
          </w:p>
        </w:tc>
        <w:tc>
          <w:tcPr>
            <w:tcW w:w="588" w:type="dxa"/>
            <w:vMerge w:val="continue"/>
            <w:tcBorders>
              <w:bottom w:val="single" w:color="000000" w:sz="8" w:space="0"/>
              <w:right w:val="single" w:color="000000" w:sz="8" w:space="0"/>
            </w:tcBorders>
            <w:vAlign w:val="center"/>
          </w:tcPr>
          <w:p w14:paraId="1B59E5F0">
            <w:pPr>
              <w:rPr>
                <w:rFonts w:ascii="FangSong_GB2312" w:hAnsi="FangSong_GB2312" w:eastAsia="FangSong_GB2312" w:cs="FangSong_GB2312"/>
                <w:b w:val="0"/>
                <w:bCs w:val="0"/>
                <w:i w:val="0"/>
                <w:iCs w:val="0"/>
                <w:smallCaps w:val="0"/>
                <w:color w:val="000000"/>
                <w:sz w:val="24"/>
                <w:szCs w:val="24"/>
              </w:rPr>
            </w:pPr>
          </w:p>
        </w:tc>
        <w:tc>
          <w:tcPr>
            <w:tcW w:w="4387" w:type="dxa"/>
            <w:tcBorders>
              <w:bottom w:val="single" w:color="000000" w:sz="8" w:space="0"/>
              <w:right w:val="single" w:color="000000" w:sz="8" w:space="0"/>
            </w:tcBorders>
            <w:noWrap w:val="0"/>
            <w:tcMar>
              <w:top w:w="0" w:type="dxa"/>
              <w:left w:w="108" w:type="dxa"/>
              <w:bottom w:w="0" w:type="dxa"/>
              <w:right w:w="118" w:type="dxa"/>
            </w:tcMar>
            <w:vAlign w:val="center"/>
          </w:tcPr>
          <w:p w14:paraId="7362CE20">
            <w:pPr>
              <w:pStyle w:val="12"/>
              <w:spacing w:before="0" w:after="0"/>
              <w:ind w:left="0" w:right="0"/>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3、无其他违反采购人相关规定之事项。</w:t>
            </w:r>
          </w:p>
        </w:tc>
        <w:tc>
          <w:tcPr>
            <w:tcW w:w="500" w:type="dxa"/>
            <w:tcBorders>
              <w:bottom w:val="single" w:color="000000" w:sz="8" w:space="0"/>
              <w:right w:val="single" w:color="000000" w:sz="8" w:space="0"/>
            </w:tcBorders>
            <w:noWrap w:val="0"/>
            <w:tcMar>
              <w:top w:w="0" w:type="dxa"/>
              <w:left w:w="108" w:type="dxa"/>
              <w:bottom w:w="0" w:type="dxa"/>
              <w:right w:w="118" w:type="dxa"/>
            </w:tcMar>
            <w:vAlign w:val="center"/>
          </w:tcPr>
          <w:p w14:paraId="04AB83EF">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3</w:t>
            </w:r>
          </w:p>
        </w:tc>
        <w:tc>
          <w:tcPr>
            <w:tcW w:w="466" w:type="dxa"/>
            <w:tcBorders>
              <w:bottom w:val="single" w:color="000000" w:sz="8" w:space="0"/>
              <w:right w:val="single" w:color="000000" w:sz="8" w:space="0"/>
            </w:tcBorders>
            <w:noWrap w:val="0"/>
            <w:tcMar>
              <w:top w:w="0" w:type="dxa"/>
              <w:left w:w="108" w:type="dxa"/>
              <w:bottom w:w="0" w:type="dxa"/>
              <w:right w:w="118" w:type="dxa"/>
            </w:tcMar>
            <w:vAlign w:val="center"/>
          </w:tcPr>
          <w:p w14:paraId="44C49753">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c>
          <w:tcPr>
            <w:tcW w:w="1772" w:type="dxa"/>
            <w:tcBorders>
              <w:bottom w:val="single" w:color="000000" w:sz="8" w:space="0"/>
              <w:right w:val="single" w:color="000000" w:sz="8" w:space="0"/>
            </w:tcBorders>
            <w:noWrap w:val="0"/>
            <w:tcMar>
              <w:top w:w="0" w:type="dxa"/>
              <w:left w:w="108" w:type="dxa"/>
              <w:bottom w:w="0" w:type="dxa"/>
              <w:right w:w="118" w:type="dxa"/>
            </w:tcMar>
            <w:vAlign w:val="center"/>
          </w:tcPr>
          <w:p w14:paraId="6A06AC87">
            <w:pPr>
              <w:pStyle w:val="12"/>
              <w:spacing w:before="0" w:after="0"/>
              <w:ind w:left="0" w:right="0"/>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符合得3分，不符合得0分</w:t>
            </w:r>
          </w:p>
        </w:tc>
      </w:tr>
      <w:tr w14:paraId="67A00C38">
        <w:tblPrEx>
          <w:tblCellMar>
            <w:top w:w="15" w:type="dxa"/>
            <w:left w:w="15" w:type="dxa"/>
            <w:bottom w:w="15" w:type="dxa"/>
            <w:right w:w="15" w:type="dxa"/>
          </w:tblCellMar>
        </w:tblPrEx>
        <w:trPr>
          <w:trHeight w:val="705" w:hRule="atLeast"/>
          <w:tblCellSpacing w:w="0" w:type="dxa"/>
        </w:trPr>
        <w:tc>
          <w:tcPr>
            <w:tcW w:w="435"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14:paraId="1053595A">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6</w:t>
            </w:r>
          </w:p>
        </w:tc>
        <w:tc>
          <w:tcPr>
            <w:tcW w:w="997" w:type="dxa"/>
            <w:tcBorders>
              <w:bottom w:val="single" w:color="000000" w:sz="8" w:space="0"/>
              <w:right w:val="single" w:color="000000" w:sz="8" w:space="0"/>
            </w:tcBorders>
            <w:noWrap w:val="0"/>
            <w:tcMar>
              <w:top w:w="0" w:type="dxa"/>
              <w:left w:w="108" w:type="dxa"/>
              <w:bottom w:w="0" w:type="dxa"/>
              <w:right w:w="118" w:type="dxa"/>
            </w:tcMar>
            <w:vAlign w:val="center"/>
          </w:tcPr>
          <w:p w14:paraId="1099FD8C">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标准分</w:t>
            </w:r>
          </w:p>
        </w:tc>
        <w:tc>
          <w:tcPr>
            <w:tcW w:w="7713" w:type="dxa"/>
            <w:gridSpan w:val="5"/>
            <w:tcBorders>
              <w:bottom w:val="single" w:color="000000" w:sz="8" w:space="0"/>
              <w:right w:val="single" w:color="000000" w:sz="8" w:space="0"/>
            </w:tcBorders>
            <w:noWrap w:val="0"/>
            <w:tcMar>
              <w:top w:w="0" w:type="dxa"/>
              <w:left w:w="108" w:type="dxa"/>
              <w:bottom w:w="0" w:type="dxa"/>
              <w:right w:w="118" w:type="dxa"/>
            </w:tcMar>
            <w:vAlign w:val="center"/>
          </w:tcPr>
          <w:p w14:paraId="2BC1444D">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100</w:t>
            </w:r>
          </w:p>
        </w:tc>
      </w:tr>
      <w:tr w14:paraId="27B58A79">
        <w:tblPrEx>
          <w:tblCellMar>
            <w:top w:w="15" w:type="dxa"/>
            <w:left w:w="15" w:type="dxa"/>
            <w:bottom w:w="15" w:type="dxa"/>
            <w:right w:w="15" w:type="dxa"/>
          </w:tblCellMar>
        </w:tblPrEx>
        <w:trPr>
          <w:trHeight w:val="735" w:hRule="atLeast"/>
          <w:tblCellSpacing w:w="0" w:type="dxa"/>
        </w:trPr>
        <w:tc>
          <w:tcPr>
            <w:tcW w:w="435"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14:paraId="4FE92ED5">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7</w:t>
            </w:r>
          </w:p>
        </w:tc>
        <w:tc>
          <w:tcPr>
            <w:tcW w:w="997" w:type="dxa"/>
            <w:tcBorders>
              <w:bottom w:val="single" w:color="000000" w:sz="8" w:space="0"/>
              <w:right w:val="single" w:color="000000" w:sz="8" w:space="0"/>
            </w:tcBorders>
            <w:noWrap w:val="0"/>
            <w:tcMar>
              <w:top w:w="0" w:type="dxa"/>
              <w:left w:w="108" w:type="dxa"/>
              <w:bottom w:w="0" w:type="dxa"/>
              <w:right w:w="118" w:type="dxa"/>
            </w:tcMar>
            <w:vAlign w:val="center"/>
          </w:tcPr>
          <w:p w14:paraId="3D6B80D2">
            <w:pPr>
              <w:pStyle w:val="12"/>
              <w:spacing w:before="0" w:after="0"/>
              <w:ind w:left="0" w:right="0"/>
              <w:jc w:val="center"/>
              <w:textAlignment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考核实际得分</w:t>
            </w:r>
          </w:p>
        </w:tc>
        <w:tc>
          <w:tcPr>
            <w:tcW w:w="7713" w:type="dxa"/>
            <w:gridSpan w:val="5"/>
            <w:tcBorders>
              <w:bottom w:val="single" w:color="000000" w:sz="8" w:space="0"/>
              <w:right w:val="single" w:color="000000" w:sz="8" w:space="0"/>
            </w:tcBorders>
            <w:noWrap w:val="0"/>
            <w:tcMar>
              <w:top w:w="0" w:type="dxa"/>
              <w:left w:w="108" w:type="dxa"/>
              <w:bottom w:w="0" w:type="dxa"/>
              <w:right w:w="118" w:type="dxa"/>
            </w:tcMar>
            <w:vAlign w:val="center"/>
          </w:tcPr>
          <w:p w14:paraId="0548BF11">
            <w:pPr>
              <w:pStyle w:val="12"/>
              <w:spacing w:before="0" w:after="0"/>
              <w:ind w:left="0" w:right="0"/>
              <w:jc w:val="center"/>
              <w:rPr>
                <w:rFonts w:ascii="Calibri" w:hAnsi="Calibri" w:eastAsia="Calibri" w:cs="Calibri"/>
                <w:b w:val="0"/>
                <w:bCs w:val="0"/>
                <w:i w:val="0"/>
                <w:iCs w:val="0"/>
                <w:smallCaps w:val="0"/>
                <w:color w:val="000000"/>
                <w:sz w:val="20"/>
                <w:szCs w:val="20"/>
              </w:rPr>
            </w:pPr>
            <w:r>
              <w:rPr>
                <w:rFonts w:ascii="FangSong_GB2312" w:hAnsi="FangSong_GB2312" w:eastAsia="FangSong_GB2312" w:cs="FangSong_GB2312"/>
                <w:b w:val="0"/>
                <w:bCs w:val="0"/>
                <w:i w:val="0"/>
                <w:iCs w:val="0"/>
                <w:smallCaps w:val="0"/>
                <w:color w:val="000000"/>
                <w:sz w:val="24"/>
                <w:szCs w:val="24"/>
              </w:rPr>
              <w:t> </w:t>
            </w:r>
          </w:p>
        </w:tc>
      </w:tr>
    </w:tbl>
    <w:p w14:paraId="46573826">
      <w:pPr>
        <w:pStyle w:val="12"/>
        <w:spacing w:before="0" w:after="0" w:line="360" w:lineRule="auto"/>
        <w:ind w:left="0" w:right="0"/>
        <w:jc w:val="both"/>
        <w:rPr>
          <w:rFonts w:ascii="Calibri" w:hAnsi="Calibri" w:eastAsia="Calibri" w:cs="Calibri"/>
          <w:sz w:val="21"/>
          <w:szCs w:val="21"/>
        </w:rPr>
      </w:pPr>
      <w:r>
        <w:rPr>
          <w:rFonts w:ascii="FangSong_GB2312" w:hAnsi="FangSong_GB2312" w:eastAsia="FangSong_GB2312" w:cs="FangSong_GB2312"/>
          <w:sz w:val="28"/>
          <w:szCs w:val="28"/>
        </w:rPr>
        <w:t> 供应商负责人签字：                       采购人负责人/授权代表签字：</w:t>
      </w:r>
    </w:p>
    <w:p w14:paraId="3F332E59">
      <w:pPr>
        <w:pStyle w:val="12"/>
        <w:spacing w:before="0" w:after="0" w:line="360" w:lineRule="auto"/>
        <w:ind w:left="0" w:right="0"/>
        <w:rPr>
          <w:rFonts w:ascii="Calibri" w:hAnsi="Calibri" w:eastAsia="Calibri" w:cs="Calibri"/>
          <w:sz w:val="21"/>
          <w:szCs w:val="21"/>
        </w:rPr>
      </w:pPr>
      <w:r>
        <w:rPr>
          <w:rFonts w:ascii="FangSong_GB2312" w:hAnsi="FangSong_GB2312" w:eastAsia="FangSong_GB2312" w:cs="FangSong_GB2312"/>
          <w:spacing w:val="-1"/>
          <w:sz w:val="28"/>
          <w:szCs w:val="28"/>
        </w:rPr>
        <w:t>此表供参考，采购人可根据实际设置考评项目。</w:t>
      </w:r>
    </w:p>
    <w:p w14:paraId="789C759B">
      <w:pPr>
        <w:pStyle w:val="2"/>
        <w:keepNext w:val="0"/>
        <w:spacing w:before="0" w:after="0" w:line="360" w:lineRule="auto"/>
        <w:jc w:val="center"/>
        <w:rPr>
          <w:rFonts w:ascii="仿宋_GB2312" w:hAnsi="仿宋_GB2312" w:eastAsia="仿宋_GB2312" w:cs="仿宋_GB2312"/>
          <w:b/>
          <w:bCs/>
          <w:sz w:val="32"/>
          <w:szCs w:val="32"/>
        </w:rPr>
      </w:pPr>
      <w:bookmarkStart w:id="27" w:name="_Toc256000025"/>
      <w:r>
        <w:rPr>
          <w:rFonts w:ascii="仿宋_GB2312" w:hAnsi="仿宋_GB2312" w:eastAsia="仿宋_GB2312" w:cs="仿宋_GB2312"/>
          <w:kern w:val="36"/>
        </w:rPr>
        <w:t>8其他要求</w:t>
      </w:r>
      <w:bookmarkEnd w:id="27"/>
    </w:p>
    <w:p w14:paraId="2EEBE204">
      <w:pPr>
        <w:pStyle w:val="3"/>
        <w:keepNext w:val="0"/>
        <w:spacing w:before="0" w:after="0" w:line="360" w:lineRule="auto"/>
        <w:rPr>
          <w:rFonts w:ascii="仿宋_GB2312" w:hAnsi="仿宋_GB2312" w:eastAsia="仿宋_GB2312" w:cs="仿宋_GB2312"/>
          <w:b/>
          <w:bCs/>
          <w:sz w:val="28"/>
          <w:szCs w:val="28"/>
        </w:rPr>
      </w:pPr>
      <w:bookmarkStart w:id="28" w:name="_Toc256000026"/>
      <w:r>
        <w:rPr>
          <w:rFonts w:ascii="仿宋_GB2312" w:hAnsi="仿宋_GB2312" w:eastAsia="仿宋_GB2312" w:cs="仿宋_GB2312"/>
          <w:i w:val="0"/>
          <w:iCs w:val="0"/>
        </w:rPr>
        <w:t>8.1付款安排建议</w:t>
      </w:r>
      <w:bookmarkEnd w:id="28"/>
    </w:p>
    <w:tbl>
      <w:tblPr>
        <w:tblStyle w:val="9"/>
        <w:tblW w:w="5000" w:type="pct"/>
        <w:tblInd w:w="30" w:type="dxa"/>
        <w:tblLayout w:type="autofit"/>
        <w:tblCellMar>
          <w:top w:w="15" w:type="dxa"/>
          <w:left w:w="15" w:type="dxa"/>
          <w:bottom w:w="15" w:type="dxa"/>
          <w:right w:w="15" w:type="dxa"/>
        </w:tblCellMar>
      </w:tblPr>
      <w:tblGrid>
        <w:gridCol w:w="1813"/>
        <w:gridCol w:w="5438"/>
        <w:gridCol w:w="1813"/>
      </w:tblGrid>
      <w:tr w14:paraId="0FC33D2F">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829C403">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67743FC9">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655A0C05">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14:paraId="3D33767D">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C164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FA0B0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F50C9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AA57DD4">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D2B7C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5B31F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EA82B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33D0FBBC">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A8A45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8F43F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551A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27AB555">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988A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第4次付款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965CD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2642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71A65AC9">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14110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第5次付款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802AE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749EE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59302174">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66CBF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第6次付款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857F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9513E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93CAF1D">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E40C6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第7次付款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D8472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21026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57048D77">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1C5C6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第8次付款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5E333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B3F27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66F06B9F">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558F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第9次付款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F7E7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A6650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270B1BB">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1F64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第10次付款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99871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06C0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74D86765">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CFEF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241B9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F7C32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78C26FD3">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B65B8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24D7E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6CBD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26420D06">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21E4E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F221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947BA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21C610A6">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0C445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第14次付款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B4AC3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ECB1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272C6028">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864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第15次付款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A80AF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A990D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FE7431D">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15953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第16次付款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BB0C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B8A74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14068C6D">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4650D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第17次付款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A24D1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AC365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329D9FE8">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300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第18次付款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4CD3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53FC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56D34151">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0CB2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第19次付款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028BD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06105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61BDE711">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5B97D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第20次付款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FB8B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200F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AE24CA2">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1C03C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8D324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CE46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72F8C98C">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5B7C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C22E1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A02A3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0596B3F9">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FD0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CF0D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02992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4.17</w:t>
            </w:r>
          </w:p>
        </w:tc>
      </w:tr>
      <w:tr w14:paraId="35B3E751">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321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第24次付款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1A1CC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本项目服务费按照“当月支付上月”的方式进行结算，以年度中标价格、合同服务期限为基础，结合每月考评情况，按月平均支付。计算公式为：每月项目服务费=中标价格/24个月-每月综合考评产生的处罚金额</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2C716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4.09</w:t>
            </w:r>
          </w:p>
        </w:tc>
      </w:tr>
    </w:tbl>
    <w:p w14:paraId="510A5CBB">
      <w:pPr>
        <w:pStyle w:val="3"/>
        <w:keepNext w:val="0"/>
        <w:spacing w:before="0" w:after="0" w:line="360" w:lineRule="auto"/>
        <w:rPr>
          <w:rFonts w:ascii="仿宋_GB2312" w:hAnsi="仿宋_GB2312" w:eastAsia="仿宋_GB2312" w:cs="仿宋_GB2312"/>
          <w:b/>
          <w:bCs/>
          <w:sz w:val="28"/>
          <w:szCs w:val="28"/>
        </w:rPr>
      </w:pPr>
      <w:bookmarkStart w:id="29" w:name="_Toc256000027"/>
      <w:r>
        <w:rPr>
          <w:rFonts w:ascii="仿宋_GB2312" w:hAnsi="仿宋_GB2312" w:eastAsia="仿宋_GB2312" w:cs="仿宋_GB2312"/>
          <w:i w:val="0"/>
          <w:iCs w:val="0"/>
        </w:rPr>
        <w:t>8.2履约保证金</w:t>
      </w:r>
      <w:bookmarkEnd w:id="29"/>
    </w:p>
    <w:p w14:paraId="6B1A3B81">
      <w:pPr>
        <w:pStyle w:val="12"/>
        <w:spacing w:before="0" w:after="0" w:line="360" w:lineRule="auto"/>
        <w:ind w:left="0" w:right="74" w:firstLine="408"/>
        <w:jc w:val="both"/>
        <w:rPr>
          <w:rFonts w:ascii="Calibri" w:hAnsi="Calibri" w:eastAsia="Calibri" w:cs="Calibri"/>
          <w:sz w:val="21"/>
          <w:szCs w:val="21"/>
        </w:rPr>
      </w:pPr>
      <w:r>
        <w:rPr>
          <w:rFonts w:ascii="FangSong_GB2312" w:hAnsi="FangSong_GB2312" w:eastAsia="FangSong_GB2312" w:cs="FangSong_GB2312"/>
          <w:spacing w:val="-3"/>
          <w:sz w:val="28"/>
          <w:szCs w:val="28"/>
        </w:rPr>
        <w:t>1.中标人须在中标结果公告期满后20个自然日内按合同签订年度中标金额的5%向采购人提交履约保证金。履约保证金应当以支票、汇票、本票或者金融机构、担保机构出具的保函等非现金形式提交</w:t>
      </w:r>
      <w:r>
        <w:rPr>
          <w:rFonts w:ascii="FangSong_GB2312" w:hAnsi="FangSong_GB2312" w:eastAsia="FangSong_GB2312" w:cs="FangSong_GB2312"/>
          <w:spacing w:val="1"/>
          <w:sz w:val="28"/>
          <w:szCs w:val="28"/>
        </w:rPr>
        <w:t>。</w:t>
      </w:r>
      <w:r>
        <w:rPr>
          <w:rFonts w:ascii="FangSong_GB2312" w:hAnsi="FangSong_GB2312" w:eastAsia="FangSong_GB2312" w:cs="FangSong_GB2312"/>
          <w:spacing w:val="-5"/>
          <w:sz w:val="28"/>
          <w:szCs w:val="28"/>
        </w:rPr>
        <w:t>合同期限届满前，</w:t>
      </w:r>
      <w:r>
        <w:rPr>
          <w:rFonts w:ascii="FangSong_GB2312" w:hAnsi="FangSong_GB2312" w:eastAsia="FangSong_GB2312" w:cs="FangSong_GB2312"/>
          <w:spacing w:val="-3"/>
          <w:sz w:val="28"/>
          <w:szCs w:val="28"/>
        </w:rPr>
        <w:t>履约保证金</w:t>
      </w:r>
      <w:r>
        <w:rPr>
          <w:rFonts w:ascii="SimSun" w:hAnsi="SimSun" w:eastAsia="SimSun" w:cs="SimSun"/>
          <w:spacing w:val="-5"/>
          <w:sz w:val="28"/>
          <w:szCs w:val="28"/>
        </w:rPr>
        <w:t>被采购人扣减的，中标人应在收到通知后10天内补足，否则，采购人有权视为中标人未按规定提供履约保证金。</w:t>
      </w:r>
    </w:p>
    <w:p w14:paraId="2BF3BB15">
      <w:pPr>
        <w:pStyle w:val="12"/>
        <w:spacing w:before="0" w:after="0" w:line="360" w:lineRule="auto"/>
        <w:ind w:left="5" w:right="78" w:firstLine="400"/>
        <w:jc w:val="both"/>
        <w:rPr>
          <w:rFonts w:ascii="Calibri" w:hAnsi="Calibri" w:eastAsia="Calibri" w:cs="Calibri"/>
          <w:sz w:val="21"/>
          <w:szCs w:val="21"/>
        </w:rPr>
      </w:pPr>
      <w:r>
        <w:rPr>
          <w:rFonts w:ascii="FangSong_GB2312" w:hAnsi="FangSong_GB2312" w:eastAsia="FangSong_GB2312" w:cs="FangSong_GB2312"/>
          <w:spacing w:val="-5"/>
          <w:sz w:val="28"/>
          <w:szCs w:val="28"/>
        </w:rPr>
        <w:t>2.中标人未按规定提供履约保证金的，采购人有权单方解除合同</w:t>
      </w:r>
      <w:r>
        <w:rPr>
          <w:rFonts w:ascii="FangSong_GB2312" w:hAnsi="FangSong_GB2312" w:eastAsia="FangSong_GB2312" w:cs="FangSong_GB2312"/>
          <w:sz w:val="28"/>
          <w:szCs w:val="28"/>
        </w:rPr>
        <w:t>。</w:t>
      </w:r>
    </w:p>
    <w:p w14:paraId="2586BF76">
      <w:pPr>
        <w:pStyle w:val="12"/>
        <w:spacing w:before="0" w:after="0" w:line="360" w:lineRule="auto"/>
        <w:ind w:left="5" w:right="78" w:firstLine="420"/>
        <w:jc w:val="both"/>
        <w:rPr>
          <w:rFonts w:ascii="Calibri" w:hAnsi="Calibri" w:eastAsia="Calibri" w:cs="Calibri"/>
          <w:sz w:val="21"/>
          <w:szCs w:val="21"/>
        </w:rPr>
      </w:pPr>
      <w:r>
        <w:rPr>
          <w:rFonts w:ascii="FangSong_GB2312" w:hAnsi="FangSong_GB2312" w:eastAsia="FangSong_GB2312" w:cs="FangSong_GB2312"/>
          <w:sz w:val="28"/>
          <w:szCs w:val="28"/>
        </w:rPr>
        <w:t>3.中标人因自身原因不能按照招标文件规定签订合同或者没有有效执行合同的，采购人有权没收履</w:t>
      </w:r>
      <w:r>
        <w:rPr>
          <w:rFonts w:ascii="FangSong_GB2312" w:hAnsi="FangSong_GB2312" w:eastAsia="FangSong_GB2312" w:cs="FangSong_GB2312"/>
          <w:spacing w:val="-1"/>
          <w:sz w:val="28"/>
          <w:szCs w:val="28"/>
        </w:rPr>
        <w:t>约保证金并终止合同。</w:t>
      </w:r>
    </w:p>
    <w:p w14:paraId="16FC9FCD">
      <w:pPr>
        <w:pStyle w:val="12"/>
        <w:spacing w:before="0" w:after="0" w:line="360" w:lineRule="auto"/>
        <w:ind w:left="0" w:right="75" w:firstLine="408"/>
        <w:jc w:val="both"/>
        <w:rPr>
          <w:rFonts w:ascii="Calibri" w:hAnsi="Calibri" w:eastAsia="Calibri" w:cs="Calibri"/>
          <w:sz w:val="21"/>
          <w:szCs w:val="21"/>
        </w:rPr>
      </w:pPr>
      <w:r>
        <w:rPr>
          <w:rFonts w:ascii="FangSong_GB2312" w:hAnsi="FangSong_GB2312" w:eastAsia="FangSong_GB2312" w:cs="FangSong_GB2312"/>
          <w:spacing w:val="-3"/>
          <w:sz w:val="28"/>
          <w:szCs w:val="28"/>
        </w:rPr>
        <w:t>4.中标人提供人员应严格按照规定认真履行职责，对中标人提供的工作人员违反服务规定，</w:t>
      </w:r>
      <w:r>
        <w:rPr>
          <w:rFonts w:ascii="FangSong_GB2312" w:hAnsi="FangSong_GB2312" w:eastAsia="FangSong_GB2312" w:cs="FangSong_GB2312"/>
          <w:sz w:val="28"/>
          <w:szCs w:val="28"/>
        </w:rPr>
        <w:t>造成的损失由中标人负责，损失金额超过人民币5万元或者造成不良社会影响的，采购人有权没收履约保证金并视情况终止合同。</w:t>
      </w:r>
    </w:p>
    <w:p w14:paraId="7D04734A">
      <w:pPr>
        <w:pStyle w:val="12"/>
        <w:spacing w:before="0" w:after="0" w:line="360" w:lineRule="auto"/>
        <w:ind w:left="0" w:right="75" w:firstLine="408"/>
        <w:jc w:val="both"/>
        <w:rPr>
          <w:rFonts w:ascii="Calibri" w:hAnsi="Calibri" w:eastAsia="Calibri" w:cs="Calibri"/>
          <w:sz w:val="21"/>
          <w:szCs w:val="21"/>
        </w:rPr>
      </w:pPr>
      <w:r>
        <w:rPr>
          <w:rFonts w:ascii="FangSong_GB2312" w:hAnsi="FangSong_GB2312" w:eastAsia="FangSong_GB2312" w:cs="FangSong_GB2312"/>
          <w:spacing w:val="-3"/>
          <w:sz w:val="28"/>
          <w:szCs w:val="28"/>
        </w:rPr>
        <w:t>5.中标人的履约保证金在本合同顺利履行期满后30个工作日内，由采购人以转账（支票）形式无息归还给中标人或终止履约保函期限。</w:t>
      </w:r>
    </w:p>
    <w:p w14:paraId="405E3C84">
      <w:pPr>
        <w:pStyle w:val="3"/>
        <w:keepNext w:val="0"/>
        <w:spacing w:before="0" w:after="0" w:line="360" w:lineRule="auto"/>
        <w:rPr>
          <w:rFonts w:ascii="仿宋_GB2312" w:hAnsi="仿宋_GB2312" w:eastAsia="仿宋_GB2312" w:cs="仿宋_GB2312"/>
          <w:b/>
          <w:bCs/>
          <w:sz w:val="28"/>
          <w:szCs w:val="28"/>
        </w:rPr>
      </w:pPr>
      <w:bookmarkStart w:id="30" w:name="_Toc256000028"/>
      <w:r>
        <w:rPr>
          <w:rFonts w:ascii="仿宋_GB2312" w:hAnsi="仿宋_GB2312" w:eastAsia="仿宋_GB2312" w:cs="仿宋_GB2312"/>
          <w:i w:val="0"/>
          <w:iCs w:val="0"/>
        </w:rPr>
        <w:t>8.3其他要求</w:t>
      </w:r>
      <w:bookmarkEnd w:id="30"/>
    </w:p>
    <w:p w14:paraId="510D7EE3">
      <w:pPr>
        <w:pStyle w:val="4"/>
        <w:keepNext w:val="0"/>
        <w:spacing w:before="0" w:after="0" w:line="360" w:lineRule="auto"/>
        <w:rPr>
          <w:rFonts w:ascii="仿宋_GB2312" w:hAnsi="仿宋_GB2312" w:eastAsia="仿宋_GB2312" w:cs="仿宋_GB2312"/>
          <w:b/>
          <w:bCs/>
          <w:sz w:val="28"/>
          <w:szCs w:val="28"/>
        </w:rPr>
      </w:pPr>
      <w:bookmarkStart w:id="31" w:name="_Toc256000029"/>
      <w:r>
        <w:rPr>
          <w:rFonts w:ascii="仿宋_GB2312" w:hAnsi="仿宋_GB2312" w:eastAsia="仿宋_GB2312" w:cs="仿宋_GB2312"/>
          <w:sz w:val="28"/>
          <w:szCs w:val="28"/>
        </w:rPr>
        <w:t>8.3.1项目服务安全要求</w:t>
      </w:r>
      <w:bookmarkEnd w:id="31"/>
    </w:p>
    <w:p w14:paraId="3E9B6616">
      <w:pPr>
        <w:pStyle w:val="12"/>
        <w:spacing w:before="0" w:after="0" w:line="360" w:lineRule="auto"/>
        <w:ind w:left="0" w:right="78"/>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 </w:t>
      </w:r>
    </w:p>
    <w:p w14:paraId="232FC6D0">
      <w:pPr>
        <w:spacing w:before="0" w:after="0" w:line="360" w:lineRule="auto"/>
        <w:jc w:val="both"/>
        <w:rPr>
          <w:rFonts w:ascii="Times New Roman" w:hAnsi="Times New Roman" w:eastAsia="Times New Roman" w:cs="Times New Roman"/>
        </w:rPr>
      </w:pPr>
      <w:r>
        <w:rPr>
          <w:rFonts w:ascii="Times New Roman" w:hAnsi="Times New Roman" w:eastAsia="Times New Roman" w:cs="Times New Roman"/>
        </w:rPr>
        <w:t>1.确保服务区域内的非执法类辅助及后勤服务工作安全、规范、有序；</w:t>
      </w:r>
    </w:p>
    <w:p w14:paraId="659B52F9">
      <w:pPr>
        <w:spacing w:before="0" w:after="0" w:line="360" w:lineRule="auto"/>
        <w:jc w:val="both"/>
        <w:rPr>
          <w:rFonts w:ascii="Times New Roman" w:hAnsi="Times New Roman" w:eastAsia="Times New Roman" w:cs="Times New Roman"/>
        </w:rPr>
      </w:pPr>
      <w:r>
        <w:rPr>
          <w:rFonts w:ascii="FangSong_GB2312" w:hAnsi="FangSong_GB2312" w:eastAsia="FangSong_GB2312" w:cs="FangSong_GB2312"/>
          <w:sz w:val="28"/>
          <w:szCs w:val="28"/>
        </w:rPr>
        <w:t>2.严格执行保密工作要求，落实采购人交办的有关安全工作部署</w:t>
      </w:r>
      <w:r>
        <w:rPr>
          <w:rFonts w:ascii="Times New Roman" w:hAnsi="Times New Roman" w:eastAsia="Times New Roman" w:cs="Times New Roman"/>
        </w:rPr>
        <w:t>。</w:t>
      </w:r>
    </w:p>
    <w:p w14:paraId="7F2E78E1">
      <w:pPr>
        <w:pStyle w:val="4"/>
        <w:keepNext w:val="0"/>
        <w:spacing w:before="0" w:after="0" w:line="360" w:lineRule="auto"/>
        <w:rPr>
          <w:rFonts w:ascii="仿宋_GB2312" w:hAnsi="仿宋_GB2312" w:eastAsia="仿宋_GB2312" w:cs="仿宋_GB2312"/>
          <w:b/>
          <w:bCs/>
          <w:sz w:val="28"/>
          <w:szCs w:val="28"/>
        </w:rPr>
      </w:pPr>
      <w:bookmarkStart w:id="32" w:name="_Toc256000030"/>
      <w:r>
        <w:rPr>
          <w:rFonts w:ascii="仿宋_GB2312" w:hAnsi="仿宋_GB2312" w:eastAsia="仿宋_GB2312" w:cs="仿宋_GB2312"/>
          <w:sz w:val="28"/>
          <w:szCs w:val="28"/>
        </w:rPr>
        <w:t>8.3.2围猎条款</w:t>
      </w:r>
      <w:bookmarkEnd w:id="32"/>
    </w:p>
    <w:p w14:paraId="0D75B71C">
      <w:pPr>
        <w:pStyle w:val="12"/>
        <w:spacing w:before="0" w:after="0" w:line="360" w:lineRule="auto"/>
        <w:ind w:left="0" w:right="0" w:firstLine="420"/>
        <w:jc w:val="both"/>
        <w:rPr>
          <w:rFonts w:ascii="Calibri" w:hAnsi="Calibri" w:eastAsia="Calibri" w:cs="Calibri"/>
          <w:sz w:val="21"/>
          <w:szCs w:val="21"/>
        </w:rPr>
      </w:pPr>
      <w:r>
        <w:rPr>
          <w:rFonts w:ascii="Calibri" w:hAnsi="Calibri" w:eastAsia="Calibri" w:cs="Calibri"/>
          <w:sz w:val="21"/>
          <w:szCs w:val="21"/>
        </w:rPr>
        <w:t> </w:t>
      </w:r>
    </w:p>
    <w:p w14:paraId="3F90BA5E">
      <w:pPr>
        <w:pStyle w:val="12"/>
        <w:spacing w:before="0" w:after="0" w:line="360" w:lineRule="auto"/>
        <w:ind w:left="0" w:right="0" w:firstLine="420"/>
        <w:jc w:val="both"/>
        <w:rPr>
          <w:rFonts w:ascii="SimSun" w:hAnsi="SimSun" w:eastAsia="SimSun" w:cs="SimSun"/>
          <w:sz w:val="21"/>
          <w:szCs w:val="21"/>
        </w:rPr>
      </w:pPr>
      <w:r>
        <w:rPr>
          <w:rFonts w:ascii="FangSong_GB2312" w:hAnsi="FangSong_GB2312" w:eastAsia="FangSong_GB2312" w:cs="FangSong_GB2312"/>
          <w:sz w:val="28"/>
          <w:szCs w:val="28"/>
        </w:rPr>
        <w:t>1.投标人应当承诺履行不得“围猎”采购人工作人员的义务，具体如下：投标人及其工作人员不得以给予或许诺给予佣金、回扣，以及合伙、参股等任何形式向采购人工作人员输送利益；不得以任何形式向采购人工作人员赠送或提供礼金、礼品、有价证券，以及为其购置或提供交通工具、通讯器材等贵重物品；不得以洽谈业务为由，邀请采购人工作人员外出旅游、健身或进行其他高消费娱乐活动；不得以为个人装修住房、安排亲属工作、接待亲友来访，吃请等名目，拉拢、利诱采购人工作人员；不得有其他违背诚实守法、公平竞争行为。采购人如发现投标人或其工作人员违反上述条款，有权立即终止或解除与投标人的合作关系，冻结应付款项，列入采购黑名单；投标人承担相应违约责任，采购人有权追索违约金以及由此造成的一切损失，并可以从任何应付款项中直接冲抵。投标人如发现采购人工作人员有主动索取贿赂及上述不当行为的，应立即向采购人纪检部门反映，如不拒绝、不反映，并对其不当要求予以满足的，等同违反上述条款，承担相应法律责任。</w:t>
      </w:r>
    </w:p>
    <w:p w14:paraId="596B1DFC">
      <w:pPr>
        <w:pStyle w:val="12"/>
        <w:spacing w:before="0" w:after="0" w:line="360" w:lineRule="auto"/>
        <w:ind w:left="0" w:right="0" w:firstLine="420"/>
        <w:jc w:val="both"/>
        <w:rPr>
          <w:rFonts w:ascii="SimSun" w:hAnsi="SimSun" w:eastAsia="SimSun" w:cs="SimSun"/>
          <w:sz w:val="21"/>
          <w:szCs w:val="21"/>
        </w:rPr>
      </w:pPr>
      <w:r>
        <w:rPr>
          <w:rFonts w:ascii="FangSong_GB2312" w:hAnsi="FangSong_GB2312" w:eastAsia="FangSong_GB2312" w:cs="FangSong_GB2312"/>
          <w:sz w:val="28"/>
          <w:szCs w:val="28"/>
        </w:rPr>
        <w:t>2.投标人在合同履行期间存在“围猎”采购人工作人员行为的（指以获取不正当利益为目的，采取馈赠礼品礼金、邀请娱乐旅游消费、提供便利条件等非正常交往手段“围猎”采购人工作人员及其亲属），否则将承担相应的法律责任，并接受采购人相关处罚。</w:t>
      </w:r>
    </w:p>
    <w:p w14:paraId="55045A75">
      <w:pPr>
        <w:spacing w:before="0" w:after="0" w:line="360" w:lineRule="auto"/>
        <w:ind w:firstLine="561"/>
        <w:rPr>
          <w:rFonts w:ascii="仿宋_GB2312" w:hAnsi="仿宋_GB2312" w:eastAsia="仿宋_GB2312" w:cs="仿宋_GB2312"/>
          <w:sz w:val="28"/>
          <w:szCs w:val="28"/>
        </w:rPr>
      </w:pPr>
    </w:p>
    <w:sectPr>
      <w:footerReference r:id="rId3" w:type="default"/>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SimSun">
    <w:panose1 w:val="02010600030101010101"/>
    <w:charset w:val="86"/>
    <w:family w:val="auto"/>
    <w:pitch w:val="default"/>
    <w:sig w:usb0="00000003" w:usb1="080E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C87E8">
    <w:pPr>
      <w:spacing w:before="0" w:after="0" w:line="360" w:lineRule="auto"/>
      <w:jc w:val="center"/>
    </w:pPr>
    <w:r>
      <w:fldChar w:fldCharType="begin"/>
    </w:r>
    <w:r>
      <w:instrText xml:space="preserve"> PAGE </w:instrText>
    </w:r>
    <w:r>
      <w:fldChar w:fldCharType="separate"/>
    </w:r>
    <w:r>
      <w:t>19</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7DF5C4D5"/>
    <w:rsid w:val="DAB45D65"/>
    <w:rsid w:val="F3E56D70"/>
    <w:rsid w:val="FFB8CA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toc 3"/>
    <w:basedOn w:val="1"/>
    <w:next w:val="1"/>
    <w:autoRedefine/>
    <w:qFormat/>
    <w:uiPriority w:val="0"/>
    <w:pPr>
      <w:ind w:left="480"/>
    </w:pPr>
  </w:style>
  <w:style w:type="paragraph" w:styleId="7">
    <w:name w:val="toc 1"/>
    <w:basedOn w:val="1"/>
    <w:next w:val="1"/>
    <w:autoRedefine/>
    <w:qFormat/>
    <w:uiPriority w:val="0"/>
  </w:style>
  <w:style w:type="paragraph" w:styleId="8">
    <w:name w:val="toc 2"/>
    <w:basedOn w:val="1"/>
    <w:next w:val="1"/>
    <w:autoRedefine/>
    <w:qFormat/>
    <w:uiPriority w:val="0"/>
    <w:pPr>
      <w:ind w:left="240"/>
    </w:pPr>
  </w:style>
  <w:style w:type="character" w:styleId="11">
    <w:name w:val="Hyperlink"/>
    <w:basedOn w:val="10"/>
    <w:qFormat/>
    <w:uiPriority w:val="0"/>
    <w:rPr>
      <w:color w:val="0000FF"/>
      <w:u w:val="single"/>
    </w:rPr>
  </w:style>
  <w:style w:type="paragraph" w:customStyle="1" w:styleId="12">
    <w:name w:val="MsoNormal"/>
    <w:basedOn w:val="1"/>
    <w:qFormat/>
    <w:uiPriority w:val="0"/>
  </w:style>
  <w:style w:type="table" w:customStyle="1" w:styleId="13">
    <w:name w:val="MsoNormalTable"/>
    <w:basedOn w:val="9"/>
    <w:qFormat/>
    <w:uiPriority w:val="0"/>
  </w:style>
  <w:style w:type="paragraph" w:customStyle="1" w:styleId="14">
    <w:name w:val="p"/>
    <w:basedOn w:val="1"/>
    <w:qFormat/>
    <w:uiPriority w:val="0"/>
  </w:style>
  <w:style w:type="paragraph" w:customStyle="1" w:styleId="15">
    <w:name w:val="MsoBodyText"/>
    <w:basedOn w:val="1"/>
    <w:qFormat/>
    <w:uiPriority w:val="0"/>
  </w:style>
  <w:style w:type="character" w:customStyle="1" w:styleId="16">
    <w:name w:val="15"/>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24</Pages>
  <Words>0</Words>
  <Characters>0</Characters>
  <Lines>1</Lines>
  <Paragraphs>1</Paragraphs>
  <TotalTime>2</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2026-08-14T14:51:00Z</dcterms:created>
  <dc:creator>user</dc:creator>
  <cp:lastModifiedBy>user</cp:lastModifiedBy>
  <dcterms:modified xsi:type="dcterms:W3CDTF">2026-08-20T10:44:35Z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EBAB51092DF9B5F8576A7D6AE75520EE_42</vt:lpwstr>
  </property>
</Properties>
</file>