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t>A06864</w:t>
      </w:r>
      <w:r>
        <w:rPr>
          <w:rFonts w:hint="eastAsia" w:ascii="宋体" w:hAnsi="宋体" w:eastAsia="宋体"/>
          <w:color w:val="000000"/>
        </w:rPr>
        <w:t>《非居民企业机构、场所核定计算明细表（</w:t>
      </w:r>
      <w:r>
        <w:rPr>
          <w:rFonts w:ascii="宋体" w:hAnsi="宋体" w:eastAsia="宋体"/>
          <w:color w:val="000000"/>
        </w:rPr>
        <w:t>F400</w:t>
      </w:r>
      <w:r>
        <w:rPr>
          <w:rFonts w:hint="eastAsia" w:ascii="宋体" w:hAnsi="宋体" w:eastAsia="宋体"/>
          <w:color w:val="000000"/>
        </w:rPr>
        <w:t>）》</w:t>
      </w:r>
    </w:p>
    <w:p>
      <w:pPr>
        <w:pStyle w:val="5"/>
        <w:ind w:firstLine="422"/>
        <w:rPr>
          <w:rFonts w:hint="eastAsia"/>
          <w:color w:val="000000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F400           </w:t>
      </w:r>
      <w:r>
        <w:rPr>
          <w:rFonts w:hint="eastAsia" w:ascii="宋体" w:hAnsi="宋体"/>
          <w:b/>
          <w:sz w:val="28"/>
          <w:szCs w:val="28"/>
        </w:rPr>
        <w:t>非居民企业机构、场所核定计算明细表</w:t>
      </w:r>
    </w:p>
    <w:tbl>
      <w:tblPr>
        <w:tblStyle w:val="3"/>
        <w:tblW w:w="9227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36"/>
        <w:gridCol w:w="1134"/>
        <w:gridCol w:w="1276"/>
        <w:gridCol w:w="3407"/>
        <w:gridCol w:w="236"/>
        <w:gridCol w:w="254"/>
        <w:gridCol w:w="10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4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核定方法</w:t>
            </w:r>
          </w:p>
        </w:tc>
        <w:tc>
          <w:tcPr>
            <w:tcW w:w="4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行次</w:t>
            </w:r>
          </w:p>
        </w:tc>
        <w:tc>
          <w:tcPr>
            <w:tcW w:w="58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　报　项　目</w:t>
            </w:r>
          </w:p>
        </w:tc>
        <w:tc>
          <w:tcPr>
            <w:tcW w:w="155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累计金额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按收入总额核定应纳税所得额</w:t>
            </w: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项目1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收入额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经税务机关确认的核定利润率（%）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 xml:space="preserve"> XX%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应纳税所得额（1×2）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收入额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经税务机关确认的核定利润率（%）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 xml:space="preserve"> XX%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应纳税所得额（4×5）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项目3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</w:t>
            </w: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收入额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经税务机关确认的核定利润率（%）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 xml:space="preserve">  XX%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应纳税所得额（7×8）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收入总额（1+4+7）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应纳税所得额合计（3+6+9）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按经费支出换算应纳税所得额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经费支出总额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换算的收入额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经税务机关确认的核定利润率</w:t>
            </w:r>
            <w:r>
              <w:rPr>
                <w:rFonts w:hint="eastAsia" w:ascii="宋体" w:hAnsi="宋体" w:cs="宋体"/>
                <w:kern w:val="0"/>
                <w:sz w:val="22"/>
              </w:rPr>
              <w:t>（%）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应纳税所得额（13×14）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按成本费用核定应纳税所得额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成本费用总额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换算的收入额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经税务机关确认的核定利润率</w:t>
            </w:r>
            <w:r>
              <w:rPr>
                <w:rFonts w:hint="eastAsia" w:ascii="宋体" w:hAnsi="宋体" w:cs="宋体"/>
                <w:kern w:val="0"/>
                <w:sz w:val="22"/>
              </w:rPr>
              <w:t>（%）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应纳税所得额（17×18）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税务机关认可的其他合理方法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应纳税所得额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5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应纳税额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5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</w:tbl>
    <w:p>
      <w:pPr>
        <w:jc w:val="right"/>
        <w:rPr>
          <w:rFonts w:ascii="宋体" w:hAnsi="宋体"/>
          <w:sz w:val="20"/>
          <w:szCs w:val="2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cs="MS Mincho"/>
          <w:sz w:val="20"/>
          <w:szCs w:val="20"/>
        </w:rPr>
        <w:t>国家税</w:t>
      </w:r>
      <w:r>
        <w:rPr>
          <w:rFonts w:hint="eastAsia" w:ascii="宋体" w:hAnsi="宋体" w:cs="PMingLiU"/>
          <w:sz w:val="20"/>
          <w:szCs w:val="20"/>
        </w:rPr>
        <w:t>务总局监制</w:t>
      </w: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一、适用范围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本表为《中华人民共和国非居民企业所得税预缴申报表（2019年版）》（表F100）和《中华人民共和国非居民企业所得税年度纳税申报表（2019年版）》(表F200)的附表，由按照有关规定适用核定征收的非居民企业机构、场所填报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二、具体项目填报说明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1.第1至11行填报核定方法为“按收入总额核定应纳税所得额”的申报项目情况。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至9行的填报：纳税人从事适用不同核定利润率的经营活动，并取得应税所得的，应分别核算并适用相应的利润率计算应纳税所得额。在“项目名称”栏填写具体的项目名称、合同号。多于三个项目的，附页填报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第10行“收入总额”填报所有“按收入总额核定应纳税所得额”的申报项目的收入总额。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第11行“应纳税所得额合计”填报所有“按收入总额核定应纳税所得额”的申报项目的应纳税所得额合计数额。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2.第12至15行填报核定方法为“按经费支出换算应纳税所得额”的申报项目情况。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第12行“经费支出总额”填报纳税人本纳税年度实际支出的经费总额。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第13行“换算的收入额”填报根据税法、相关税收规定用经费支出总额换算的收入额。换算的收入额＝经费支出总额÷（1－经税务机关确认的核定利润率）。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第14行“经税务机关确认的核定利润率（%）”填报经税务机关确认的核定利润率。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第15行“应纳税所得额”填报按经费支出换算的应纳税所得额，第15行＝第13行×第14行。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3.第16至第19行填报核定方法为“按成本费用核定应纳税所得额”的申报项目情况。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第16行“成本费用总额”填报纳税人本期实际支出的成本费用总额。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第17行“换算的收入额”填报根据税法、相关税收规定用成本费用总额换算的收入额。换算的收入额＝成本费用总额÷（1－经税务机关确认的核定利润率）。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第18行“经税务机关确认的核定利润率（%）”填报经税务机关确认的核定利润率。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第19行“应纳税所得额”填报按成本费用换算的应纳税所得额，第19行＝第17行×第18行。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4.第20至21行填报按照“税务机关认可的其他合理方法”进行核定的申报项目情况。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按照税务机关认可的其他合理方法核定应纳税所得额的填报第20行，并附页说明具体核定方法、计算过程等。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按照税务机关认可的其他合理方法核定应纳税额的填报第21行，并附页说明具体核定方法、计算过程等。已填报第21行的，不填报其他行次对应纳税所得额的核定。其他行次已填报核定的应纳税所得额的，不填报第21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三、表内、表间关系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（一）表内关系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1.第3行＝第1行×第2行。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2.第6行＝第4行×第5行。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3.第9行＝第7行×第8行。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4.第10行＝第1行+第4行+第7行。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5.第11行＝第3行+第6行+第9行。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6.第15行＝第13行×第14行。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7.第19行＝第17行×第18行。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（二）表间关系</w:t>
      </w:r>
    </w:p>
    <w:p>
      <w:pPr>
        <w:adjustRightInd w:val="0"/>
        <w:snapToGrid w:val="0"/>
        <w:ind w:firstLine="420" w:firstLineChars="200"/>
        <w:rPr>
          <w:rFonts w:hint="eastAsia" w:ascii="宋体" w:hAnsi="宋体" w:cs="MS Mincho"/>
          <w:szCs w:val="21"/>
        </w:rPr>
      </w:pPr>
      <w:r>
        <w:rPr>
          <w:rFonts w:hint="eastAsia" w:ascii="宋体" w:hAnsi="宋体" w:cs="MS Mincho"/>
          <w:szCs w:val="21"/>
        </w:rPr>
        <w:t>1. 预缴申报时，本表核定的应纳税所得额＝F100第11行“实际利润额/按上一纳税年度应纳税所得额平均额确定的应纳税所得额”的“核定征收本年累计金额”列。年度纳税申报时，本表核定的应纳税所得额＝表F200第19行“应纳税所得额”的“核定征收申报金额”列。</w:t>
      </w:r>
    </w:p>
    <w:p>
      <w:pPr>
        <w:adjustRightInd w:val="0"/>
        <w:snapToGrid w:val="0"/>
        <w:ind w:firstLine="420" w:firstLineChars="200"/>
        <w:rPr>
          <w:rFonts w:ascii="宋体" w:hAnsi="宋体" w:cs="MS Mincho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cs="MS Mincho"/>
          <w:szCs w:val="21"/>
        </w:rPr>
        <w:t>2.预缴申报时，第21行“应纳税额”＝表F100第13行“应纳所得税额”的“核定征收本年累计金额”列。年度纳税申报时，第21行“应纳税额”＝表F200第21行“应纳所得税额”的“核定征收申报金额”列。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B7411"/>
    <w:rsid w:val="369B7411"/>
    <w:rsid w:val="5A65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2019-10-31T07:40:00Z</dcterms:created>
  <dc:creator>陈莉佳</dc:creator>
  <cp:lastModifiedBy>敖卓勋</cp:lastModifiedBy>
  <dcterms:modified xsi:type="dcterms:W3CDTF">2019-11-14T03:32:09Z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