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宋体" w:hAnsi="宋体" w:eastAsia="宋体"/>
          <w:color w:val="000000"/>
        </w:rPr>
      </w:pPr>
      <w:r>
        <w:rPr>
          <w:rFonts w:ascii="宋体" w:hAnsi="宋体" w:eastAsia="宋体"/>
          <w:color w:val="000000"/>
        </w:rPr>
        <w:t>A06860</w:t>
      </w:r>
      <w:r>
        <w:rPr>
          <w:rFonts w:hint="eastAsia" w:ascii="宋体" w:hAnsi="宋体" w:eastAsia="宋体"/>
          <w:color w:val="000000"/>
        </w:rPr>
        <w:t>《纳税调整项目明细表（F210）》</w:t>
      </w:r>
    </w:p>
    <w:p>
      <w:pPr>
        <w:widowControl/>
        <w:spacing w:line="240" w:lineRule="atLeast"/>
        <w:jc w:val="left"/>
        <w:rPr>
          <w:rFonts w:ascii="宋体" w:hAnsi="宋体"/>
          <w:b/>
          <w:sz w:val="28"/>
          <w:szCs w:val="28"/>
        </w:rPr>
      </w:pPr>
      <w:r>
        <w:rPr>
          <w:rFonts w:ascii="宋体" w:hAnsi="宋体"/>
          <w:b/>
          <w:sz w:val="28"/>
          <w:szCs w:val="28"/>
        </w:rPr>
        <w:t>F210                    纳税调整项目明细表</w:t>
      </w:r>
    </w:p>
    <w:tbl>
      <w:tblPr>
        <w:tblStyle w:val="5"/>
        <w:tblW w:w="1037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0"/>
        <w:gridCol w:w="5582"/>
        <w:gridCol w:w="1061"/>
        <w:gridCol w:w="1026"/>
        <w:gridCol w:w="1053"/>
        <w:gridCol w:w="1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Merge w:val="restart"/>
            <w:tcBorders>
              <w:top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行次</w:t>
            </w:r>
          </w:p>
        </w:tc>
        <w:tc>
          <w:tcPr>
            <w:tcW w:w="5582" w:type="dxa"/>
            <w:vMerge w:val="restart"/>
            <w:tcBorders>
              <w:top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项</w:t>
            </w:r>
            <w:r>
              <w:rPr>
                <w:rFonts w:ascii="宋体" w:hAnsi="宋体" w:cs="宋体"/>
                <w:kern w:val="0"/>
                <w:sz w:val="20"/>
                <w:szCs w:val="20"/>
              </w:rPr>
              <w:t xml:space="preserve">        </w:t>
            </w:r>
            <w:r>
              <w:rPr>
                <w:rFonts w:hint="eastAsia" w:ascii="宋体" w:hAnsi="宋体" w:cs="宋体"/>
                <w:kern w:val="0"/>
                <w:sz w:val="20"/>
                <w:szCs w:val="20"/>
              </w:rPr>
              <w:t>目</w:t>
            </w:r>
          </w:p>
        </w:tc>
        <w:tc>
          <w:tcPr>
            <w:tcW w:w="1061" w:type="dxa"/>
            <w:tcBorders>
              <w:top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账载数额</w:t>
            </w:r>
          </w:p>
        </w:tc>
        <w:tc>
          <w:tcPr>
            <w:tcW w:w="1026" w:type="dxa"/>
            <w:tcBorders>
              <w:top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税收数额</w:t>
            </w:r>
          </w:p>
        </w:tc>
        <w:tc>
          <w:tcPr>
            <w:tcW w:w="1053" w:type="dxa"/>
            <w:tcBorders>
              <w:top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调增数额</w:t>
            </w:r>
          </w:p>
        </w:tc>
        <w:tc>
          <w:tcPr>
            <w:tcW w:w="1016" w:type="dxa"/>
            <w:tcBorders>
              <w:top w:val="single" w:color="auto" w:sz="12" w:space="0"/>
            </w:tcBorders>
            <w:vAlign w:val="center"/>
          </w:tcPr>
          <w:p>
            <w:pPr>
              <w:widowControl/>
              <w:jc w:val="center"/>
              <w:rPr>
                <w:rFonts w:ascii="宋体"/>
                <w:kern w:val="0"/>
                <w:sz w:val="20"/>
                <w:szCs w:val="20"/>
              </w:rPr>
            </w:pPr>
            <w:r>
              <w:rPr>
                <w:rFonts w:hint="eastAsia" w:ascii="宋体" w:hAnsi="宋体" w:cs="宋体"/>
                <w:kern w:val="0"/>
                <w:sz w:val="20"/>
                <w:szCs w:val="20"/>
              </w:rPr>
              <w:t>调减数额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Merge w:val="continue"/>
            <w:vAlign w:val="center"/>
          </w:tcPr>
          <w:p>
            <w:pPr>
              <w:widowControl/>
              <w:jc w:val="left"/>
              <w:rPr>
                <w:rFonts w:ascii="宋体"/>
                <w:kern w:val="0"/>
                <w:sz w:val="20"/>
                <w:szCs w:val="20"/>
              </w:rPr>
            </w:pPr>
          </w:p>
        </w:tc>
        <w:tc>
          <w:tcPr>
            <w:tcW w:w="5582" w:type="dxa"/>
            <w:vMerge w:val="continue"/>
            <w:vAlign w:val="center"/>
          </w:tcPr>
          <w:p>
            <w:pPr>
              <w:widowControl/>
              <w:jc w:val="left"/>
              <w:rPr>
                <w:rFonts w:ascii="宋体"/>
                <w:kern w:val="0"/>
                <w:sz w:val="20"/>
                <w:szCs w:val="20"/>
              </w:rPr>
            </w:pPr>
          </w:p>
        </w:tc>
        <w:tc>
          <w:tcPr>
            <w:tcW w:w="1061" w:type="dxa"/>
            <w:vAlign w:val="center"/>
          </w:tcPr>
          <w:p>
            <w:pPr>
              <w:widowControl/>
              <w:jc w:val="center"/>
              <w:rPr>
                <w:rFonts w:ascii="宋体"/>
                <w:kern w:val="0"/>
                <w:sz w:val="20"/>
                <w:szCs w:val="20"/>
              </w:rPr>
            </w:pPr>
            <w:r>
              <w:rPr>
                <w:rFonts w:ascii="宋体" w:hAnsi="宋体" w:cs="宋体"/>
                <w:kern w:val="0"/>
                <w:sz w:val="20"/>
                <w:szCs w:val="20"/>
              </w:rPr>
              <w:t>1</w:t>
            </w:r>
          </w:p>
        </w:tc>
        <w:tc>
          <w:tcPr>
            <w:tcW w:w="1026" w:type="dxa"/>
            <w:vAlign w:val="center"/>
          </w:tcPr>
          <w:p>
            <w:pPr>
              <w:widowControl/>
              <w:jc w:val="center"/>
              <w:rPr>
                <w:rFonts w:ascii="宋体"/>
                <w:kern w:val="0"/>
                <w:sz w:val="20"/>
                <w:szCs w:val="20"/>
              </w:rPr>
            </w:pPr>
            <w:r>
              <w:rPr>
                <w:rFonts w:ascii="宋体" w:hAnsi="宋体" w:cs="宋体"/>
                <w:kern w:val="0"/>
                <w:sz w:val="20"/>
                <w:szCs w:val="20"/>
              </w:rPr>
              <w:t>2</w:t>
            </w:r>
          </w:p>
        </w:tc>
        <w:tc>
          <w:tcPr>
            <w:tcW w:w="1053" w:type="dxa"/>
            <w:vAlign w:val="center"/>
          </w:tcPr>
          <w:p>
            <w:pPr>
              <w:widowControl/>
              <w:jc w:val="center"/>
              <w:rPr>
                <w:rFonts w:ascii="宋体"/>
                <w:kern w:val="0"/>
                <w:sz w:val="20"/>
                <w:szCs w:val="20"/>
              </w:rPr>
            </w:pPr>
            <w:r>
              <w:rPr>
                <w:rFonts w:ascii="宋体" w:hAnsi="宋体" w:cs="宋体"/>
                <w:kern w:val="0"/>
                <w:sz w:val="20"/>
                <w:szCs w:val="20"/>
              </w:rPr>
              <w:t>3</w:t>
            </w:r>
          </w:p>
        </w:tc>
        <w:tc>
          <w:tcPr>
            <w:tcW w:w="1016" w:type="dxa"/>
            <w:vAlign w:val="center"/>
          </w:tcPr>
          <w:p>
            <w:pPr>
              <w:widowControl/>
              <w:jc w:val="center"/>
              <w:rPr>
                <w:rFonts w:ascii="宋体"/>
                <w:kern w:val="0"/>
                <w:sz w:val="20"/>
                <w:szCs w:val="20"/>
              </w:rPr>
            </w:pPr>
            <w:r>
              <w:rPr>
                <w:rFonts w:ascii="宋体" w:hAnsi="宋体" w:cs="宋体"/>
                <w:kern w:val="0"/>
                <w:sz w:val="20"/>
                <w:szCs w:val="20"/>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1</w:t>
            </w:r>
          </w:p>
        </w:tc>
        <w:tc>
          <w:tcPr>
            <w:tcW w:w="5582" w:type="dxa"/>
            <w:vAlign w:val="center"/>
          </w:tcPr>
          <w:p>
            <w:pPr>
              <w:widowControl/>
              <w:jc w:val="left"/>
              <w:rPr>
                <w:rFonts w:ascii="宋体"/>
                <w:kern w:val="0"/>
                <w:sz w:val="20"/>
                <w:szCs w:val="20"/>
              </w:rPr>
            </w:pPr>
            <w:r>
              <w:rPr>
                <w:rFonts w:hint="eastAsia" w:ascii="宋体" w:hAnsi="宋体" w:cs="宋体"/>
                <w:kern w:val="0"/>
                <w:sz w:val="20"/>
                <w:szCs w:val="20"/>
              </w:rPr>
              <w:t>一、收入类调整项目（</w:t>
            </w: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+10</w:t>
            </w:r>
            <w:r>
              <w:rPr>
                <w:rFonts w:hint="eastAsia" w:ascii="宋体" w:hAnsi="宋体" w:cs="宋体"/>
                <w:kern w:val="0"/>
                <w:sz w:val="20"/>
                <w:szCs w:val="20"/>
              </w:rPr>
              <w:t>）</w:t>
            </w:r>
          </w:p>
        </w:tc>
        <w:tc>
          <w:tcPr>
            <w:tcW w:w="1061" w:type="dxa"/>
            <w:vAlign w:val="center"/>
          </w:tcPr>
          <w:p>
            <w:pPr>
              <w:widowControl/>
              <w:jc w:val="center"/>
              <w:rPr>
                <w:rFonts w:ascii="宋体"/>
                <w:kern w:val="0"/>
                <w:sz w:val="20"/>
                <w:szCs w:val="20"/>
              </w:rPr>
            </w:pPr>
            <w:r>
              <w:rPr>
                <w:rFonts w:ascii="宋体" w:hAnsi="宋体" w:cs="宋体"/>
                <w:kern w:val="0"/>
                <w:sz w:val="20"/>
                <w:szCs w:val="20"/>
              </w:rPr>
              <w:t>*</w:t>
            </w:r>
          </w:p>
        </w:tc>
        <w:tc>
          <w:tcPr>
            <w:tcW w:w="1026" w:type="dxa"/>
            <w:vAlign w:val="center"/>
          </w:tcPr>
          <w:p>
            <w:pPr>
              <w:widowControl/>
              <w:jc w:val="center"/>
              <w:rPr>
                <w:rFonts w:ascii="宋体"/>
                <w:kern w:val="0"/>
                <w:sz w:val="20"/>
                <w:szCs w:val="20"/>
              </w:rPr>
            </w:pPr>
            <w:r>
              <w:rPr>
                <w:rFonts w:ascii="宋体" w:hAnsi="宋体" w:cs="宋体"/>
                <w:kern w:val="0"/>
                <w:sz w:val="20"/>
                <w:szCs w:val="20"/>
              </w:rPr>
              <w:t>*</w:t>
            </w: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2</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（一）视同销售收入</w:t>
            </w:r>
          </w:p>
        </w:tc>
        <w:tc>
          <w:tcPr>
            <w:tcW w:w="1061" w:type="dxa"/>
            <w:vAlign w:val="center"/>
          </w:tcPr>
          <w:p>
            <w:pPr>
              <w:widowControl/>
              <w:jc w:val="center"/>
              <w:rPr>
                <w:rFonts w:ascii="宋体"/>
                <w:kern w:val="0"/>
                <w:sz w:val="20"/>
                <w:szCs w:val="20"/>
              </w:rPr>
            </w:pPr>
            <w:r>
              <w:rPr>
                <w:rFonts w:ascii="宋体" w:hAnsi="宋体" w:cs="宋体"/>
                <w:kern w:val="0"/>
                <w:sz w:val="20"/>
                <w:szCs w:val="20"/>
              </w:rPr>
              <w:t>*</w:t>
            </w: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3</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（二）未按权责发生制原则确认的收入</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4</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（三）投资收益</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3"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5</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（四）按权益法核算长期股权投资对初始投资成本调整确认收益</w:t>
            </w:r>
          </w:p>
        </w:tc>
        <w:tc>
          <w:tcPr>
            <w:tcW w:w="1061" w:type="dxa"/>
            <w:vAlign w:val="center"/>
          </w:tcPr>
          <w:p>
            <w:pPr>
              <w:widowControl/>
              <w:jc w:val="center"/>
              <w:rPr>
                <w:rFonts w:ascii="宋体"/>
                <w:kern w:val="0"/>
                <w:sz w:val="20"/>
                <w:szCs w:val="20"/>
              </w:rPr>
            </w:pPr>
            <w:r>
              <w:rPr>
                <w:rFonts w:ascii="宋体" w:hAnsi="宋体" w:cs="宋体"/>
                <w:kern w:val="0"/>
                <w:sz w:val="20"/>
                <w:szCs w:val="20"/>
              </w:rPr>
              <w:t>*</w:t>
            </w:r>
          </w:p>
        </w:tc>
        <w:tc>
          <w:tcPr>
            <w:tcW w:w="1026" w:type="dxa"/>
            <w:vAlign w:val="center"/>
          </w:tcPr>
          <w:p>
            <w:pPr>
              <w:widowControl/>
              <w:jc w:val="center"/>
              <w:rPr>
                <w:rFonts w:ascii="宋体"/>
                <w:kern w:val="0"/>
                <w:sz w:val="20"/>
                <w:szCs w:val="20"/>
              </w:rPr>
            </w:pPr>
            <w:r>
              <w:rPr>
                <w:rFonts w:ascii="宋体" w:hAnsi="宋体" w:cs="宋体"/>
                <w:kern w:val="0"/>
                <w:sz w:val="20"/>
                <w:szCs w:val="20"/>
              </w:rPr>
              <w:t>*</w:t>
            </w:r>
          </w:p>
        </w:tc>
        <w:tc>
          <w:tcPr>
            <w:tcW w:w="1053" w:type="dxa"/>
            <w:vAlign w:val="center"/>
          </w:tcPr>
          <w:p>
            <w:pPr>
              <w:widowControl/>
              <w:jc w:val="center"/>
              <w:rPr>
                <w:rFonts w:ascii="宋体"/>
                <w:kern w:val="0"/>
                <w:sz w:val="20"/>
                <w:szCs w:val="20"/>
              </w:rPr>
            </w:pPr>
            <w:r>
              <w:rPr>
                <w:rFonts w:ascii="宋体" w:hAnsi="宋体" w:cs="宋体"/>
                <w:kern w:val="0"/>
                <w:sz w:val="20"/>
                <w:szCs w:val="20"/>
              </w:rPr>
              <w:t>*</w:t>
            </w: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6</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（五）交易性金融资产初始投资调整</w:t>
            </w:r>
          </w:p>
        </w:tc>
        <w:tc>
          <w:tcPr>
            <w:tcW w:w="1061" w:type="dxa"/>
            <w:vAlign w:val="center"/>
          </w:tcPr>
          <w:p>
            <w:pPr>
              <w:widowControl/>
              <w:jc w:val="center"/>
              <w:rPr>
                <w:rFonts w:ascii="宋体"/>
                <w:kern w:val="0"/>
                <w:sz w:val="20"/>
                <w:szCs w:val="20"/>
              </w:rPr>
            </w:pPr>
            <w:r>
              <w:rPr>
                <w:rFonts w:ascii="宋体" w:hAnsi="宋体" w:cs="宋体"/>
                <w:kern w:val="0"/>
                <w:sz w:val="20"/>
                <w:szCs w:val="20"/>
              </w:rPr>
              <w:t>*</w:t>
            </w:r>
          </w:p>
        </w:tc>
        <w:tc>
          <w:tcPr>
            <w:tcW w:w="1026" w:type="dxa"/>
            <w:vAlign w:val="center"/>
          </w:tcPr>
          <w:p>
            <w:pPr>
              <w:widowControl/>
              <w:jc w:val="center"/>
              <w:rPr>
                <w:rFonts w:ascii="宋体"/>
                <w:kern w:val="0"/>
                <w:sz w:val="20"/>
                <w:szCs w:val="20"/>
              </w:rPr>
            </w:pPr>
            <w:r>
              <w:rPr>
                <w:rFonts w:ascii="宋体" w:hAnsi="宋体" w:cs="宋体"/>
                <w:kern w:val="0"/>
                <w:sz w:val="20"/>
                <w:szCs w:val="20"/>
              </w:rPr>
              <w:t>*</w:t>
            </w: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7</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（六）公允价值变动净损益</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r>
              <w:rPr>
                <w:rFonts w:ascii="宋体" w:hAnsi="宋体" w:cs="宋体"/>
                <w:kern w:val="0"/>
                <w:sz w:val="20"/>
                <w:szCs w:val="20"/>
              </w:rPr>
              <w:t>*</w:t>
            </w: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8</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（七）不征税收入</w:t>
            </w:r>
          </w:p>
        </w:tc>
        <w:tc>
          <w:tcPr>
            <w:tcW w:w="1061" w:type="dxa"/>
            <w:vAlign w:val="center"/>
          </w:tcPr>
          <w:p>
            <w:pPr>
              <w:widowControl/>
              <w:jc w:val="center"/>
              <w:rPr>
                <w:rFonts w:ascii="宋体"/>
                <w:kern w:val="0"/>
                <w:sz w:val="20"/>
                <w:szCs w:val="20"/>
              </w:rPr>
            </w:pPr>
            <w:r>
              <w:rPr>
                <w:rFonts w:ascii="宋体" w:hAnsi="宋体" w:cs="宋体"/>
                <w:kern w:val="0"/>
                <w:sz w:val="20"/>
                <w:szCs w:val="20"/>
              </w:rPr>
              <w:t>*</w:t>
            </w:r>
          </w:p>
        </w:tc>
        <w:tc>
          <w:tcPr>
            <w:tcW w:w="1026" w:type="dxa"/>
            <w:vAlign w:val="center"/>
          </w:tcPr>
          <w:p>
            <w:pPr>
              <w:widowControl/>
              <w:jc w:val="center"/>
              <w:rPr>
                <w:rFonts w:ascii="宋体"/>
                <w:kern w:val="0"/>
                <w:sz w:val="20"/>
                <w:szCs w:val="20"/>
              </w:rPr>
            </w:pPr>
            <w:r>
              <w:rPr>
                <w:rFonts w:ascii="宋体" w:hAnsi="宋体" w:cs="宋体"/>
                <w:kern w:val="0"/>
                <w:sz w:val="20"/>
                <w:szCs w:val="20"/>
              </w:rPr>
              <w:t>*</w:t>
            </w: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9</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（八）销售折扣、折让和退回</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10</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（九）其他</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11</w:t>
            </w:r>
          </w:p>
        </w:tc>
        <w:tc>
          <w:tcPr>
            <w:tcW w:w="5582" w:type="dxa"/>
            <w:vAlign w:val="center"/>
          </w:tcPr>
          <w:p>
            <w:pPr>
              <w:widowControl/>
              <w:jc w:val="left"/>
              <w:rPr>
                <w:rFonts w:ascii="宋体"/>
                <w:kern w:val="0"/>
                <w:sz w:val="20"/>
                <w:szCs w:val="20"/>
              </w:rPr>
            </w:pPr>
            <w:r>
              <w:rPr>
                <w:rFonts w:hint="eastAsia" w:ascii="宋体" w:hAnsi="宋体" w:cs="宋体"/>
                <w:kern w:val="0"/>
                <w:sz w:val="20"/>
                <w:szCs w:val="20"/>
              </w:rPr>
              <w:t>二、扣除类调整项目（</w:t>
            </w:r>
            <w:r>
              <w:rPr>
                <w:rFonts w:ascii="宋体" w:hAnsi="宋体" w:cs="宋体"/>
                <w:kern w:val="0"/>
                <w:sz w:val="20"/>
                <w:szCs w:val="20"/>
              </w:rPr>
              <w:t>12+</w:t>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0</w:t>
            </w:r>
            <w:r>
              <w:rPr>
                <w:rFonts w:ascii="宋体" w:hAnsi="宋体" w:cs="宋体"/>
                <w:kern w:val="0"/>
                <w:sz w:val="20"/>
                <w:szCs w:val="20"/>
              </w:rPr>
              <w:t>）</w:t>
            </w:r>
          </w:p>
        </w:tc>
        <w:tc>
          <w:tcPr>
            <w:tcW w:w="1061" w:type="dxa"/>
            <w:vAlign w:val="center"/>
          </w:tcPr>
          <w:p>
            <w:pPr>
              <w:widowControl/>
              <w:jc w:val="center"/>
              <w:rPr>
                <w:rFonts w:ascii="宋体"/>
                <w:kern w:val="0"/>
                <w:sz w:val="20"/>
                <w:szCs w:val="20"/>
              </w:rPr>
            </w:pPr>
            <w:r>
              <w:rPr>
                <w:rFonts w:ascii="宋体" w:hAnsi="宋体" w:cs="宋体"/>
                <w:kern w:val="0"/>
                <w:sz w:val="20"/>
                <w:szCs w:val="20"/>
              </w:rPr>
              <w:t>*</w:t>
            </w:r>
          </w:p>
        </w:tc>
        <w:tc>
          <w:tcPr>
            <w:tcW w:w="1026" w:type="dxa"/>
            <w:vAlign w:val="center"/>
          </w:tcPr>
          <w:p>
            <w:pPr>
              <w:widowControl/>
              <w:jc w:val="center"/>
              <w:rPr>
                <w:rFonts w:ascii="宋体"/>
                <w:kern w:val="0"/>
                <w:sz w:val="20"/>
                <w:szCs w:val="20"/>
              </w:rPr>
            </w:pPr>
            <w:r>
              <w:rPr>
                <w:rFonts w:ascii="宋体" w:hAnsi="宋体" w:cs="宋体"/>
                <w:kern w:val="0"/>
                <w:sz w:val="20"/>
                <w:szCs w:val="20"/>
              </w:rPr>
              <w:t>*</w:t>
            </w: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12</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（一）视同销售成本</w:t>
            </w:r>
          </w:p>
        </w:tc>
        <w:tc>
          <w:tcPr>
            <w:tcW w:w="1061" w:type="dxa"/>
            <w:vAlign w:val="center"/>
          </w:tcPr>
          <w:p>
            <w:pPr>
              <w:widowControl/>
              <w:jc w:val="center"/>
              <w:rPr>
                <w:rFonts w:ascii="宋体"/>
                <w:kern w:val="0"/>
                <w:sz w:val="20"/>
                <w:szCs w:val="20"/>
              </w:rPr>
            </w:pPr>
            <w:r>
              <w:rPr>
                <w:rFonts w:ascii="宋体" w:hAnsi="宋体" w:cs="宋体"/>
                <w:kern w:val="0"/>
                <w:sz w:val="20"/>
                <w:szCs w:val="20"/>
              </w:rPr>
              <w:t>*</w:t>
            </w: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r>
              <w:rPr>
                <w:rFonts w:ascii="宋体" w:hAnsi="宋体" w:cs="宋体"/>
                <w:kern w:val="0"/>
                <w:sz w:val="20"/>
                <w:szCs w:val="20"/>
              </w:rPr>
              <w:t>*</w:t>
            </w: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13</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（二）职工薪酬</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14</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（三）业务招待费支出</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15</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（四）广告费和业务宣传费支出</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16</w:t>
            </w:r>
          </w:p>
        </w:tc>
        <w:tc>
          <w:tcPr>
            <w:tcW w:w="5582" w:type="dxa"/>
            <w:vAlign w:val="center"/>
          </w:tcPr>
          <w:p>
            <w:pPr>
              <w:widowControl/>
              <w:ind w:firstLine="400" w:firstLineChars="200"/>
              <w:jc w:val="left"/>
              <w:rPr>
                <w:rFonts w:ascii="宋体"/>
                <w:kern w:val="0"/>
                <w:sz w:val="20"/>
                <w:szCs w:val="20"/>
              </w:rPr>
            </w:pPr>
            <w:r>
              <w:rPr>
                <w:sz w:val="20"/>
              </w:rPr>
              <mc:AlternateContent>
                <mc:Choice Requires="wps">
                  <w:drawing>
                    <wp:anchor distT="0" distB="0" distL="114300" distR="114300" simplePos="0" relativeHeight="251658240" behindDoc="0" locked="0" layoutInCell="1" allowOverlap="1">
                      <wp:simplePos x="0" y="0"/>
                      <wp:positionH relativeFrom="column">
                        <wp:posOffset>474980</wp:posOffset>
                      </wp:positionH>
                      <wp:positionV relativeFrom="page">
                        <wp:posOffset>115570</wp:posOffset>
                      </wp:positionV>
                      <wp:extent cx="4905375" cy="2933700"/>
                      <wp:effectExtent l="0" t="0" r="0" b="0"/>
                      <wp:wrapNone/>
                      <wp:docPr id="1" name="文本框 1"/>
                      <wp:cNvGraphicFramePr/>
                      <a:graphic xmlns:a="http://schemas.openxmlformats.org/drawingml/2006/main">
                        <a:graphicData uri="http://schemas.microsoft.com/office/word/2010/wordprocessingShape">
                          <wps:wsp>
                            <wps:cNvSpPr txBox="1"/>
                            <wps:spPr>
                              <a:xfrm>
                                <a:off x="1158875" y="3449320"/>
                                <a:ext cx="4905375" cy="2933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color w:val="FF0000"/>
                                      <w:sz w:val="180"/>
                                      <w:szCs w:val="200"/>
                                      <w:lang w:val="en-US"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props3d w14:extrusionH="0" w14:contourW="0" w14:prstMaterial="clear"/>
                                    </w:rPr>
                                  </w:pPr>
                                  <w:r>
                                    <w:rPr>
                                      <w:rFonts w:hint="eastAsia"/>
                                      <w:color w:val="FF0000"/>
                                      <w:sz w:val="180"/>
                                      <w:szCs w:val="200"/>
                                      <w:lang w:val="en-US"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props3d w14:extrusionH="0" w14:contourW="0" w14:prstMaterial="clear"/>
                                    </w:rPr>
                                    <w:t>据实填写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4pt;margin-top:9.1pt;height:231pt;width:386.25pt;mso-position-vertical-relative:page;z-index:251658240;mso-width-relative:page;mso-height-relative:page;" filled="f" stroked="f" coordsize="21600,21600" o:gfxdata="UEsDBAoAAAAAAIdO4kAAAAAAAAAAAAAAAAAEAAAAZHJzL1BLAwQUAAAACACHTuJAwEwCgNoAAAAJ&#10;AQAADwAAAGRycy9kb3ducmV2LnhtbE2PS0/DMBCE70j8B2srcaN2Q6BWiFOhSBUSgkNLL9w28TaJ&#10;6keI3Qf8eswJjjszmvm2XF2sYSeawuCdgsVcACPXej24TsHufX0rgYWITqPxjhR8UYBVdX1VYqH9&#10;2W3otI0dSyUuFKigj3EsOA9tTxbD3I/kkrf3k8WYzqnjesJzKreGZ0I8cIuDSws9jlT31B62R6vg&#10;pV6/4abJrPw29fPr/mn83H3cK3UzW4hHYJEu8S8Mv/gJHarE1Pij04EZBcs8kcekywxY8mW+vAPW&#10;KMilyIBXJf//QfUDUEsDBBQAAAAIAIdO4kCp2g3HKgIAACUEAAAOAAAAZHJzL2Uyb0RvYy54bWyt&#10;U8uO0zAU3SPxD5b3NGmTzrRV01GZURFSxYxUEGvXsZtIfmG7TcoHwB+wYsOe7+p3cO2knQpYITb2&#10;te/xfZx7PL9rpUAHZl2tVYGHgxQjpqgua7Ur8If3q1cTjJwnqiRCK1bgI3P4bvHyxbwxMzbSlRYl&#10;swiCKDdrTIEr780sSRytmCRuoA1T4OTaSuLhaHdJaUkD0aVIRml6kzTalsZqypyD24fOiRcxPueM&#10;+kfOHfNIFBhq83G1cd2GNVnMyWxnialq2pdB/qEKSWoFSS+hHognaG/rP0LJmlrtNPcDqmWiOa8p&#10;iz1AN8P0t242FTEs9gLkOHOhyf2/sPTd4cmiuoTZYaSIhBGdvn09ff95+vEFDQM9jXEzQG0M4Hz7&#10;WrcB2t87uAxdt9zKsEM/KPiH48nkdozRscBZnk+zUU80az2iAMin6TgLAAqI0TTLbtOISJ5DGev8&#10;G6YlCkaBLUwyEkwOa+chPUDPkJBZ6VUtRJymUKgp8E02TuODiwdeCAUPQ0Nd4cHy7bbtu9nq8ghN&#10;Wt2pxBm6qiH5mjj/RCzIAgQEUvePsHChIYnuLYwqbT//7T7gYVrgxagBmRXYfdoTyzASbxXMcTrM&#10;86DLeMjHt8AUstee7bVH7eW9BiXDrKC6aAa8F2eTWy0/wo9YhqzgIopC7gL7s3nvO/HDj6JsuYwg&#10;UKIhfq02hobQHZ3Lvde8jkwHmjpuevZAi3EA/b8JYr8+R9Tz717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BMAoDaAAAACQEAAA8AAAAAAAAAAQAgAAAAIgAAAGRycy9kb3ducmV2LnhtbFBLAQIU&#10;ABQAAAAIAIdO4kCp2g3HKgIAACUEAAAOAAAAAAAAAAEAIAAAACkBAABkcnMvZTJvRG9jLnhtbFBL&#10;BQYAAAAABgAGAFkBAADFBQAAAAA=&#10;">
                      <v:fill on="f" focussize="0,0"/>
                      <v:stroke on="f" weight="0.5pt"/>
                      <v:imagedata o:title=""/>
                      <o:lock v:ext="edit" aspectratio="f"/>
                      <v:textbox>
                        <w:txbxContent>
                          <w:p>
                            <w:pPr>
                              <w:rPr>
                                <w:rFonts w:hint="eastAsia" w:eastAsia="宋体"/>
                                <w:color w:val="FF0000"/>
                                <w:sz w:val="180"/>
                                <w:szCs w:val="200"/>
                                <w:lang w:val="en-US"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props3d w14:extrusionH="0" w14:contourW="0" w14:prstMaterial="clear"/>
                              </w:rPr>
                            </w:pPr>
                            <w:r>
                              <w:rPr>
                                <w:rFonts w:hint="eastAsia"/>
                                <w:color w:val="FF0000"/>
                                <w:sz w:val="180"/>
                                <w:szCs w:val="200"/>
                                <w:lang w:val="en-US"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props3d w14:extrusionH="0" w14:contourW="0" w14:prstMaterial="clear"/>
                              </w:rPr>
                              <w:t>据实填写</w:t>
                            </w:r>
                          </w:p>
                        </w:txbxContent>
                      </v:textbox>
                    </v:shape>
                  </w:pict>
                </mc:Fallback>
              </mc:AlternateContent>
            </w:r>
            <w:r>
              <w:rPr>
                <w:rFonts w:hint="eastAsia" w:ascii="宋体" w:hAnsi="宋体" w:cs="宋体"/>
                <w:kern w:val="0"/>
                <w:sz w:val="20"/>
                <w:szCs w:val="20"/>
              </w:rPr>
              <w:t>（五）捐赠支出</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17</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（六）利息支出</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18</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（七）罚金、罚款和被没收财物的损失</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r>
              <w:rPr>
                <w:rFonts w:ascii="宋体" w:hAnsi="宋体" w:cs="宋体"/>
                <w:kern w:val="0"/>
                <w:sz w:val="20"/>
                <w:szCs w:val="20"/>
              </w:rPr>
              <w:t>*</w:t>
            </w: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19</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（八）税收滞纳金、加收利息</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r>
              <w:rPr>
                <w:rFonts w:ascii="宋体" w:hAnsi="宋体" w:cs="宋体"/>
                <w:kern w:val="0"/>
                <w:sz w:val="20"/>
                <w:szCs w:val="20"/>
              </w:rPr>
              <w:t>*</w:t>
            </w: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20</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（九）赞助支出</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r>
              <w:rPr>
                <w:rFonts w:ascii="宋体" w:hAnsi="宋体" w:cs="宋体"/>
                <w:kern w:val="0"/>
                <w:sz w:val="20"/>
                <w:szCs w:val="20"/>
              </w:rPr>
              <w:t>*</w:t>
            </w: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21</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（十）与未实现融资收益相关在当期确认的财务费用</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22</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（十一）佣金和手续费支出</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23</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（十二）不征税收入用于支出所形成的费用</w:t>
            </w:r>
          </w:p>
        </w:tc>
        <w:tc>
          <w:tcPr>
            <w:tcW w:w="1061" w:type="dxa"/>
            <w:vAlign w:val="center"/>
          </w:tcPr>
          <w:p>
            <w:pPr>
              <w:widowControl/>
              <w:jc w:val="center"/>
              <w:rPr>
                <w:rFonts w:ascii="宋体"/>
                <w:kern w:val="0"/>
                <w:sz w:val="20"/>
                <w:szCs w:val="20"/>
              </w:rPr>
            </w:pPr>
            <w:r>
              <w:rPr>
                <w:rFonts w:ascii="宋体" w:hAnsi="宋体" w:cs="宋体"/>
                <w:kern w:val="0"/>
                <w:sz w:val="20"/>
                <w:szCs w:val="20"/>
              </w:rPr>
              <w:t>*</w:t>
            </w:r>
          </w:p>
        </w:tc>
        <w:tc>
          <w:tcPr>
            <w:tcW w:w="1026" w:type="dxa"/>
            <w:vAlign w:val="center"/>
          </w:tcPr>
          <w:p>
            <w:pPr>
              <w:widowControl/>
              <w:jc w:val="center"/>
              <w:rPr>
                <w:rFonts w:ascii="宋体"/>
                <w:kern w:val="0"/>
                <w:sz w:val="20"/>
                <w:szCs w:val="20"/>
              </w:rPr>
            </w:pPr>
            <w:r>
              <w:rPr>
                <w:rFonts w:ascii="宋体" w:hAnsi="宋体" w:cs="宋体"/>
                <w:kern w:val="0"/>
                <w:sz w:val="20"/>
                <w:szCs w:val="20"/>
              </w:rPr>
              <w:t>*</w:t>
            </w: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24</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（十三）跨期扣除项目</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25</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（十四）与取得收入无关的支出</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r>
              <w:rPr>
                <w:rFonts w:ascii="宋体" w:hAnsi="宋体" w:cs="宋体"/>
                <w:kern w:val="0"/>
                <w:sz w:val="20"/>
                <w:szCs w:val="20"/>
              </w:rPr>
              <w:t>*</w:t>
            </w: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26</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（十五）境外所得分摊的共同支出</w:t>
            </w:r>
          </w:p>
        </w:tc>
        <w:tc>
          <w:tcPr>
            <w:tcW w:w="1061" w:type="dxa"/>
            <w:vAlign w:val="center"/>
          </w:tcPr>
          <w:p>
            <w:pPr>
              <w:widowControl/>
              <w:jc w:val="center"/>
              <w:rPr>
                <w:rFonts w:ascii="宋体"/>
                <w:kern w:val="0"/>
                <w:sz w:val="20"/>
                <w:szCs w:val="20"/>
              </w:rPr>
            </w:pPr>
            <w:r>
              <w:rPr>
                <w:rFonts w:ascii="宋体" w:hAnsi="宋体" w:cs="宋体"/>
                <w:kern w:val="0"/>
                <w:sz w:val="20"/>
                <w:szCs w:val="20"/>
              </w:rPr>
              <w:t>*</w:t>
            </w:r>
          </w:p>
        </w:tc>
        <w:tc>
          <w:tcPr>
            <w:tcW w:w="1026" w:type="dxa"/>
            <w:vAlign w:val="center"/>
          </w:tcPr>
          <w:p>
            <w:pPr>
              <w:widowControl/>
              <w:jc w:val="center"/>
              <w:rPr>
                <w:rFonts w:ascii="宋体"/>
                <w:kern w:val="0"/>
                <w:sz w:val="20"/>
                <w:szCs w:val="20"/>
              </w:rPr>
            </w:pPr>
            <w:r>
              <w:rPr>
                <w:rFonts w:ascii="宋体" w:hAnsi="宋体" w:cs="宋体"/>
                <w:kern w:val="0"/>
                <w:sz w:val="20"/>
                <w:szCs w:val="20"/>
              </w:rPr>
              <w:t>*</w:t>
            </w: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7</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（十六）分摊境外总机构费用</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hAnsi="宋体" w:cs="宋体"/>
                <w:kern w:val="0"/>
                <w:sz w:val="20"/>
                <w:szCs w:val="20"/>
              </w:rPr>
            </w:pPr>
            <w:r>
              <w:rPr>
                <w:rFonts w:ascii="宋体" w:hAnsi="宋体" w:cs="宋体"/>
                <w:kern w:val="0"/>
                <w:sz w:val="20"/>
                <w:szCs w:val="20"/>
              </w:rPr>
              <w:t>2</w:t>
            </w:r>
            <w:r>
              <w:rPr>
                <w:rFonts w:hint="eastAsia" w:ascii="宋体" w:hAnsi="宋体" w:cs="宋体"/>
                <w:kern w:val="0"/>
                <w:sz w:val="20"/>
                <w:szCs w:val="20"/>
              </w:rPr>
              <w:t>8</w:t>
            </w:r>
          </w:p>
        </w:tc>
        <w:tc>
          <w:tcPr>
            <w:tcW w:w="5582" w:type="dxa"/>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（十七）向其他机构、场所分摊费用</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5582" w:type="dxa"/>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（十八）分摊资源勘探开发费用</w:t>
            </w:r>
          </w:p>
        </w:tc>
        <w:tc>
          <w:tcPr>
            <w:tcW w:w="1061" w:type="dxa"/>
            <w:vAlign w:val="center"/>
          </w:tcPr>
          <w:p>
            <w:pPr>
              <w:widowControl/>
              <w:jc w:val="center"/>
              <w:rPr>
                <w:rFonts w:ascii="宋体"/>
                <w:kern w:val="0"/>
                <w:sz w:val="20"/>
                <w:szCs w:val="20"/>
              </w:rPr>
            </w:pPr>
            <w:r>
              <w:rPr>
                <w:rFonts w:ascii="宋体" w:hAnsi="宋体" w:cs="宋体"/>
                <w:kern w:val="0"/>
                <w:sz w:val="20"/>
                <w:szCs w:val="20"/>
              </w:rPr>
              <w:t>*</w:t>
            </w: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r>
              <w:rPr>
                <w:rFonts w:ascii="宋体" w:hAnsi="宋体" w:cs="宋体"/>
                <w:kern w:val="0"/>
                <w:sz w:val="20"/>
                <w:szCs w:val="20"/>
              </w:rPr>
              <w:t>*</w:t>
            </w: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0</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（十九）其他</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1</w:t>
            </w:r>
          </w:p>
        </w:tc>
        <w:tc>
          <w:tcPr>
            <w:tcW w:w="5582" w:type="dxa"/>
            <w:vAlign w:val="center"/>
          </w:tcPr>
          <w:p>
            <w:pPr>
              <w:widowControl/>
              <w:jc w:val="left"/>
              <w:rPr>
                <w:rFonts w:ascii="宋体"/>
                <w:kern w:val="0"/>
                <w:sz w:val="20"/>
                <w:szCs w:val="20"/>
              </w:rPr>
            </w:pPr>
            <w:r>
              <w:rPr>
                <w:rFonts w:hint="eastAsia" w:ascii="宋体" w:hAnsi="宋体" w:cs="宋体"/>
                <w:kern w:val="0"/>
                <w:sz w:val="20"/>
                <w:szCs w:val="20"/>
              </w:rPr>
              <w:t>三、资产类调整项目（</w:t>
            </w:r>
            <w:r>
              <w:rPr>
                <w:rFonts w:ascii="宋体" w:hAnsi="宋体" w:cs="宋体"/>
                <w:kern w:val="0"/>
                <w:sz w:val="20"/>
                <w:szCs w:val="20"/>
              </w:rPr>
              <w:t>3</w:t>
            </w:r>
            <w:r>
              <w:rPr>
                <w:rFonts w:hint="eastAsia" w:ascii="宋体" w:hAnsi="宋体" w:cs="宋体"/>
                <w:kern w:val="0"/>
                <w:sz w:val="20"/>
                <w:szCs w:val="20"/>
              </w:rPr>
              <w:t>2</w:t>
            </w:r>
            <w:r>
              <w:rPr>
                <w:rFonts w:ascii="宋体" w:hAnsi="宋体" w:cs="宋体"/>
                <w:kern w:val="0"/>
                <w:sz w:val="20"/>
                <w:szCs w:val="20"/>
              </w:rPr>
              <w:t>+3</w:t>
            </w:r>
            <w:r>
              <w:rPr>
                <w:rFonts w:hint="eastAsia" w:ascii="宋体" w:hAnsi="宋体" w:cs="宋体"/>
                <w:kern w:val="0"/>
                <w:sz w:val="20"/>
                <w:szCs w:val="20"/>
              </w:rPr>
              <w:t>4</w:t>
            </w:r>
            <w:r>
              <w:rPr>
                <w:rFonts w:ascii="宋体" w:hAnsi="宋体" w:cs="宋体"/>
                <w:kern w:val="0"/>
                <w:sz w:val="20"/>
                <w:szCs w:val="20"/>
              </w:rPr>
              <w:t>+3</w:t>
            </w:r>
            <w:r>
              <w:rPr>
                <w:rFonts w:hint="eastAsia" w:ascii="宋体" w:hAnsi="宋体" w:cs="宋体"/>
                <w:kern w:val="0"/>
                <w:sz w:val="20"/>
                <w:szCs w:val="20"/>
              </w:rPr>
              <w:t>5</w:t>
            </w:r>
            <w:r>
              <w:rPr>
                <w:rFonts w:ascii="宋体" w:hAnsi="宋体" w:cs="宋体"/>
                <w:kern w:val="0"/>
                <w:sz w:val="20"/>
                <w:szCs w:val="20"/>
              </w:rPr>
              <w:t>+3</w:t>
            </w:r>
            <w:r>
              <w:rPr>
                <w:rFonts w:hint="eastAsia" w:ascii="宋体" w:hAnsi="宋体" w:cs="宋体"/>
                <w:kern w:val="0"/>
                <w:sz w:val="20"/>
                <w:szCs w:val="20"/>
              </w:rPr>
              <w:t>6）</w:t>
            </w:r>
          </w:p>
        </w:tc>
        <w:tc>
          <w:tcPr>
            <w:tcW w:w="1061" w:type="dxa"/>
            <w:vAlign w:val="center"/>
          </w:tcPr>
          <w:p>
            <w:pPr>
              <w:widowControl/>
              <w:jc w:val="center"/>
              <w:rPr>
                <w:rFonts w:ascii="宋体"/>
                <w:kern w:val="0"/>
                <w:sz w:val="20"/>
                <w:szCs w:val="20"/>
              </w:rPr>
            </w:pPr>
            <w:r>
              <w:rPr>
                <w:rFonts w:ascii="宋体" w:hAnsi="宋体" w:cs="宋体"/>
                <w:kern w:val="0"/>
                <w:sz w:val="20"/>
                <w:szCs w:val="20"/>
              </w:rPr>
              <w:t>*</w:t>
            </w:r>
          </w:p>
        </w:tc>
        <w:tc>
          <w:tcPr>
            <w:tcW w:w="1026" w:type="dxa"/>
            <w:vAlign w:val="center"/>
          </w:tcPr>
          <w:p>
            <w:pPr>
              <w:widowControl/>
              <w:jc w:val="center"/>
              <w:rPr>
                <w:rFonts w:ascii="宋体"/>
                <w:kern w:val="0"/>
                <w:sz w:val="20"/>
                <w:szCs w:val="20"/>
              </w:rPr>
            </w:pPr>
            <w:r>
              <w:rPr>
                <w:rFonts w:ascii="宋体" w:hAnsi="宋体" w:cs="宋体"/>
                <w:kern w:val="0"/>
                <w:sz w:val="20"/>
                <w:szCs w:val="20"/>
              </w:rPr>
              <w:t>*</w:t>
            </w: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2</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（一）资产折旧、摊销</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exact"/>
          <w:jc w:val="center"/>
        </w:trPr>
        <w:tc>
          <w:tcPr>
            <w:tcW w:w="640" w:type="dxa"/>
            <w:vAlign w:val="center"/>
          </w:tcPr>
          <w:p>
            <w:pPr>
              <w:widowControl/>
              <w:jc w:val="center"/>
              <w:rPr>
                <w:rFonts w:ascii="宋体" w:hAnsi="宋体" w:cs="宋体"/>
                <w:kern w:val="0"/>
                <w:sz w:val="20"/>
                <w:szCs w:val="20"/>
              </w:rPr>
            </w:pPr>
            <w:r>
              <w:rPr>
                <w:rFonts w:ascii="宋体" w:hAnsi="宋体" w:cs="宋体"/>
                <w:kern w:val="0"/>
                <w:sz w:val="20"/>
                <w:szCs w:val="20"/>
              </w:rPr>
              <w:t>3</w:t>
            </w:r>
            <w:r>
              <w:rPr>
                <w:rFonts w:hint="eastAsia" w:ascii="宋体" w:hAnsi="宋体" w:cs="宋体"/>
                <w:kern w:val="0"/>
                <w:sz w:val="20"/>
                <w:szCs w:val="20"/>
              </w:rPr>
              <w:t>3</w:t>
            </w:r>
          </w:p>
        </w:tc>
        <w:tc>
          <w:tcPr>
            <w:tcW w:w="5582" w:type="dxa"/>
            <w:vAlign w:val="center"/>
          </w:tcPr>
          <w:p>
            <w:pPr>
              <w:widowControl/>
              <w:ind w:firstLine="500" w:firstLineChars="250"/>
              <w:jc w:val="left"/>
              <w:rPr>
                <w:rFonts w:ascii="宋体" w:hAnsi="宋体" w:cs="宋体"/>
                <w:kern w:val="0"/>
                <w:sz w:val="20"/>
                <w:szCs w:val="20"/>
              </w:rPr>
            </w:pPr>
            <w:r>
              <w:rPr>
                <w:rFonts w:hint="eastAsia" w:ascii="宋体" w:hAnsi="宋体" w:cs="宋体"/>
                <w:kern w:val="0"/>
                <w:sz w:val="20"/>
                <w:szCs w:val="20"/>
              </w:rPr>
              <w:t>其中：固定资产加速折旧（扣除）调减额</w:t>
            </w:r>
            <w:r>
              <w:rPr>
                <w:rFonts w:ascii="宋体" w:hAnsi="宋体" w:cs="宋体"/>
                <w:kern w:val="0"/>
                <w:sz w:val="20"/>
                <w:szCs w:val="20"/>
              </w:rPr>
              <w:t>[项目</w:t>
            </w:r>
            <w:r>
              <w:rPr>
                <w:rFonts w:ascii="宋体" w:hAnsi="宋体" w:cs="宋体"/>
                <w:kern w:val="0"/>
                <w:sz w:val="20"/>
                <w:szCs w:val="20"/>
                <w:u w:val="single"/>
              </w:rPr>
              <w:t xml:space="preserve">       </w:t>
            </w:r>
            <w:r>
              <w:rPr>
                <w:rFonts w:hint="eastAsia" w:ascii="宋体" w:hAnsi="宋体" w:cs="宋体"/>
                <w:kern w:val="0"/>
                <w:sz w:val="20"/>
                <w:szCs w:val="20"/>
              </w:rPr>
              <w:t>（减免性质代码）</w:t>
            </w:r>
            <w:r>
              <w:rPr>
                <w:rFonts w:ascii="宋体" w:hAnsi="宋体" w:cs="宋体"/>
                <w:kern w:val="0"/>
                <w:sz w:val="20"/>
                <w:szCs w:val="20"/>
              </w:rPr>
              <w:t>]</w:t>
            </w:r>
          </w:p>
        </w:tc>
        <w:tc>
          <w:tcPr>
            <w:tcW w:w="1061" w:type="dxa"/>
            <w:vAlign w:val="center"/>
          </w:tcPr>
          <w:p>
            <w:pPr>
              <w:widowControl/>
              <w:jc w:val="center"/>
              <w:rPr>
                <w:rFonts w:ascii="宋体"/>
                <w:kern w:val="0"/>
                <w:sz w:val="20"/>
                <w:szCs w:val="20"/>
              </w:rPr>
            </w:pPr>
            <w:r>
              <w:rPr>
                <w:rFonts w:ascii="宋体" w:hAnsi="宋体" w:cs="宋体"/>
                <w:kern w:val="0"/>
                <w:sz w:val="20"/>
                <w:szCs w:val="20"/>
              </w:rPr>
              <w:t>*</w:t>
            </w:r>
          </w:p>
        </w:tc>
        <w:tc>
          <w:tcPr>
            <w:tcW w:w="1026" w:type="dxa"/>
            <w:vAlign w:val="center"/>
          </w:tcPr>
          <w:p>
            <w:pPr>
              <w:widowControl/>
              <w:jc w:val="center"/>
              <w:rPr>
                <w:rFonts w:ascii="宋体" w:hAnsi="宋体" w:cs="宋体"/>
                <w:kern w:val="0"/>
                <w:sz w:val="20"/>
                <w:szCs w:val="20"/>
              </w:rPr>
            </w:pPr>
            <w:r>
              <w:rPr>
                <w:rFonts w:ascii="宋体" w:hAnsi="宋体" w:cs="宋体"/>
                <w:kern w:val="0"/>
                <w:sz w:val="20"/>
                <w:szCs w:val="20"/>
              </w:rPr>
              <w:t>*</w:t>
            </w:r>
          </w:p>
        </w:tc>
        <w:tc>
          <w:tcPr>
            <w:tcW w:w="1053" w:type="dxa"/>
            <w:vAlign w:val="center"/>
          </w:tcPr>
          <w:p>
            <w:pPr>
              <w:widowControl/>
              <w:jc w:val="center"/>
              <w:rPr>
                <w:rFonts w:ascii="宋体"/>
                <w:kern w:val="0"/>
                <w:sz w:val="20"/>
                <w:szCs w:val="20"/>
              </w:rPr>
            </w:pPr>
            <w:r>
              <w:rPr>
                <w:rFonts w:ascii="宋体" w:hAnsi="宋体" w:cs="宋体"/>
                <w:kern w:val="0"/>
                <w:sz w:val="20"/>
                <w:szCs w:val="20"/>
              </w:rPr>
              <w:t>*</w:t>
            </w: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4</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（二）资产减值准备金</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r>
              <w:rPr>
                <w:rFonts w:ascii="宋体" w:hAnsi="宋体" w:cs="宋体"/>
                <w:kern w:val="0"/>
                <w:sz w:val="20"/>
                <w:szCs w:val="20"/>
              </w:rPr>
              <w:t>*</w:t>
            </w: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5</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（三）资产损失</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6</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（四）其他</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7</w:t>
            </w:r>
          </w:p>
        </w:tc>
        <w:tc>
          <w:tcPr>
            <w:tcW w:w="5582" w:type="dxa"/>
            <w:vAlign w:val="center"/>
          </w:tcPr>
          <w:p>
            <w:pPr>
              <w:widowControl/>
              <w:jc w:val="left"/>
              <w:rPr>
                <w:rFonts w:ascii="宋体"/>
                <w:kern w:val="0"/>
                <w:sz w:val="20"/>
                <w:szCs w:val="20"/>
              </w:rPr>
            </w:pPr>
            <w:r>
              <w:rPr>
                <w:rFonts w:hint="eastAsia" w:ascii="宋体" w:hAnsi="宋体" w:cs="宋体"/>
                <w:kern w:val="0"/>
                <w:sz w:val="20"/>
                <w:szCs w:val="20"/>
              </w:rPr>
              <w:t>四、特殊事项调整项目（</w:t>
            </w:r>
            <w:r>
              <w:rPr>
                <w:rFonts w:ascii="宋体" w:hAnsi="宋体" w:cs="宋体"/>
                <w:kern w:val="0"/>
                <w:sz w:val="20"/>
                <w:szCs w:val="20"/>
              </w:rPr>
              <w:t>3</w:t>
            </w:r>
            <w:r>
              <w:rPr>
                <w:rFonts w:hint="eastAsia" w:ascii="宋体" w:hAnsi="宋体" w:cs="宋体"/>
                <w:kern w:val="0"/>
                <w:sz w:val="20"/>
                <w:szCs w:val="20"/>
              </w:rPr>
              <w:t>8</w:t>
            </w:r>
            <w:r>
              <w:rPr>
                <w:rFonts w:ascii="宋体" w:hAnsi="宋体" w:cs="宋体"/>
                <w:kern w:val="0"/>
                <w:sz w:val="20"/>
                <w:szCs w:val="20"/>
              </w:rPr>
              <w:t>+</w:t>
            </w:r>
            <w:r>
              <w:rPr>
                <w:rFonts w:hint="eastAsia" w:ascii="宋体" w:hAnsi="宋体" w:cs="宋体"/>
                <w:kern w:val="0"/>
                <w:sz w:val="20"/>
                <w:szCs w:val="20"/>
              </w:rPr>
              <w:t>…</w:t>
            </w:r>
            <w:r>
              <w:rPr>
                <w:rFonts w:ascii="宋体" w:hAnsi="宋体" w:cs="宋体"/>
                <w:kern w:val="0"/>
                <w:sz w:val="20"/>
                <w:szCs w:val="20"/>
              </w:rPr>
              <w:t>+4</w:t>
            </w:r>
            <w:r>
              <w:rPr>
                <w:rFonts w:hint="eastAsia" w:ascii="宋体" w:hAnsi="宋体" w:cs="宋体"/>
                <w:kern w:val="0"/>
                <w:sz w:val="20"/>
                <w:szCs w:val="20"/>
              </w:rPr>
              <w:t>3）</w:t>
            </w:r>
          </w:p>
        </w:tc>
        <w:tc>
          <w:tcPr>
            <w:tcW w:w="1061" w:type="dxa"/>
            <w:vAlign w:val="center"/>
          </w:tcPr>
          <w:p>
            <w:pPr>
              <w:widowControl/>
              <w:jc w:val="center"/>
              <w:rPr>
                <w:rFonts w:ascii="宋体"/>
                <w:kern w:val="0"/>
                <w:sz w:val="20"/>
                <w:szCs w:val="20"/>
              </w:rPr>
            </w:pPr>
            <w:r>
              <w:rPr>
                <w:rFonts w:ascii="宋体" w:hAnsi="宋体" w:cs="宋体"/>
                <w:kern w:val="0"/>
                <w:sz w:val="20"/>
                <w:szCs w:val="20"/>
              </w:rPr>
              <w:t>*</w:t>
            </w:r>
          </w:p>
        </w:tc>
        <w:tc>
          <w:tcPr>
            <w:tcW w:w="1026" w:type="dxa"/>
            <w:vAlign w:val="center"/>
          </w:tcPr>
          <w:p>
            <w:pPr>
              <w:widowControl/>
              <w:jc w:val="center"/>
              <w:rPr>
                <w:rFonts w:ascii="宋体"/>
                <w:kern w:val="0"/>
                <w:sz w:val="20"/>
                <w:szCs w:val="20"/>
              </w:rPr>
            </w:pPr>
            <w:r>
              <w:rPr>
                <w:rFonts w:ascii="宋体" w:hAnsi="宋体" w:cs="宋体"/>
                <w:kern w:val="0"/>
                <w:sz w:val="20"/>
                <w:szCs w:val="20"/>
              </w:rPr>
              <w:t>*</w:t>
            </w: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8</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（一）企业重组及递延纳税事项</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hint="eastAsia" w:ascii="宋体" w:hAnsi="宋体" w:cs="宋体"/>
                <w:kern w:val="0"/>
                <w:sz w:val="20"/>
                <w:szCs w:val="20"/>
              </w:rPr>
              <w:t>39</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（二）政策性搬迁</w:t>
            </w:r>
          </w:p>
        </w:tc>
        <w:tc>
          <w:tcPr>
            <w:tcW w:w="1061" w:type="dxa"/>
            <w:vAlign w:val="center"/>
          </w:tcPr>
          <w:p>
            <w:pPr>
              <w:widowControl/>
              <w:jc w:val="center"/>
              <w:rPr>
                <w:rFonts w:ascii="宋体"/>
                <w:kern w:val="0"/>
                <w:sz w:val="20"/>
                <w:szCs w:val="20"/>
              </w:rPr>
            </w:pPr>
            <w:r>
              <w:rPr>
                <w:rFonts w:ascii="宋体" w:hAnsi="宋体" w:cs="宋体"/>
                <w:kern w:val="0"/>
                <w:sz w:val="20"/>
                <w:szCs w:val="20"/>
              </w:rPr>
              <w:t>*</w:t>
            </w:r>
          </w:p>
        </w:tc>
        <w:tc>
          <w:tcPr>
            <w:tcW w:w="1026" w:type="dxa"/>
            <w:vAlign w:val="center"/>
          </w:tcPr>
          <w:p>
            <w:pPr>
              <w:widowControl/>
              <w:jc w:val="center"/>
              <w:rPr>
                <w:rFonts w:ascii="宋体"/>
                <w:kern w:val="0"/>
                <w:sz w:val="20"/>
                <w:szCs w:val="20"/>
              </w:rPr>
            </w:pPr>
            <w:r>
              <w:rPr>
                <w:rFonts w:ascii="宋体" w:hAnsi="宋体" w:cs="宋体"/>
                <w:kern w:val="0"/>
                <w:sz w:val="20"/>
                <w:szCs w:val="20"/>
              </w:rPr>
              <w:t>*</w:t>
            </w: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0</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（三）特殊行业准备金</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1</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（四）房地产开发企业特定业务计算的纳税调整额</w:t>
            </w:r>
          </w:p>
        </w:tc>
        <w:tc>
          <w:tcPr>
            <w:tcW w:w="1061" w:type="dxa"/>
            <w:vAlign w:val="center"/>
          </w:tcPr>
          <w:p>
            <w:pPr>
              <w:widowControl/>
              <w:jc w:val="center"/>
              <w:rPr>
                <w:rFonts w:ascii="宋体"/>
                <w:kern w:val="0"/>
                <w:sz w:val="20"/>
                <w:szCs w:val="20"/>
              </w:rPr>
            </w:pPr>
            <w:r>
              <w:rPr>
                <w:rFonts w:ascii="宋体" w:hAnsi="宋体" w:cs="宋体"/>
                <w:kern w:val="0"/>
                <w:sz w:val="20"/>
                <w:szCs w:val="20"/>
              </w:rPr>
              <w:t>*</w:t>
            </w: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2</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（五）合伙企业法人合伙人应分得的应纳税所得额</w:t>
            </w:r>
          </w:p>
        </w:tc>
        <w:tc>
          <w:tcPr>
            <w:tcW w:w="1061" w:type="dxa"/>
            <w:vAlign w:val="center"/>
          </w:tcPr>
          <w:p>
            <w:pPr>
              <w:widowControl/>
              <w:jc w:val="center"/>
              <w:rPr>
                <w:rFonts w:ascii="宋体"/>
                <w:kern w:val="0"/>
                <w:sz w:val="20"/>
                <w:szCs w:val="20"/>
              </w:rPr>
            </w:pPr>
          </w:p>
        </w:tc>
        <w:tc>
          <w:tcPr>
            <w:tcW w:w="1026" w:type="dxa"/>
            <w:vAlign w:val="center"/>
          </w:tcPr>
          <w:p>
            <w:pPr>
              <w:widowControl/>
              <w:jc w:val="center"/>
              <w:rPr>
                <w:rFonts w:ascii="宋体"/>
                <w:kern w:val="0"/>
                <w:sz w:val="20"/>
                <w:szCs w:val="20"/>
              </w:rPr>
            </w:pP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3</w:t>
            </w:r>
          </w:p>
        </w:tc>
        <w:tc>
          <w:tcPr>
            <w:tcW w:w="5582" w:type="dxa"/>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（六）其他</w:t>
            </w:r>
          </w:p>
        </w:tc>
        <w:tc>
          <w:tcPr>
            <w:tcW w:w="1061" w:type="dxa"/>
            <w:vAlign w:val="center"/>
          </w:tcPr>
          <w:p>
            <w:pPr>
              <w:widowControl/>
              <w:jc w:val="center"/>
              <w:rPr>
                <w:rFonts w:ascii="宋体"/>
                <w:kern w:val="0"/>
                <w:sz w:val="20"/>
                <w:szCs w:val="20"/>
              </w:rPr>
            </w:pPr>
            <w:r>
              <w:rPr>
                <w:rFonts w:ascii="宋体" w:hAnsi="宋体" w:cs="宋体"/>
                <w:kern w:val="0"/>
                <w:sz w:val="20"/>
                <w:szCs w:val="20"/>
              </w:rPr>
              <w:t>*</w:t>
            </w:r>
          </w:p>
        </w:tc>
        <w:tc>
          <w:tcPr>
            <w:tcW w:w="1026" w:type="dxa"/>
            <w:vAlign w:val="center"/>
          </w:tcPr>
          <w:p>
            <w:pPr>
              <w:widowControl/>
              <w:jc w:val="center"/>
              <w:rPr>
                <w:rFonts w:ascii="宋体"/>
                <w:kern w:val="0"/>
                <w:sz w:val="20"/>
                <w:szCs w:val="20"/>
              </w:rPr>
            </w:pPr>
            <w:r>
              <w:rPr>
                <w:rFonts w:ascii="宋体" w:hAnsi="宋体" w:cs="宋体"/>
                <w:kern w:val="0"/>
                <w:sz w:val="20"/>
                <w:szCs w:val="20"/>
              </w:rPr>
              <w:t>*</w:t>
            </w: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4</w:t>
            </w:r>
          </w:p>
        </w:tc>
        <w:tc>
          <w:tcPr>
            <w:tcW w:w="5582" w:type="dxa"/>
            <w:vAlign w:val="center"/>
          </w:tcPr>
          <w:p>
            <w:pPr>
              <w:widowControl/>
              <w:jc w:val="left"/>
              <w:rPr>
                <w:rFonts w:ascii="宋体"/>
                <w:kern w:val="0"/>
                <w:sz w:val="20"/>
                <w:szCs w:val="20"/>
              </w:rPr>
            </w:pPr>
            <w:r>
              <w:rPr>
                <w:rFonts w:hint="eastAsia" w:ascii="宋体" w:hAnsi="宋体" w:cs="宋体"/>
                <w:kern w:val="0"/>
                <w:sz w:val="20"/>
                <w:szCs w:val="20"/>
              </w:rPr>
              <w:t>五、特别纳税调整应税所得</w:t>
            </w:r>
          </w:p>
        </w:tc>
        <w:tc>
          <w:tcPr>
            <w:tcW w:w="1061" w:type="dxa"/>
            <w:vAlign w:val="center"/>
          </w:tcPr>
          <w:p>
            <w:pPr>
              <w:widowControl/>
              <w:jc w:val="center"/>
              <w:rPr>
                <w:rFonts w:ascii="宋体"/>
                <w:kern w:val="0"/>
                <w:sz w:val="20"/>
                <w:szCs w:val="20"/>
              </w:rPr>
            </w:pPr>
            <w:r>
              <w:rPr>
                <w:rFonts w:ascii="宋体" w:hAnsi="宋体" w:cs="宋体"/>
                <w:kern w:val="0"/>
                <w:sz w:val="20"/>
                <w:szCs w:val="20"/>
              </w:rPr>
              <w:t>*</w:t>
            </w:r>
          </w:p>
        </w:tc>
        <w:tc>
          <w:tcPr>
            <w:tcW w:w="1026" w:type="dxa"/>
            <w:vAlign w:val="center"/>
          </w:tcPr>
          <w:p>
            <w:pPr>
              <w:widowControl/>
              <w:jc w:val="center"/>
              <w:rPr>
                <w:rFonts w:ascii="宋体"/>
                <w:kern w:val="0"/>
                <w:sz w:val="20"/>
                <w:szCs w:val="20"/>
              </w:rPr>
            </w:pPr>
            <w:r>
              <w:rPr>
                <w:rFonts w:ascii="宋体" w:hAnsi="宋体" w:cs="宋体"/>
                <w:kern w:val="0"/>
                <w:sz w:val="20"/>
                <w:szCs w:val="20"/>
              </w:rPr>
              <w:t>*</w:t>
            </w: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Align w:val="center"/>
          </w:tcPr>
          <w:p>
            <w:pPr>
              <w:widowControl/>
              <w:jc w:val="center"/>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5</w:t>
            </w:r>
          </w:p>
        </w:tc>
        <w:tc>
          <w:tcPr>
            <w:tcW w:w="5582" w:type="dxa"/>
            <w:vAlign w:val="center"/>
          </w:tcPr>
          <w:p>
            <w:pPr>
              <w:widowControl/>
              <w:jc w:val="left"/>
              <w:rPr>
                <w:rFonts w:ascii="宋体"/>
                <w:kern w:val="0"/>
                <w:sz w:val="20"/>
                <w:szCs w:val="20"/>
              </w:rPr>
            </w:pPr>
            <w:r>
              <w:rPr>
                <w:rFonts w:hint="eastAsia" w:ascii="宋体" w:hAnsi="宋体" w:cs="宋体"/>
                <w:kern w:val="0"/>
                <w:sz w:val="20"/>
                <w:szCs w:val="20"/>
              </w:rPr>
              <w:t>六、其他</w:t>
            </w:r>
          </w:p>
        </w:tc>
        <w:tc>
          <w:tcPr>
            <w:tcW w:w="1061" w:type="dxa"/>
            <w:vAlign w:val="center"/>
          </w:tcPr>
          <w:p>
            <w:pPr>
              <w:widowControl/>
              <w:jc w:val="center"/>
              <w:rPr>
                <w:rFonts w:ascii="宋体"/>
                <w:kern w:val="0"/>
                <w:sz w:val="20"/>
                <w:szCs w:val="20"/>
              </w:rPr>
            </w:pPr>
            <w:r>
              <w:rPr>
                <w:rFonts w:ascii="宋体" w:hAnsi="宋体" w:cs="宋体"/>
                <w:kern w:val="0"/>
                <w:sz w:val="20"/>
                <w:szCs w:val="20"/>
              </w:rPr>
              <w:t>*</w:t>
            </w:r>
          </w:p>
        </w:tc>
        <w:tc>
          <w:tcPr>
            <w:tcW w:w="1026" w:type="dxa"/>
            <w:vAlign w:val="center"/>
          </w:tcPr>
          <w:p>
            <w:pPr>
              <w:widowControl/>
              <w:jc w:val="center"/>
              <w:rPr>
                <w:rFonts w:ascii="宋体"/>
                <w:kern w:val="0"/>
                <w:sz w:val="20"/>
                <w:szCs w:val="20"/>
              </w:rPr>
            </w:pPr>
            <w:r>
              <w:rPr>
                <w:rFonts w:ascii="宋体" w:hAnsi="宋体" w:cs="宋体"/>
                <w:kern w:val="0"/>
                <w:sz w:val="20"/>
                <w:szCs w:val="20"/>
              </w:rPr>
              <w:t>*</w:t>
            </w:r>
          </w:p>
        </w:tc>
        <w:tc>
          <w:tcPr>
            <w:tcW w:w="1053" w:type="dxa"/>
            <w:vAlign w:val="center"/>
          </w:tcPr>
          <w:p>
            <w:pPr>
              <w:widowControl/>
              <w:jc w:val="center"/>
              <w:rPr>
                <w:rFonts w:ascii="宋体"/>
                <w:kern w:val="0"/>
                <w:sz w:val="20"/>
                <w:szCs w:val="20"/>
              </w:rPr>
            </w:pPr>
          </w:p>
        </w:tc>
        <w:tc>
          <w:tcPr>
            <w:tcW w:w="1016" w:type="dxa"/>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tcBorders>
              <w:bottom w:val="single" w:color="auto" w:sz="12" w:space="0"/>
            </w:tcBorders>
            <w:vAlign w:val="center"/>
          </w:tcPr>
          <w:p>
            <w:pPr>
              <w:widowControl/>
              <w:jc w:val="center"/>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6</w:t>
            </w:r>
          </w:p>
        </w:tc>
        <w:tc>
          <w:tcPr>
            <w:tcW w:w="5582" w:type="dxa"/>
            <w:tcBorders>
              <w:bottom w:val="single" w:color="auto" w:sz="12" w:space="0"/>
            </w:tcBorders>
            <w:vAlign w:val="center"/>
          </w:tcPr>
          <w:p>
            <w:pPr>
              <w:widowControl/>
              <w:jc w:val="left"/>
              <w:rPr>
                <w:rFonts w:ascii="宋体"/>
                <w:kern w:val="0"/>
                <w:sz w:val="20"/>
                <w:szCs w:val="20"/>
              </w:rPr>
            </w:pPr>
            <w:r>
              <w:rPr>
                <w:rFonts w:hint="eastAsia" w:ascii="宋体" w:hAnsi="宋体" w:cs="宋体"/>
                <w:kern w:val="0"/>
                <w:sz w:val="20"/>
                <w:szCs w:val="20"/>
              </w:rPr>
              <w:t>合计（</w:t>
            </w:r>
            <w:r>
              <w:rPr>
                <w:rFonts w:ascii="宋体" w:hAnsi="宋体" w:cs="宋体"/>
                <w:kern w:val="0"/>
                <w:sz w:val="20"/>
                <w:szCs w:val="20"/>
              </w:rPr>
              <w:t>1+11+3</w:t>
            </w:r>
            <w:r>
              <w:rPr>
                <w:rFonts w:hint="eastAsia" w:ascii="宋体" w:hAnsi="宋体" w:cs="宋体"/>
                <w:kern w:val="0"/>
                <w:sz w:val="20"/>
                <w:szCs w:val="20"/>
              </w:rPr>
              <w:t>1</w:t>
            </w:r>
            <w:r>
              <w:rPr>
                <w:rFonts w:ascii="宋体" w:hAnsi="宋体" w:cs="宋体"/>
                <w:kern w:val="0"/>
                <w:sz w:val="20"/>
                <w:szCs w:val="20"/>
              </w:rPr>
              <w:t>+3</w:t>
            </w:r>
            <w:r>
              <w:rPr>
                <w:rFonts w:hint="eastAsia" w:ascii="宋体" w:hAnsi="宋体" w:cs="宋体"/>
                <w:kern w:val="0"/>
                <w:sz w:val="20"/>
                <w:szCs w:val="20"/>
              </w:rPr>
              <w:t>7</w:t>
            </w:r>
            <w:r>
              <w:rPr>
                <w:rFonts w:ascii="宋体" w:hAnsi="宋体" w:cs="宋体"/>
                <w:kern w:val="0"/>
                <w:sz w:val="20"/>
                <w:szCs w:val="20"/>
              </w:rPr>
              <w:t>+4</w:t>
            </w:r>
            <w:r>
              <w:rPr>
                <w:rFonts w:hint="eastAsia" w:ascii="宋体" w:hAnsi="宋体" w:cs="宋体"/>
                <w:kern w:val="0"/>
                <w:sz w:val="20"/>
                <w:szCs w:val="20"/>
              </w:rPr>
              <w:t>4</w:t>
            </w:r>
            <w:r>
              <w:rPr>
                <w:rFonts w:ascii="宋体" w:hAnsi="宋体" w:cs="宋体"/>
                <w:kern w:val="0"/>
                <w:sz w:val="20"/>
                <w:szCs w:val="20"/>
              </w:rPr>
              <w:t>+4</w:t>
            </w:r>
            <w:r>
              <w:rPr>
                <w:rFonts w:hint="eastAsia" w:ascii="宋体" w:hAnsi="宋体" w:cs="宋体"/>
                <w:kern w:val="0"/>
                <w:sz w:val="20"/>
                <w:szCs w:val="20"/>
              </w:rPr>
              <w:t>5）</w:t>
            </w:r>
          </w:p>
        </w:tc>
        <w:tc>
          <w:tcPr>
            <w:tcW w:w="1061" w:type="dxa"/>
            <w:tcBorders>
              <w:bottom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026" w:type="dxa"/>
            <w:tcBorders>
              <w:bottom w:val="single" w:color="auto" w:sz="12" w:space="0"/>
            </w:tcBorders>
            <w:vAlign w:val="center"/>
          </w:tcPr>
          <w:p>
            <w:pPr>
              <w:widowControl/>
              <w:jc w:val="center"/>
              <w:rPr>
                <w:rFonts w:ascii="宋体"/>
                <w:kern w:val="0"/>
                <w:sz w:val="20"/>
                <w:szCs w:val="20"/>
              </w:rPr>
            </w:pPr>
            <w:r>
              <w:rPr>
                <w:rFonts w:ascii="宋体" w:hAnsi="宋体" w:cs="宋体"/>
                <w:kern w:val="0"/>
                <w:sz w:val="20"/>
                <w:szCs w:val="20"/>
              </w:rPr>
              <w:t>*</w:t>
            </w:r>
          </w:p>
        </w:tc>
        <w:tc>
          <w:tcPr>
            <w:tcW w:w="1053" w:type="dxa"/>
            <w:tcBorders>
              <w:bottom w:val="single" w:color="auto" w:sz="12" w:space="0"/>
            </w:tcBorders>
            <w:vAlign w:val="center"/>
          </w:tcPr>
          <w:p>
            <w:pPr>
              <w:widowControl/>
              <w:jc w:val="center"/>
              <w:rPr>
                <w:rFonts w:ascii="宋体"/>
                <w:kern w:val="0"/>
                <w:sz w:val="20"/>
                <w:szCs w:val="20"/>
              </w:rPr>
            </w:pPr>
          </w:p>
        </w:tc>
        <w:tc>
          <w:tcPr>
            <w:tcW w:w="1016" w:type="dxa"/>
            <w:tcBorders>
              <w:bottom w:val="single" w:color="auto" w:sz="12" w:space="0"/>
            </w:tcBorders>
            <w:vAlign w:val="center"/>
          </w:tcPr>
          <w:p>
            <w:pPr>
              <w:widowControl/>
              <w:jc w:val="center"/>
              <w:rPr>
                <w:rFonts w:ascii="宋体"/>
                <w:kern w:val="0"/>
                <w:sz w:val="20"/>
                <w:szCs w:val="20"/>
              </w:rPr>
            </w:pPr>
          </w:p>
        </w:tc>
      </w:tr>
    </w:tbl>
    <w:p>
      <w:pPr>
        <w:widowControl/>
        <w:wordWrap w:val="0"/>
        <w:jc w:val="right"/>
        <w:rPr>
          <w:sz w:val="20"/>
          <w:szCs w:val="20"/>
        </w:rPr>
        <w:sectPr>
          <w:headerReference r:id="rId4" w:type="first"/>
          <w:footerReference r:id="rId6" w:type="first"/>
          <w:headerReference r:id="rId3" w:type="default"/>
          <w:footerReference r:id="rId5" w:type="default"/>
          <w:pgSz w:w="11906" w:h="16838"/>
          <w:pgMar w:top="1134" w:right="1361" w:bottom="1134" w:left="1361" w:header="851" w:footer="992" w:gutter="0"/>
          <w:pgNumType w:fmt="numberInDash"/>
          <w:cols w:space="720" w:num="1"/>
          <w:titlePg/>
          <w:docGrid w:linePitch="312" w:charSpace="0"/>
        </w:sectPr>
      </w:pPr>
      <w:bookmarkStart w:id="0" w:name="_GoBack"/>
      <w:bookmarkEnd w:id="0"/>
      <w:r>
        <w:rPr>
          <w:sz w:val="20"/>
          <w:szCs w:val="20"/>
        </w:rPr>
        <w:t xml:space="preserve">   </w:t>
      </w:r>
      <w:r>
        <w:rPr>
          <w:rFonts w:hint="eastAsia"/>
          <w:sz w:val="20"/>
          <w:szCs w:val="20"/>
        </w:rPr>
        <w:t>国家税务总局监制</w:t>
      </w:r>
    </w:p>
    <w:p>
      <w:pPr>
        <w:widowControl/>
        <w:adjustRightInd w:val="0"/>
        <w:snapToGrid w:val="0"/>
        <w:ind w:firstLine="420" w:firstLineChars="200"/>
        <w:jc w:val="left"/>
        <w:rPr>
          <w:rFonts w:ascii="宋体" w:hAnsi="宋体" w:cs="MS Mincho"/>
          <w:kern w:val="0"/>
          <w:szCs w:val="21"/>
        </w:rPr>
      </w:pPr>
      <w:r>
        <w:rPr>
          <w:rFonts w:hint="eastAsia"/>
          <w:color w:val="000000"/>
        </w:rPr>
        <w:t>【表单说明】</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一、适用范围</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本表为《中华人民共和国非居民企业所得税年度纳税申报表（2019年版）》(表F200)的附表，由纳税人根据税法、相关税收规定以及国家统一会计制度的规定，填报企业所得税涉税事项的会计处理与税务处理的差异以及纳税调整情况。</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二、有关项目填报说明</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本表纳税调整项目按照“收入类调整项目”“扣除类调整项目”“资产类调整项目”“特殊事项调整项目”“特别纳税调整应税所得”“其他”六大项分类填报汇总，并计算出纳税“调增数额”和“调减数额”的合计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数据栏分别设置“账载数额”“税收数额”“调增数额”“调减数额”四个栏次。“账载数额”是指纳税人按照国家统一会计制度规定核算的项目数额。“税收数额”是指纳税人按照税收规定（含有关以前年度金额结转的规定）计算的项目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（一）收入类调整项目</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1.第1行“一、收入类调整项目”：根据第2行至第10行进行填报。</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2.第2行“（一）视同销售收入”：填报会计处理不确认销售收入，而税收规定确认为应税收入的数额。第2列“税收数额”填报税收确认的应税收入数额；第3列“调增数额”等于第2列“税收数额”。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3.第3行“（二）未按权责发生制原则确认的收入”：填报会计上按照权责发生制原则确认收入，计税时按照收付实现制确认的收入，若第2列≥第1列，将第2-1列的余额填入本行第3列“调增数额”；若第2列＜第1列，将第2-1列余额的绝对值填入本行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4.第4行“（三）投资收益”：根据税法、相关税收规定以及国家统一企业会计制度，填报纳税调整情况。若第2列≥第1列，将第2-1列的余额填入本行第3列“调增数额”；若第2列＜第1列，将第2-1列余额的绝对值填入本行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5.第5行“（四）按权益法核算长期股权投资对初始投资成本调整确认收益”：第4列“调减数额”填报纳税人采取权益法核算，初始投资成本小于取得投资时应享有被投资单位可辨认净资产公允价值份额的差额计入取得投资当期的营业外收入的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6.第6行“（五）交易性金融资产初始投资调整”：第3列“调增数额”填报纳税人根据税收规定确认交易性金融资产初始投资数额与会计核算的交易性金融资产初始投资账面价值的差额。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7.第7行“（六）公允价值变动净损益”：第1列“账载数额”填报纳税人会计核算的以公允价值计量的金融资产、金融负债以及投资性房地产类项目，计入当期损益的公允价值变动数额；第1列≤0，将绝对值填入第3列“调增数额”；若第1列＞0，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8.第8行“（七）不征税收入”：填报纳税人计入收入总额但属于税收规定不征税的财政拨款、依法收取并纳入财政管理的行政事业性收费以及政府性基金和国务院规定的其他不征税收入。第3列“调增数额”填报纳税人以前年度取得财政性资金且已作为不征税收入处理，在5年（60个月）内未发生支出且未缴回财政部门或其他拨付资金的政府部门，应计入应税收入额的数额。第4列“调减数额”填报符合税收规定不征税收入条件并作为不征税收入处理，且已计入当期损益的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9.第9行“（八）销售折扣、折让和退回”：填报不符合税收规定的销售折扣和折让应进行纳税调整的数额，和发生的销售退回因会计处理与税收规定有差异需纳税调整的数额。第1列“账载数额”填报纳税人会计核算的销售折扣和折让数额及销货退回的追溯处理的净调整额。第2列“税收数额”填报根据税收规定可以税前扣除的折扣和折让的数额及销货退回业务影响当期损益的数额。第1列减第2列，若余额≥0，填入第3列“调增数额”；若余额＜0，将绝对值填入第4列“调减数额”，第4列仅为销货退回影响损益的跨期时间性差异。</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10.第10行“（九）其他”：填报其他因会计处理与税收规定有差异需纳税调整的收入类项目数额。若第2列≥第1列，将第2-1列的余额填入第3列“调增数额”；若第2列＜第1列，将第2-1列余额的绝对值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（二）扣除类调整项目</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1.第11行“二、扣除类调整项目”：根据第12行至第30行填报。</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2.第12行“（一）视同销售成本”：填报会计处理不作为销售核算，税收规定作为应税收入对应的销售成本数额。第2列“税收数额”填报税收确认的销售成本数额；第4列“调减数额”等于第2列“税收数额”。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3.第13行“（二）职工薪酬”：根据税法、相关税收规定以及国家统一企业会计制度，填报纳税人本年度支付给在本企业任职或者受雇的员工的所有现金形式或非现金形式的劳动报酬的会计处理、税法规定，以及纳税调整情况。若第1列≥第2列，将第1-2列的余额填入本行第3列“调增数额”；若第1列＜第2列，将第1-2列余额的绝对值填入本行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4.第14行“（三）业务招待费支出”：第1列“账载数额”填报纳税人会计核算计入当期损益的业务招待费数额。第2列“税收数额”填报按照税收规定允许税前扣除的业务招待费支出的数额。第3列“调增数额”为第1-2列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5.第15行“（四）广告费和业务宣传费支出”：根据税法、相关税收规定以及国家统一企业会计制度，填报广告费和业务宣传费会计处理、税法规定，以及跨年度纳税调整情况。若第1列≥第2列，将第1-2列的余额填入本行第3列“调增数额”；若第1列＜第2列，将第1-2列余额的绝对值填入本行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6.第16行“（五）捐赠支出”：根据税法、相关税收规定以及国家统一企业会计制度，第1列“账载数额”填报企业实际发生的所有捐赠。第2列“税收数额”填报按税收规定可以税前扣除的捐赠支出。若第1列≥第2列，将第1-2列的余额填入第3列“调增数额”；若第1列＜第2列，将第1-2列余额的绝对值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7.第17行“（六）利息支出”：第1列“账载数额”填报纳税人向非金融企业借款，会计核算计入当期损益的利息支出的数额。第2列“税收数额”填报按照税收规定允许税前扣除的利息支出的数额。若第1列≥第2列，将第1-2列的余额填入第3列“调增数额”；若第1列＜第2列，将第1-2列余额的绝对值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8.第18行“（七）罚金、罚款和被没收财物的损失”：第1列“账载数额”填报纳税人会计核算计入当期损益的罚金、罚款和被罚没财物的损失，不包括纳税人按照经济合同规定支付的违约金（包括银行罚息）、罚款和诉讼费。第3列“调增数额”等于第1列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9.第19行“（八）税收滞纳金、加收利息”：第1列“账载数额”填报纳税人会计核算计入当期损益的税收滞纳金、加收利息。第3列“调增数额”等于第1列数额。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10.第20行“（九）赞助支出”：第1列“账载数额”填报纳税人会计核算计入当期损益的不符合税收规定的公益性捐赠的赞助支出的数额，包括直接向受赠人的捐赠、赞助支出等（不含广告性的赞助支出，广告性的赞助支出在第15行“广告费和业务宣传费支出”中调整）。第3列“调增数额”等于第1列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11.第21行“（十）与未实现融资收益相关在当期确认的财务费用”：第1列“账载数额”填报纳税人会计核算的与未实现融资收益相关并在当期确认的财务费用的数额。第2列“税收数额”填报按照税收规定允许税前扣除的数额。若第1列≥第2列，将第1-2列的余额填入第3列“调增数额”；若第1列＜第2列，将第1-2列余额的绝对值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12.第22行“（十一）佣金和手续费支出”：第1列“账载数额”填报纳税人会计核算计入当期损益的佣金和手续费数额。第2列“税收数额”填报按照税收规定允许税前扣除的佣金和手续费支出数额。第3列“调增数额”为第1-2列的余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13.第23行“（十二）不征税收入用于支出所形成的费用”：第3列“调增数额”填报符合条件的不征税收入用于支出所形成的计入当期损益的费用化支出数额。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14.第24行“（十三）跨期扣除项目”：填报维简费、安全生产费用、预提费用、预计负债等跨期扣除项目调整情况。第1列“账载数额”填报纳税人会计核算计入当期损益的跨期扣除项目数额。第2列“税收数额”填报按照税收规定允许税前扣除的数额。若第1列≥第2列，将第1-2列的余额填入第3列“调增数额”；若第1列＜第2列，将第1-2列余额的绝对值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15.第25行“（十四）与取得收入无关的支出”：第1列“账载数额”填报纳税人会计核算计入当期损益的与取得收入无关的支出的数额。第3列“调增数额”等于第1列数额。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16.第26行“（十五）境外所得分摊的共同支出”：根据税法、相关税收规定，第3列“调增数额”填报本年按照税法规定计算的纳税人实际发生与取得境外所得有关但未直接计入境外所得应纳税所得的成本费用支出。</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17.第27行“（十六）分摊境外总机构费用”：第1列“账载数额”填报因分摊境外总机构费用而实际列入纳税人会计账目的数额。第2列“税收数额”填报按照税收规定可以分摊扣除的境外总机构费用数额。若第1列≥第2列，将第1-2列的余额填入第3列“调增数额”；若第1列＜第2列，则第3列“调增数额”为零。</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18.第28行“（十七）向其他机构、场所分摊的费用”：第1列“账载数额”填报因向其他机构、场所分摊费用而实际列入纳税人会计账目的数额。第2列“税收数额”填报按照税收规定应向其他机构、场所分摊的费用数额。若第2列≥第1列，将第2-1列的余额填入第3列“调增数额”；若第2列＜第1列，则第3列“调增数额”为零。</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19.第29行“（十八）分摊资源勘探开发费用”：填报可分摊的其他境内机构、场所资源勘探开发费用。将本年度可分摊的境内机构、场所资源勘探开发费用数额填入第2列，以第2列数额填入第4列“调减数额”。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20.第30行“（十九）其他”：填报其他因会计处理与税收规定有差异需纳税调整的扣除类项目数额。若第1列≥第2列，将第1-2列的余额填入第3列“调增数额”；若第1列＜第2列，将第1-2列余额的绝对值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（三）资产类调整项目</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1.第31行“三、资产类调整项目”：填报资产类调整项目第32、34、35、36行的合计数额。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2.第32行“（一）资产折旧、摊销”：根据税法、相关税收规定以及国家统一企业会计制度，填报资产折旧、摊销的会计处理、税法规定，以及纳税调整情况。若第1列≥第2列，将第1-2列的余额填入本行第3列“调增数额”；若第1列＜第2列，将第1-2列余额的绝对值填入本行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3.第33行“其中：固定资产加速折旧（扣除）调减额”：填报纳税人享受各类固定资产加速折旧政策的优惠金额，即享受加速折旧政策的税法折旧额大于按税收一般规定计算的折旧额的差额。同时填报该固定资产加速折旧项目对应的减免性质代码。减免性质代码按照国家税务总局制定或更新的“减免税政策代码目录”填列。减免项目多于一项的，附页填报。</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4.第34行“（二）资产减值准备金”：填报坏账准备、存货跌价准备、理赔费用准备金等不允许税前扣除的各类资产减值准备金纳税调整情况。第1列“账载数额”填报纳税人会计核算计入当期损益的资产减值准备金数额（因价值恢复等原因转回的资产减值准备金应予以冲回）。第1列，若≥0，填入第3列“调增数额”；若＜0，将绝对值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5.第35行“（三）资产损失”：根据税法、相关税收规定及国家统一企业会计制度，填报资产损失的会计处理、税法规定，以及纳税调整情况。第1列“账载数额”填报本纳税年度实际发生的需报税务机关审批的财产损失数额，以及固定资产、无形资产转让、处置所得（损失）和金融资产转让、处置所得等损失数额；第2列“税收数额”填报税务机关审批的本纳税年度财产损失数额，以及按照税收规定计算的固定资产、无形资产转让、处置所得（损失）和金融资产转让、处置所得等损失数额，长期股权投资除外；若第1列≥第2列，将第1-2列的余额填入本行第3列“调增数额”；若第1列＜第2列，将第1-2列余额的绝对值填入本行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6.第36行“（四）其他”：填报其他因会计处理与税收规定有差异需纳税调整的资产类项目数额。若第1列≥第2列，将第1-2列余额填入第3列“调增数额”；若第1列＜第2列，将第1-2列余额的绝对值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（四）特殊事项调整项目</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1.第37行“四、特殊事项调整项目”：填报特殊事项调整项目第38行至第43行的合计数额。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2.第38行“（一）企业重组及递延纳税事项”：根据税法、相关税收规定以及国家统一企业会计制度，填报企业重组的会计核算及税法规定，以及纳税调整情况。若第1列≥第2列，将第1-2列的余额填入本行第3列“调增数额”；若第1列＜第2列，将第1-2列余额的绝对值填入本行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3.第39行“（二）政策性搬迁”：根据税法、相关税收规定以及国家统一企业会计制度，填报企业政策性搬迁项目的相关会计处理、税法规定及纳税调整情况。若≥0，填入第3列“调增数额”；若＜0，将绝对值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4.第40行“（三）特殊行业准备金”：根据税法、相关税收规定以及国家统一企业会计制度，填报特殊行业准备金会计处理、税法规定及纳税调整情况。若第1列≥第2列，将第1-2列的余额填入本行第3列“调增数额”；若第1列＜第2列，将第1-2列余额的绝对值填入本行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5.第41行“（四）房地产开发企业特定业务计算的纳税调整额”：根据税法、相关税收规定以及国家统一企业会计制度，填报房地产企业销售未完工产品、未完工产品转完工产品特定业务的税法规定及纳税调整情况。将按照税法规定计算的数额填入本行第2列，若≥0，填入第3列“调增数额”；若＜0，将绝对值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6. 第42行“（五）合伙企业法人合伙人应分得的应纳税所得额”：第1列“账载数额”填报合伙企业法人合伙人本年会计核算上确认的对合伙企业的投资所得；第2列“税收数额”填报纳税人按照“先分后税”原则和相关税收规定计算的从合伙企业分得的法人合伙方应纳税所得额；若第1列≤第2列，将第2-1列的余额填入第3列“调增数额”，若第1列＞第2列，将第2-1列余额的绝对值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7.第43行“（六）其他”：填报其他因会计处理与税收规定有差异需纳税调整的特殊事项数额。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（五）特别纳税调整所得项目</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第44行“五、特别纳税调整应税所得”：第3列“调增数额”填报纳税人按特别纳税调整规定自行调增的当年应税所得。第4列“调减数额”填报纳税人依据双边预约定价安排或者转让定价相应调整磋商结果的通知，需要调减的当年应税所得。</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（六）其他</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1.第45行“六、其他”：其他会计处理与税收规定存在差异需纳税调整的项目数额。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2.第46行“合计”：填报第1+11+31+37+44+45行的合计数额。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三、表内、表间关系</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（一）表内关系</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1.第1行＝第2+3+4+5+6+7+8+9+10行。</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2.第11行＝第12+13+14+…+29+30行。</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3.第31行＝第32+34+35+36行。</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4.第37行＝第38+39+40+41+42+43行。</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5.第46行＝第1+11+31+37+44+45行。</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（二）表间关系</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1.第46行第3列＝表F200第3行。</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2.第46行第4列＝表F200第4行。</w:t>
      </w:r>
    </w:p>
    <w:p>
      <w:pPr>
        <w:adjustRightInd w:val="0"/>
        <w:snapToGrid w:val="0"/>
        <w:ind w:firstLine="420" w:firstLineChars="200"/>
        <w:rPr>
          <w:rFonts w:ascii="宋体" w:hAnsi="宋体" w:cs="MS Mincho"/>
          <w:szCs w:val="21"/>
        </w:rPr>
        <w:sectPr>
          <w:pgSz w:w="11906" w:h="16838"/>
          <w:pgMar w:top="1440" w:right="1797" w:bottom="1440" w:left="1797" w:header="851" w:footer="992" w:gutter="0"/>
          <w:cols w:space="720" w:num="1"/>
          <w:docGrid w:type="lines" w:linePitch="326"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1461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w:t>
    </w:r>
    <w:r>
      <w:t xml:space="preserve"> 1452 -</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D4238"/>
    <w:rsid w:val="12432F27"/>
    <w:rsid w:val="426D4238"/>
    <w:rsid w:val="45AB1F23"/>
    <w:rsid w:val="76964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7">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8">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9">
    <w:name w:val="需求正文_0"/>
    <w:basedOn w:val="1"/>
    <w:qFormat/>
    <w:uiPriority w:val="0"/>
    <w:pPr>
      <w:widowControl/>
      <w:ind w:firstLine="420"/>
      <w:jc w:val="left"/>
    </w:pPr>
    <w:rPr>
      <w:rFonts w:ascii="Arial" w:hAnsi="Arial"/>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2019-10-31T07:37:00Z</dcterms:created>
  <dc:creator>陈莉佳</dc:creator>
  <cp:lastModifiedBy>敖卓勋</cp:lastModifiedBy>
  <dcterms:modified xsi:type="dcterms:W3CDTF">2019-11-14T06:59:20Z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