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cs="Arial"/>
          <w:b/>
          <w:color w:val="000000"/>
          <w:kern w:val="0"/>
          <w:sz w:val="32"/>
          <w:szCs w:val="32"/>
        </w:rPr>
      </w:pPr>
      <w:bookmarkStart w:id="0" w:name="_Toc25328304"/>
      <w:r>
        <w:rPr>
          <w:rFonts w:hint="eastAsia" w:ascii="宋体" w:hAnsi="宋体" w:eastAsia="宋体" w:cs="宋体"/>
          <w:color w:val="000000"/>
        </w:rPr>
        <w:t>A06904《收入费用表_年报（适用执行政府会计准则制度的单位）》</w:t>
      </w:r>
      <w:bookmarkEnd w:id="0"/>
      <w:bookmarkStart w:id="1" w:name="_GoBack"/>
      <w:bookmarkEnd w:id="1"/>
    </w:p>
    <w:p>
      <w:pPr>
        <w:pStyle w:val="9"/>
        <w:jc w:val="center"/>
        <w:rPr>
          <w:rFonts w:ascii="宋体" w:hAnsi="宋体" w:cs="Arial"/>
          <w:b/>
          <w:color w:val="000000"/>
          <w:kern w:val="0"/>
          <w:sz w:val="32"/>
          <w:szCs w:val="32"/>
        </w:rPr>
      </w:pPr>
      <w:r>
        <w:rPr>
          <w:rFonts w:hint="eastAsia" w:ascii="宋体" w:hAnsi="宋体" w:cs="Arial"/>
          <w:b/>
          <w:color w:val="000000"/>
          <w:kern w:val="0"/>
          <w:sz w:val="32"/>
          <w:szCs w:val="32"/>
        </w:rPr>
        <w:t>收入费用表</w:t>
      </w:r>
    </w:p>
    <w:p>
      <w:pPr>
        <w:jc w:val="right"/>
        <w:rPr>
          <w:rFonts w:ascii="Calibri" w:hAnsi="Calibri" w:eastAsia="宋体"/>
          <w:color w:val="000000"/>
          <w:kern w:val="2"/>
          <w:sz w:val="21"/>
          <w:szCs w:val="22"/>
        </w:rPr>
      </w:pPr>
      <w:r>
        <w:rPr>
          <w:rFonts w:hint="eastAsia" w:ascii="Calibri" w:hAnsi="Calibri" w:eastAsia="宋体"/>
          <w:color w:val="000000"/>
          <w:kern w:val="2"/>
          <w:sz w:val="21"/>
          <w:szCs w:val="22"/>
        </w:rPr>
        <w:t xml:space="preserve">                                                                  会政财02 表</w:t>
      </w:r>
    </w:p>
    <w:p>
      <w:pPr>
        <w:rPr>
          <w:rFonts w:ascii="Calibri" w:hAnsi="Calibri" w:eastAsia="宋体"/>
          <w:color w:val="000000"/>
          <w:kern w:val="2"/>
          <w:sz w:val="21"/>
          <w:szCs w:val="22"/>
        </w:rPr>
      </w:pPr>
      <w:r>
        <w:rPr>
          <w:rFonts w:hint="eastAsia" w:ascii="Calibri" w:hAnsi="Calibri" w:eastAsia="宋体"/>
          <w:color w:val="000000"/>
          <w:kern w:val="2"/>
          <w:sz w:val="21"/>
          <w:szCs w:val="22"/>
        </w:rPr>
        <w:t>编制单位：</w:t>
      </w:r>
      <w:r>
        <w:rPr>
          <w:rFonts w:hint="eastAsia" w:ascii="Calibri" w:hAnsi="Calibri" w:eastAsia="宋体"/>
          <w:color w:val="000000"/>
          <w:kern w:val="2"/>
          <w:sz w:val="21"/>
          <w:szCs w:val="22"/>
          <w:u w:val="single"/>
        </w:rPr>
        <w:tab/>
      </w:r>
      <w:r>
        <w:rPr>
          <w:rFonts w:hint="eastAsia" w:ascii="Calibri" w:hAnsi="Calibri" w:eastAsia="宋体"/>
          <w:color w:val="000000"/>
          <w:kern w:val="2"/>
          <w:sz w:val="21"/>
          <w:szCs w:val="22"/>
          <w:u w:val="single"/>
        </w:rPr>
        <w:t xml:space="preserve">            </w:t>
      </w:r>
      <w:r>
        <w:rPr>
          <w:rFonts w:hint="eastAsia" w:ascii="Calibri" w:hAnsi="Calibri" w:eastAsia="宋体"/>
          <w:color w:val="000000"/>
          <w:kern w:val="2"/>
          <w:sz w:val="21"/>
          <w:szCs w:val="22"/>
        </w:rPr>
        <w:t xml:space="preserve">    </w:t>
      </w:r>
      <w:r>
        <w:rPr>
          <w:rFonts w:hint="eastAsia" w:ascii="Calibri" w:hAnsi="Calibri" w:eastAsia="宋体"/>
          <w:color w:val="000000"/>
          <w:kern w:val="2"/>
          <w:sz w:val="21"/>
          <w:szCs w:val="22"/>
          <w:u w:val="single"/>
        </w:rPr>
        <w:tab/>
      </w:r>
      <w:r>
        <w:rPr>
          <w:rFonts w:hint="eastAsia" w:ascii="Calibri" w:hAnsi="Calibri" w:eastAsia="宋体"/>
          <w:color w:val="000000"/>
          <w:kern w:val="2"/>
          <w:sz w:val="21"/>
          <w:szCs w:val="22"/>
          <w:u w:val="single"/>
        </w:rPr>
        <w:t xml:space="preserve">   </w:t>
      </w:r>
      <w:r>
        <w:rPr>
          <w:rFonts w:hint="eastAsia" w:ascii="Calibri" w:hAnsi="Calibri" w:eastAsia="宋体"/>
          <w:color w:val="000000"/>
          <w:kern w:val="2"/>
          <w:sz w:val="21"/>
          <w:szCs w:val="22"/>
        </w:rPr>
        <w:t>年</w:t>
      </w:r>
      <w:r>
        <w:rPr>
          <w:rFonts w:hint="eastAsia" w:ascii="Calibri" w:hAnsi="Calibri" w:eastAsia="宋体"/>
          <w:color w:val="000000"/>
          <w:kern w:val="2"/>
          <w:sz w:val="21"/>
          <w:szCs w:val="22"/>
          <w:u w:val="single"/>
        </w:rPr>
        <w:t xml:space="preserve">  </w:t>
      </w:r>
      <w:r>
        <w:rPr>
          <w:rFonts w:hint="eastAsia" w:ascii="Calibri" w:hAnsi="Calibri" w:eastAsia="宋体"/>
          <w:color w:val="000000"/>
          <w:kern w:val="2"/>
          <w:sz w:val="21"/>
          <w:szCs w:val="22"/>
          <w:u w:val="single"/>
        </w:rPr>
        <w:tab/>
      </w:r>
      <w:r>
        <w:rPr>
          <w:rFonts w:hint="eastAsia" w:ascii="Calibri" w:hAnsi="Calibri" w:eastAsia="宋体"/>
          <w:color w:val="000000"/>
          <w:kern w:val="2"/>
          <w:sz w:val="21"/>
          <w:szCs w:val="22"/>
          <w:u w:val="single"/>
        </w:rPr>
        <w:t xml:space="preserve">   </w:t>
      </w:r>
      <w:r>
        <w:rPr>
          <w:rFonts w:hint="eastAsia" w:ascii="Calibri" w:hAnsi="Calibri" w:eastAsia="宋体"/>
          <w:color w:val="000000"/>
          <w:kern w:val="2"/>
          <w:sz w:val="21"/>
          <w:szCs w:val="22"/>
        </w:rPr>
        <w:t>月</w:t>
      </w:r>
      <w:r>
        <w:rPr>
          <w:rFonts w:hint="eastAsia" w:ascii="Calibri" w:hAnsi="Calibri" w:eastAsia="宋体"/>
          <w:color w:val="000000"/>
          <w:kern w:val="2"/>
          <w:sz w:val="21"/>
          <w:szCs w:val="22"/>
          <w:u w:val="single"/>
        </w:rPr>
        <w:t xml:space="preserve">  </w:t>
      </w:r>
      <w:r>
        <w:rPr>
          <w:rFonts w:hint="eastAsia" w:ascii="Calibri" w:hAnsi="Calibri" w:eastAsia="宋体"/>
          <w:color w:val="000000"/>
          <w:kern w:val="2"/>
          <w:sz w:val="21"/>
          <w:szCs w:val="22"/>
          <w:u w:val="single"/>
        </w:rPr>
        <w:tab/>
      </w:r>
      <w:r>
        <w:rPr>
          <w:rFonts w:hint="eastAsia" w:ascii="Calibri" w:hAnsi="Calibri" w:eastAsia="宋体"/>
          <w:color w:val="000000"/>
          <w:kern w:val="2"/>
          <w:sz w:val="21"/>
          <w:szCs w:val="22"/>
          <w:u w:val="single"/>
        </w:rPr>
        <w:t xml:space="preserve">    </w:t>
      </w:r>
      <w:r>
        <w:rPr>
          <w:rFonts w:hint="eastAsia" w:ascii="Calibri" w:hAnsi="Calibri" w:eastAsia="宋体"/>
          <w:color w:val="000000"/>
          <w:kern w:val="2"/>
          <w:sz w:val="21"/>
          <w:szCs w:val="22"/>
        </w:rPr>
        <w:t>日</w:t>
      </w:r>
      <w:r>
        <w:rPr>
          <w:rFonts w:hint="eastAsia" w:ascii="Calibri" w:hAnsi="Calibri" w:eastAsia="宋体"/>
          <w:color w:val="000000"/>
          <w:kern w:val="2"/>
          <w:sz w:val="21"/>
          <w:szCs w:val="22"/>
        </w:rPr>
        <w:tab/>
      </w:r>
      <w:r>
        <w:rPr>
          <w:rFonts w:hint="eastAsia" w:ascii="Calibri" w:hAnsi="Calibri" w:eastAsia="宋体"/>
          <w:color w:val="000000"/>
          <w:kern w:val="2"/>
          <w:sz w:val="21"/>
          <w:szCs w:val="22"/>
        </w:rPr>
        <w:t xml:space="preserve">            </w:t>
      </w:r>
      <w:r>
        <w:rPr>
          <w:rFonts w:ascii="Calibri" w:hAnsi="Calibri" w:eastAsia="宋体"/>
          <w:color w:val="000000"/>
          <w:kern w:val="2"/>
          <w:sz w:val="21"/>
          <w:szCs w:val="22"/>
        </w:rPr>
        <w:t xml:space="preserve">                                      </w:t>
      </w:r>
      <w:r>
        <w:rPr>
          <w:rFonts w:hint="eastAsia" w:ascii="Calibri" w:hAnsi="Calibri" w:eastAsia="宋体"/>
          <w:color w:val="000000"/>
          <w:kern w:val="2"/>
          <w:sz w:val="21"/>
          <w:szCs w:val="22"/>
        </w:rPr>
        <w:t>单位：元</w:t>
      </w:r>
    </w:p>
    <w:tbl>
      <w:tblPr>
        <w:tblStyle w:val="2"/>
        <w:tblW w:w="873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7"/>
        <w:gridCol w:w="1884"/>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4967" w:type="dxa"/>
            <w:noWrap w:val="0"/>
            <w:vAlign w:val="top"/>
          </w:tcPr>
          <w:p>
            <w:pPr>
              <w:pStyle w:val="10"/>
              <w:spacing w:before="24" w:line="269" w:lineRule="exact"/>
              <w:ind w:left="44"/>
              <w:jc w:val="center"/>
              <w:rPr>
                <w:rFonts w:cs="Times New Roman"/>
                <w:b/>
                <w:bCs/>
                <w:color w:val="000000"/>
                <w:sz w:val="21"/>
                <w:szCs w:val="21"/>
                <w:lang w:bidi="ar-SA"/>
              </w:rPr>
            </w:pPr>
            <w:r>
              <w:rPr>
                <w:rFonts w:hint="eastAsia" w:cs="Times New Roman"/>
                <w:b/>
                <w:bCs/>
                <w:color w:val="000000"/>
                <w:sz w:val="21"/>
                <w:szCs w:val="21"/>
                <w:lang w:bidi="ar-SA"/>
              </w:rPr>
              <w:t>项</w:t>
            </w:r>
            <w:r>
              <w:rPr>
                <w:rFonts w:hint="eastAsia" w:cs="Times New Roman"/>
                <w:b/>
                <w:bCs/>
                <w:color w:val="000000"/>
                <w:sz w:val="21"/>
                <w:szCs w:val="21"/>
                <w:lang w:bidi="ar-SA"/>
              </w:rPr>
              <w:tab/>
            </w:r>
            <w:r>
              <w:rPr>
                <w:rFonts w:hint="eastAsia" w:cs="Times New Roman"/>
                <w:b/>
                <w:bCs/>
                <w:color w:val="000000"/>
                <w:sz w:val="21"/>
                <w:szCs w:val="21"/>
                <w:lang w:bidi="ar-SA"/>
              </w:rPr>
              <w:t>目</w:t>
            </w:r>
          </w:p>
        </w:tc>
        <w:tc>
          <w:tcPr>
            <w:tcW w:w="1884" w:type="dxa"/>
            <w:noWrap w:val="0"/>
            <w:vAlign w:val="top"/>
          </w:tcPr>
          <w:p>
            <w:pPr>
              <w:pStyle w:val="10"/>
              <w:spacing w:before="24" w:line="269" w:lineRule="exact"/>
              <w:ind w:left="632"/>
              <w:rPr>
                <w:rFonts w:cs="Times New Roman"/>
                <w:b/>
                <w:bCs/>
                <w:color w:val="000000"/>
                <w:sz w:val="21"/>
                <w:szCs w:val="21"/>
                <w:lang w:bidi="ar-SA"/>
              </w:rPr>
            </w:pPr>
            <w:r>
              <w:rPr>
                <w:rFonts w:hint="eastAsia" w:cs="Times New Roman"/>
                <w:b/>
                <w:bCs/>
                <w:color w:val="000000"/>
                <w:sz w:val="21"/>
                <w:szCs w:val="21"/>
                <w:lang w:bidi="ar-SA"/>
              </w:rPr>
              <w:t>本年数</w:t>
            </w:r>
          </w:p>
        </w:tc>
        <w:tc>
          <w:tcPr>
            <w:tcW w:w="1884" w:type="dxa"/>
            <w:noWrap w:val="0"/>
            <w:vAlign w:val="top"/>
          </w:tcPr>
          <w:p>
            <w:pPr>
              <w:pStyle w:val="10"/>
              <w:spacing w:before="24" w:line="269" w:lineRule="exact"/>
              <w:ind w:left="424"/>
              <w:rPr>
                <w:rFonts w:cs="Times New Roman"/>
                <w:b/>
                <w:bCs/>
                <w:color w:val="000000"/>
                <w:sz w:val="21"/>
                <w:szCs w:val="21"/>
                <w:lang w:bidi="ar-SA"/>
              </w:rPr>
            </w:pPr>
            <w:r>
              <w:rPr>
                <w:rFonts w:hint="eastAsia" w:cs="Times New Roman"/>
                <w:b/>
                <w:bCs/>
                <w:color w:val="000000"/>
                <w:sz w:val="21"/>
                <w:szCs w:val="21"/>
                <w:lang w:bidi="ar-SA"/>
              </w:rPr>
              <w:t>上年数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4967" w:type="dxa"/>
            <w:noWrap w:val="0"/>
            <w:vAlign w:val="top"/>
          </w:tcPr>
          <w:p>
            <w:pPr>
              <w:pStyle w:val="10"/>
              <w:spacing w:before="22"/>
              <w:ind w:left="136"/>
              <w:rPr>
                <w:rFonts w:cs="Times New Roman"/>
                <w:b/>
                <w:bCs/>
                <w:color w:val="000000"/>
                <w:sz w:val="21"/>
                <w:szCs w:val="21"/>
                <w:lang w:bidi="ar-SA"/>
              </w:rPr>
            </w:pPr>
            <w:r>
              <w:rPr>
                <w:rFonts w:hint="eastAsia" w:cs="Times New Roman"/>
                <w:b/>
                <w:bCs/>
                <w:color w:val="000000"/>
                <w:sz w:val="21"/>
                <w:szCs w:val="21"/>
                <w:lang w:bidi="ar-SA"/>
              </w:rPr>
              <w:t>一、本期收入</w:t>
            </w:r>
          </w:p>
        </w:tc>
        <w:tc>
          <w:tcPr>
            <w:tcW w:w="1884" w:type="dxa"/>
            <w:noWrap w:val="0"/>
            <w:vAlign w:val="top"/>
          </w:tcPr>
          <w:p>
            <w:pPr>
              <w:pStyle w:val="10"/>
              <w:rPr>
                <w:rFonts w:ascii="Times New Roman"/>
                <w:color w:val="000000"/>
                <w:sz w:val="20"/>
                <w:szCs w:val="20"/>
                <w:lang w:bidi="ar-SA"/>
              </w:rPr>
            </w:pPr>
          </w:p>
        </w:tc>
        <w:tc>
          <w:tcPr>
            <w:tcW w:w="1884"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4967" w:type="dxa"/>
            <w:noWrap w:val="0"/>
            <w:vAlign w:val="top"/>
          </w:tcPr>
          <w:p>
            <w:pPr>
              <w:pStyle w:val="10"/>
              <w:spacing w:before="25"/>
              <w:ind w:left="556"/>
              <w:rPr>
                <w:rFonts w:cs="Times New Roman"/>
                <w:color w:val="000000"/>
                <w:sz w:val="21"/>
                <w:szCs w:val="21"/>
                <w:lang w:bidi="ar-SA"/>
              </w:rPr>
            </w:pPr>
            <w:r>
              <w:rPr>
                <w:rFonts w:hint="eastAsia" w:cs="Times New Roman"/>
                <w:color w:val="000000"/>
                <w:sz w:val="21"/>
                <w:szCs w:val="21"/>
                <w:lang w:bidi="ar-SA"/>
              </w:rPr>
              <w:t>（一）财政拨款收入</w:t>
            </w:r>
          </w:p>
        </w:tc>
        <w:tc>
          <w:tcPr>
            <w:tcW w:w="1884" w:type="dxa"/>
            <w:noWrap w:val="0"/>
            <w:vAlign w:val="top"/>
          </w:tcPr>
          <w:p>
            <w:pPr>
              <w:pStyle w:val="10"/>
              <w:rPr>
                <w:rFonts w:ascii="Times New Roman"/>
                <w:color w:val="000000"/>
                <w:sz w:val="20"/>
                <w:szCs w:val="20"/>
                <w:lang w:bidi="ar-SA"/>
              </w:rPr>
            </w:pPr>
          </w:p>
        </w:tc>
        <w:tc>
          <w:tcPr>
            <w:tcW w:w="1884"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4967" w:type="dxa"/>
            <w:noWrap w:val="0"/>
            <w:vAlign w:val="top"/>
          </w:tcPr>
          <w:p>
            <w:pPr>
              <w:pStyle w:val="10"/>
              <w:spacing w:before="22"/>
              <w:ind w:left="1187"/>
              <w:rPr>
                <w:rFonts w:cs="Times New Roman"/>
                <w:color w:val="000000"/>
                <w:sz w:val="21"/>
                <w:szCs w:val="21"/>
                <w:lang w:val="en-US" w:bidi="ar-SA"/>
              </w:rPr>
            </w:pPr>
            <w:r>
              <w:rPr>
                <w:rFonts w:hint="eastAsia" w:cs="Times New Roman"/>
                <w:color w:val="000000"/>
                <w:sz w:val="21"/>
                <w:szCs w:val="21"/>
                <w:lang w:bidi="ar-SA"/>
              </w:rPr>
              <w:t>其中</w:t>
            </w:r>
            <w:r>
              <w:rPr>
                <w:rFonts w:hint="eastAsia" w:cs="Times New Roman"/>
                <w:color w:val="000000"/>
                <w:sz w:val="21"/>
                <w:szCs w:val="21"/>
                <w:lang w:val="en-US" w:bidi="ar-SA"/>
              </w:rPr>
              <w:t>：</w:t>
            </w:r>
            <w:r>
              <w:rPr>
                <w:rFonts w:hint="eastAsia" w:cs="Times New Roman"/>
                <w:color w:val="000000"/>
                <w:sz w:val="21"/>
                <w:szCs w:val="21"/>
                <w:lang w:bidi="ar-SA"/>
              </w:rPr>
              <w:t>政府性基金收入</w:t>
            </w:r>
          </w:p>
        </w:tc>
        <w:tc>
          <w:tcPr>
            <w:tcW w:w="1884" w:type="dxa"/>
            <w:noWrap w:val="0"/>
            <w:vAlign w:val="top"/>
          </w:tcPr>
          <w:p>
            <w:pPr>
              <w:pStyle w:val="10"/>
              <w:rPr>
                <w:rFonts w:ascii="Times New Roman"/>
                <w:color w:val="000000"/>
                <w:sz w:val="20"/>
                <w:szCs w:val="20"/>
                <w:lang w:val="en-US" w:bidi="ar-SA"/>
              </w:rPr>
            </w:pPr>
          </w:p>
        </w:tc>
        <w:tc>
          <w:tcPr>
            <w:tcW w:w="1884" w:type="dxa"/>
            <w:noWrap w:val="0"/>
            <w:vAlign w:val="top"/>
          </w:tcPr>
          <w:p>
            <w:pPr>
              <w:pStyle w:val="10"/>
              <w:rPr>
                <w:rFonts w:ascii="Times New Roman"/>
                <w:color w:val="000000"/>
                <w:sz w:val="20"/>
                <w:szCs w:val="20"/>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4967" w:type="dxa"/>
            <w:noWrap w:val="0"/>
            <w:vAlign w:val="top"/>
          </w:tcPr>
          <w:p>
            <w:pPr>
              <w:pStyle w:val="10"/>
              <w:spacing w:before="22"/>
              <w:ind w:left="556"/>
              <w:rPr>
                <w:rFonts w:cs="Times New Roman"/>
                <w:color w:val="000000"/>
                <w:sz w:val="21"/>
                <w:szCs w:val="21"/>
                <w:lang w:bidi="ar-SA"/>
              </w:rPr>
            </w:pPr>
            <w:r>
              <w:rPr>
                <w:rFonts w:hint="eastAsia" w:cs="Times New Roman"/>
                <w:color w:val="000000"/>
                <w:sz w:val="21"/>
                <w:szCs w:val="21"/>
                <w:lang w:bidi="ar-SA"/>
              </w:rPr>
              <w:t>（二）事业收入</w:t>
            </w:r>
          </w:p>
        </w:tc>
        <w:tc>
          <w:tcPr>
            <w:tcW w:w="1884" w:type="dxa"/>
            <w:noWrap w:val="0"/>
            <w:vAlign w:val="top"/>
          </w:tcPr>
          <w:p>
            <w:pPr>
              <w:pStyle w:val="10"/>
              <w:rPr>
                <w:rFonts w:ascii="Times New Roman"/>
                <w:color w:val="000000"/>
                <w:sz w:val="20"/>
                <w:szCs w:val="20"/>
                <w:lang w:bidi="ar-SA"/>
              </w:rPr>
            </w:pPr>
          </w:p>
        </w:tc>
        <w:tc>
          <w:tcPr>
            <w:tcW w:w="1884"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4967" w:type="dxa"/>
            <w:noWrap w:val="0"/>
            <w:vAlign w:val="top"/>
          </w:tcPr>
          <w:p>
            <w:pPr>
              <w:pStyle w:val="10"/>
              <w:spacing w:before="22"/>
              <w:ind w:left="556"/>
              <w:rPr>
                <w:rFonts w:cs="Times New Roman"/>
                <w:color w:val="000000"/>
                <w:sz w:val="21"/>
                <w:szCs w:val="21"/>
                <w:lang w:bidi="ar-SA"/>
              </w:rPr>
            </w:pPr>
            <w:r>
              <w:rPr>
                <w:rFonts w:hint="eastAsia" w:cs="Times New Roman"/>
                <w:color w:val="000000"/>
                <w:sz w:val="21"/>
                <w:szCs w:val="21"/>
                <w:lang w:bidi="ar-SA"/>
              </w:rPr>
              <w:t>（三）上级补助收入</w:t>
            </w:r>
          </w:p>
        </w:tc>
        <w:tc>
          <w:tcPr>
            <w:tcW w:w="1884" w:type="dxa"/>
            <w:noWrap w:val="0"/>
            <w:vAlign w:val="top"/>
          </w:tcPr>
          <w:p>
            <w:pPr>
              <w:pStyle w:val="10"/>
              <w:rPr>
                <w:rFonts w:ascii="Times New Roman"/>
                <w:color w:val="000000"/>
                <w:sz w:val="20"/>
                <w:szCs w:val="20"/>
                <w:lang w:bidi="ar-SA"/>
              </w:rPr>
            </w:pPr>
          </w:p>
        </w:tc>
        <w:tc>
          <w:tcPr>
            <w:tcW w:w="1884"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4967" w:type="dxa"/>
            <w:noWrap w:val="0"/>
            <w:vAlign w:val="top"/>
          </w:tcPr>
          <w:p>
            <w:pPr>
              <w:pStyle w:val="10"/>
              <w:spacing w:before="22"/>
              <w:ind w:left="556"/>
              <w:rPr>
                <w:rFonts w:cs="Times New Roman"/>
                <w:color w:val="000000"/>
                <w:sz w:val="21"/>
                <w:szCs w:val="21"/>
                <w:lang w:bidi="ar-SA"/>
              </w:rPr>
            </w:pPr>
            <w:r>
              <w:rPr>
                <w:rFonts w:hint="eastAsia" w:cs="Times New Roman"/>
                <w:color w:val="000000"/>
                <w:sz w:val="21"/>
                <w:szCs w:val="21"/>
                <w:lang w:bidi="ar-SA"/>
              </w:rPr>
              <w:t>（四）附属单位上缴收入</w:t>
            </w:r>
          </w:p>
        </w:tc>
        <w:tc>
          <w:tcPr>
            <w:tcW w:w="1884" w:type="dxa"/>
            <w:noWrap w:val="0"/>
            <w:vAlign w:val="top"/>
          </w:tcPr>
          <w:p>
            <w:pPr>
              <w:pStyle w:val="10"/>
              <w:rPr>
                <w:rFonts w:ascii="Times New Roman"/>
                <w:color w:val="000000"/>
                <w:sz w:val="20"/>
                <w:szCs w:val="20"/>
                <w:lang w:bidi="ar-SA"/>
              </w:rPr>
            </w:pPr>
          </w:p>
        </w:tc>
        <w:tc>
          <w:tcPr>
            <w:tcW w:w="1884"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4967" w:type="dxa"/>
            <w:noWrap w:val="0"/>
            <w:vAlign w:val="top"/>
          </w:tcPr>
          <w:p>
            <w:pPr>
              <w:pStyle w:val="10"/>
              <w:spacing w:before="22"/>
              <w:ind w:left="556"/>
              <w:rPr>
                <w:rFonts w:cs="Times New Roman"/>
                <w:color w:val="000000"/>
                <w:sz w:val="21"/>
                <w:szCs w:val="21"/>
                <w:lang w:bidi="ar-SA"/>
              </w:rPr>
            </w:pPr>
            <w:r>
              <w:rPr>
                <w:rFonts w:hint="eastAsia" w:cs="Times New Roman"/>
                <w:color w:val="000000"/>
                <w:sz w:val="21"/>
                <w:szCs w:val="21"/>
                <w:lang w:bidi="ar-SA"/>
              </w:rPr>
              <w:t>（五）经营收入</w:t>
            </w:r>
          </w:p>
        </w:tc>
        <w:tc>
          <w:tcPr>
            <w:tcW w:w="1884" w:type="dxa"/>
            <w:noWrap w:val="0"/>
            <w:vAlign w:val="top"/>
          </w:tcPr>
          <w:p>
            <w:pPr>
              <w:pStyle w:val="10"/>
              <w:rPr>
                <w:rFonts w:ascii="Times New Roman"/>
                <w:color w:val="000000"/>
                <w:sz w:val="20"/>
                <w:szCs w:val="20"/>
                <w:lang w:bidi="ar-SA"/>
              </w:rPr>
            </w:pPr>
          </w:p>
        </w:tc>
        <w:tc>
          <w:tcPr>
            <w:tcW w:w="1884"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4967" w:type="dxa"/>
            <w:noWrap w:val="0"/>
            <w:vAlign w:val="top"/>
          </w:tcPr>
          <w:p>
            <w:pPr>
              <w:pStyle w:val="10"/>
              <w:spacing w:before="25"/>
              <w:ind w:left="556"/>
              <w:rPr>
                <w:rFonts w:cs="Times New Roman"/>
                <w:color w:val="000000"/>
                <w:sz w:val="21"/>
                <w:szCs w:val="21"/>
                <w:lang w:bidi="ar-SA"/>
              </w:rPr>
            </w:pPr>
            <w:r>
              <w:rPr>
                <w:rFonts w:hint="eastAsia" w:cs="Times New Roman"/>
                <w:color w:val="000000"/>
                <w:sz w:val="21"/>
                <w:szCs w:val="21"/>
                <w:lang w:bidi="ar-SA"/>
              </w:rPr>
              <w:t>（六）非同级财政拨款收入</w:t>
            </w:r>
          </w:p>
        </w:tc>
        <w:tc>
          <w:tcPr>
            <w:tcW w:w="1884" w:type="dxa"/>
            <w:noWrap w:val="0"/>
            <w:vAlign w:val="top"/>
          </w:tcPr>
          <w:p>
            <w:pPr>
              <w:pStyle w:val="10"/>
              <w:rPr>
                <w:rFonts w:ascii="Times New Roman"/>
                <w:color w:val="000000"/>
                <w:sz w:val="20"/>
                <w:szCs w:val="20"/>
                <w:lang w:bidi="ar-SA"/>
              </w:rPr>
            </w:pPr>
          </w:p>
        </w:tc>
        <w:tc>
          <w:tcPr>
            <w:tcW w:w="1884"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4967" w:type="dxa"/>
            <w:noWrap w:val="0"/>
            <w:vAlign w:val="top"/>
          </w:tcPr>
          <w:p>
            <w:pPr>
              <w:pStyle w:val="10"/>
              <w:spacing w:before="22"/>
              <w:ind w:left="556"/>
              <w:rPr>
                <w:rFonts w:cs="Times New Roman"/>
                <w:color w:val="000000"/>
                <w:sz w:val="21"/>
                <w:szCs w:val="21"/>
                <w:lang w:bidi="ar-SA"/>
              </w:rPr>
            </w:pPr>
            <w:r>
              <w:rPr>
                <w:rFonts w:hint="eastAsia" w:cs="Times New Roman"/>
                <w:color w:val="000000"/>
                <w:sz w:val="21"/>
                <w:szCs w:val="21"/>
                <w:lang w:bidi="ar-SA"/>
              </w:rPr>
              <w:t>（七）投资收益</w:t>
            </w:r>
          </w:p>
        </w:tc>
        <w:tc>
          <w:tcPr>
            <w:tcW w:w="1884" w:type="dxa"/>
            <w:noWrap w:val="0"/>
            <w:vAlign w:val="top"/>
          </w:tcPr>
          <w:p>
            <w:pPr>
              <w:pStyle w:val="10"/>
              <w:rPr>
                <w:rFonts w:ascii="Times New Roman"/>
                <w:color w:val="000000"/>
                <w:sz w:val="20"/>
                <w:szCs w:val="20"/>
                <w:lang w:bidi="ar-SA"/>
              </w:rPr>
            </w:pPr>
          </w:p>
        </w:tc>
        <w:tc>
          <w:tcPr>
            <w:tcW w:w="1884"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4967" w:type="dxa"/>
            <w:noWrap w:val="0"/>
            <w:vAlign w:val="top"/>
          </w:tcPr>
          <w:p>
            <w:pPr>
              <w:pStyle w:val="10"/>
              <w:spacing w:before="22"/>
              <w:ind w:left="556"/>
              <w:rPr>
                <w:rFonts w:cs="Times New Roman"/>
                <w:color w:val="000000"/>
                <w:sz w:val="21"/>
                <w:szCs w:val="21"/>
                <w:lang w:bidi="ar-SA"/>
              </w:rPr>
            </w:pPr>
            <w:r>
              <w:rPr>
                <w:rFonts w:hint="eastAsia" w:cs="Times New Roman"/>
                <w:color w:val="000000"/>
                <w:sz w:val="21"/>
                <w:szCs w:val="21"/>
                <w:lang w:bidi="ar-SA"/>
              </w:rPr>
              <w:t>（八）捐赠收入</w:t>
            </w:r>
          </w:p>
        </w:tc>
        <w:tc>
          <w:tcPr>
            <w:tcW w:w="1884" w:type="dxa"/>
            <w:noWrap w:val="0"/>
            <w:vAlign w:val="top"/>
          </w:tcPr>
          <w:p>
            <w:pPr>
              <w:pStyle w:val="10"/>
              <w:rPr>
                <w:rFonts w:ascii="Times New Roman"/>
                <w:color w:val="000000"/>
                <w:sz w:val="20"/>
                <w:szCs w:val="20"/>
                <w:lang w:bidi="ar-SA"/>
              </w:rPr>
            </w:pPr>
          </w:p>
        </w:tc>
        <w:tc>
          <w:tcPr>
            <w:tcW w:w="1884"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4967" w:type="dxa"/>
            <w:noWrap w:val="0"/>
            <w:vAlign w:val="top"/>
          </w:tcPr>
          <w:p>
            <w:pPr>
              <w:pStyle w:val="10"/>
              <w:spacing w:before="22"/>
              <w:ind w:left="556"/>
              <w:rPr>
                <w:rFonts w:cs="Times New Roman"/>
                <w:color w:val="000000"/>
                <w:sz w:val="21"/>
                <w:szCs w:val="21"/>
                <w:lang w:bidi="ar-SA"/>
              </w:rPr>
            </w:pPr>
            <w:r>
              <w:rPr>
                <w:rFonts w:hint="eastAsia" w:cs="Times New Roman"/>
                <w:color w:val="000000"/>
                <w:sz w:val="21"/>
                <w:szCs w:val="21"/>
                <w:lang w:bidi="ar-SA"/>
              </w:rPr>
              <w:t>（九）利息收入</w:t>
            </w:r>
          </w:p>
        </w:tc>
        <w:tc>
          <w:tcPr>
            <w:tcW w:w="1884" w:type="dxa"/>
            <w:noWrap w:val="0"/>
            <w:vAlign w:val="top"/>
          </w:tcPr>
          <w:p>
            <w:pPr>
              <w:pStyle w:val="10"/>
              <w:rPr>
                <w:rFonts w:ascii="Times New Roman"/>
                <w:color w:val="000000"/>
                <w:sz w:val="20"/>
                <w:szCs w:val="20"/>
                <w:lang w:bidi="ar-SA"/>
              </w:rPr>
            </w:pPr>
          </w:p>
        </w:tc>
        <w:tc>
          <w:tcPr>
            <w:tcW w:w="1884"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4967" w:type="dxa"/>
            <w:noWrap w:val="0"/>
            <w:vAlign w:val="top"/>
          </w:tcPr>
          <w:p>
            <w:pPr>
              <w:pStyle w:val="10"/>
              <w:spacing w:before="22"/>
              <w:ind w:left="556"/>
              <w:rPr>
                <w:rFonts w:cs="Times New Roman"/>
                <w:color w:val="000000"/>
                <w:sz w:val="21"/>
                <w:szCs w:val="21"/>
                <w:lang w:bidi="ar-SA"/>
              </w:rPr>
            </w:pPr>
            <w:r>
              <w:rPr>
                <w:rFonts w:hint="eastAsia" w:cs="Times New Roman"/>
                <w:color w:val="000000"/>
                <w:sz w:val="21"/>
                <w:szCs w:val="21"/>
                <w:lang w:bidi="ar-SA"/>
              </w:rPr>
              <w:t>（十）租金收入</w:t>
            </w:r>
          </w:p>
        </w:tc>
        <w:tc>
          <w:tcPr>
            <w:tcW w:w="1884" w:type="dxa"/>
            <w:noWrap w:val="0"/>
            <w:vAlign w:val="top"/>
          </w:tcPr>
          <w:p>
            <w:pPr>
              <w:pStyle w:val="10"/>
              <w:rPr>
                <w:rFonts w:ascii="Times New Roman"/>
                <w:color w:val="000000"/>
                <w:sz w:val="20"/>
                <w:szCs w:val="20"/>
                <w:lang w:bidi="ar-SA"/>
              </w:rPr>
            </w:pPr>
          </w:p>
        </w:tc>
        <w:tc>
          <w:tcPr>
            <w:tcW w:w="1884"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4967" w:type="dxa"/>
            <w:noWrap w:val="0"/>
            <w:vAlign w:val="top"/>
          </w:tcPr>
          <w:p>
            <w:pPr>
              <w:pStyle w:val="10"/>
              <w:spacing w:before="22"/>
              <w:ind w:left="556"/>
              <w:rPr>
                <w:rFonts w:cs="Times New Roman"/>
                <w:color w:val="000000"/>
                <w:sz w:val="21"/>
                <w:szCs w:val="21"/>
                <w:lang w:bidi="ar-SA"/>
              </w:rPr>
            </w:pPr>
            <w:r>
              <w:rPr>
                <w:rFonts w:hint="eastAsia" w:cs="Times New Roman"/>
                <w:color w:val="000000"/>
                <w:sz w:val="21"/>
                <w:szCs w:val="21"/>
                <w:lang w:bidi="ar-SA"/>
              </w:rPr>
              <w:t>（十一）其他收入</w:t>
            </w:r>
          </w:p>
        </w:tc>
        <w:tc>
          <w:tcPr>
            <w:tcW w:w="1884" w:type="dxa"/>
            <w:noWrap w:val="0"/>
            <w:vAlign w:val="top"/>
          </w:tcPr>
          <w:p>
            <w:pPr>
              <w:pStyle w:val="10"/>
              <w:rPr>
                <w:rFonts w:ascii="Times New Roman"/>
                <w:color w:val="000000"/>
                <w:sz w:val="20"/>
                <w:szCs w:val="20"/>
                <w:lang w:bidi="ar-SA"/>
              </w:rPr>
            </w:pPr>
          </w:p>
        </w:tc>
        <w:tc>
          <w:tcPr>
            <w:tcW w:w="1884"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4967" w:type="dxa"/>
            <w:noWrap w:val="0"/>
            <w:vAlign w:val="top"/>
          </w:tcPr>
          <w:p>
            <w:pPr>
              <w:pStyle w:val="10"/>
              <w:spacing w:before="25"/>
              <w:ind w:left="136"/>
              <w:rPr>
                <w:rFonts w:cs="Times New Roman"/>
                <w:b/>
                <w:bCs/>
                <w:color w:val="000000"/>
                <w:sz w:val="21"/>
                <w:szCs w:val="21"/>
                <w:lang w:bidi="ar-SA"/>
              </w:rPr>
            </w:pPr>
            <w:r>
              <w:rPr>
                <w:rFonts w:hint="eastAsia" w:cs="Times New Roman"/>
                <w:b/>
                <w:bCs/>
                <w:color w:val="000000"/>
                <w:sz w:val="21"/>
                <w:szCs w:val="21"/>
                <w:lang w:bidi="ar-SA"/>
              </w:rPr>
              <w:t>二、本期费用</w:t>
            </w:r>
          </w:p>
        </w:tc>
        <w:tc>
          <w:tcPr>
            <w:tcW w:w="1884" w:type="dxa"/>
            <w:noWrap w:val="0"/>
            <w:vAlign w:val="top"/>
          </w:tcPr>
          <w:p>
            <w:pPr>
              <w:pStyle w:val="10"/>
              <w:rPr>
                <w:rFonts w:ascii="Times New Roman"/>
                <w:color w:val="000000"/>
                <w:sz w:val="20"/>
                <w:szCs w:val="20"/>
                <w:lang w:bidi="ar-SA"/>
              </w:rPr>
            </w:pPr>
          </w:p>
        </w:tc>
        <w:tc>
          <w:tcPr>
            <w:tcW w:w="1884"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4967" w:type="dxa"/>
            <w:noWrap w:val="0"/>
            <w:vAlign w:val="top"/>
          </w:tcPr>
          <w:p>
            <w:pPr>
              <w:pStyle w:val="10"/>
              <w:spacing w:before="22"/>
              <w:ind w:left="556"/>
              <w:rPr>
                <w:rFonts w:cs="Times New Roman"/>
                <w:color w:val="000000"/>
                <w:sz w:val="21"/>
                <w:szCs w:val="21"/>
                <w:lang w:bidi="ar-SA"/>
              </w:rPr>
            </w:pPr>
            <w:r>
              <w:rPr>
                <w:rFonts w:hint="eastAsia" w:cs="Times New Roman"/>
                <w:color w:val="000000"/>
                <w:sz w:val="21"/>
                <w:szCs w:val="21"/>
                <w:lang w:bidi="ar-SA"/>
              </w:rPr>
              <w:t>（一）业务活动费用</w:t>
            </w:r>
          </w:p>
        </w:tc>
        <w:tc>
          <w:tcPr>
            <w:tcW w:w="1884" w:type="dxa"/>
            <w:noWrap w:val="0"/>
            <w:vAlign w:val="top"/>
          </w:tcPr>
          <w:p>
            <w:pPr>
              <w:pStyle w:val="10"/>
              <w:rPr>
                <w:rFonts w:ascii="Times New Roman"/>
                <w:color w:val="000000"/>
                <w:sz w:val="20"/>
                <w:szCs w:val="20"/>
                <w:lang w:bidi="ar-SA"/>
              </w:rPr>
            </w:pPr>
          </w:p>
        </w:tc>
        <w:tc>
          <w:tcPr>
            <w:tcW w:w="1884"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4967" w:type="dxa"/>
            <w:noWrap w:val="0"/>
            <w:vAlign w:val="top"/>
          </w:tcPr>
          <w:p>
            <w:pPr>
              <w:pStyle w:val="10"/>
              <w:spacing w:before="22"/>
              <w:ind w:left="556"/>
              <w:rPr>
                <w:rFonts w:cs="Times New Roman"/>
                <w:color w:val="000000"/>
                <w:sz w:val="21"/>
                <w:szCs w:val="21"/>
                <w:lang w:bidi="ar-SA"/>
              </w:rPr>
            </w:pPr>
            <w:r>
              <w:rPr>
                <w:rFonts w:hint="eastAsia" w:cs="Times New Roman"/>
                <w:color w:val="000000"/>
                <w:sz w:val="21"/>
                <w:szCs w:val="21"/>
                <w:lang w:bidi="ar-SA"/>
              </w:rPr>
              <w:t>（二）单位管理费用</w:t>
            </w:r>
          </w:p>
        </w:tc>
        <w:tc>
          <w:tcPr>
            <w:tcW w:w="1884" w:type="dxa"/>
            <w:noWrap w:val="0"/>
            <w:vAlign w:val="top"/>
          </w:tcPr>
          <w:p>
            <w:pPr>
              <w:pStyle w:val="10"/>
              <w:rPr>
                <w:rFonts w:ascii="Times New Roman"/>
                <w:color w:val="000000"/>
                <w:sz w:val="20"/>
                <w:szCs w:val="20"/>
                <w:lang w:bidi="ar-SA"/>
              </w:rPr>
            </w:pPr>
          </w:p>
        </w:tc>
        <w:tc>
          <w:tcPr>
            <w:tcW w:w="1884"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4967" w:type="dxa"/>
            <w:noWrap w:val="0"/>
            <w:vAlign w:val="top"/>
          </w:tcPr>
          <w:p>
            <w:pPr>
              <w:pStyle w:val="10"/>
              <w:spacing w:before="22"/>
              <w:ind w:left="556"/>
              <w:rPr>
                <w:rFonts w:cs="Times New Roman"/>
                <w:color w:val="000000"/>
                <w:sz w:val="21"/>
                <w:szCs w:val="21"/>
                <w:lang w:bidi="ar-SA"/>
              </w:rPr>
            </w:pPr>
            <w:r>
              <w:rPr>
                <w:rFonts w:hint="eastAsia" w:cs="Times New Roman"/>
                <w:color w:val="000000"/>
                <w:sz w:val="21"/>
                <w:szCs w:val="21"/>
                <w:lang w:bidi="ar-SA"/>
              </w:rPr>
              <w:t>（三）经营费用</w:t>
            </w:r>
          </w:p>
        </w:tc>
        <w:tc>
          <w:tcPr>
            <w:tcW w:w="1884" w:type="dxa"/>
            <w:noWrap w:val="0"/>
            <w:vAlign w:val="top"/>
          </w:tcPr>
          <w:p>
            <w:pPr>
              <w:pStyle w:val="10"/>
              <w:rPr>
                <w:rFonts w:ascii="Times New Roman"/>
                <w:color w:val="000000"/>
                <w:sz w:val="20"/>
                <w:szCs w:val="20"/>
                <w:lang w:bidi="ar-SA"/>
              </w:rPr>
            </w:pPr>
          </w:p>
        </w:tc>
        <w:tc>
          <w:tcPr>
            <w:tcW w:w="1884"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4967" w:type="dxa"/>
            <w:noWrap w:val="0"/>
            <w:vAlign w:val="top"/>
          </w:tcPr>
          <w:p>
            <w:pPr>
              <w:pStyle w:val="10"/>
              <w:spacing w:before="22"/>
              <w:ind w:left="556"/>
              <w:rPr>
                <w:rFonts w:cs="Times New Roman"/>
                <w:color w:val="000000"/>
                <w:sz w:val="21"/>
                <w:szCs w:val="21"/>
                <w:lang w:bidi="ar-SA"/>
              </w:rPr>
            </w:pPr>
            <w:r>
              <w:rPr>
                <w:rFonts w:hint="eastAsia" w:cs="Times New Roman"/>
                <w:color w:val="000000"/>
                <w:sz w:val="21"/>
                <w:szCs w:val="21"/>
                <w:lang w:bidi="ar-SA"/>
              </w:rPr>
              <w:t>（四）资产处置费用</w:t>
            </w:r>
          </w:p>
        </w:tc>
        <w:tc>
          <w:tcPr>
            <w:tcW w:w="1884" w:type="dxa"/>
            <w:noWrap w:val="0"/>
            <w:vAlign w:val="top"/>
          </w:tcPr>
          <w:p>
            <w:pPr>
              <w:pStyle w:val="10"/>
              <w:rPr>
                <w:rFonts w:ascii="Times New Roman"/>
                <w:color w:val="000000"/>
                <w:sz w:val="20"/>
                <w:szCs w:val="20"/>
                <w:lang w:bidi="ar-SA"/>
              </w:rPr>
            </w:pPr>
          </w:p>
        </w:tc>
        <w:tc>
          <w:tcPr>
            <w:tcW w:w="1884"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4967" w:type="dxa"/>
            <w:noWrap w:val="0"/>
            <w:vAlign w:val="top"/>
          </w:tcPr>
          <w:p>
            <w:pPr>
              <w:pStyle w:val="10"/>
              <w:spacing w:before="22"/>
              <w:ind w:left="556"/>
              <w:rPr>
                <w:rFonts w:cs="Times New Roman"/>
                <w:color w:val="000000"/>
                <w:sz w:val="21"/>
                <w:szCs w:val="21"/>
                <w:lang w:bidi="ar-SA"/>
              </w:rPr>
            </w:pPr>
            <w:r>
              <w:rPr>
                <w:rFonts w:hint="eastAsia" w:cs="Times New Roman"/>
                <w:color w:val="000000"/>
                <w:sz w:val="21"/>
                <w:szCs w:val="21"/>
                <w:lang w:bidi="ar-SA"/>
              </w:rPr>
              <w:t>（五）上缴上级费用</w:t>
            </w:r>
          </w:p>
        </w:tc>
        <w:tc>
          <w:tcPr>
            <w:tcW w:w="1884" w:type="dxa"/>
            <w:noWrap w:val="0"/>
            <w:vAlign w:val="top"/>
          </w:tcPr>
          <w:p>
            <w:pPr>
              <w:pStyle w:val="10"/>
              <w:rPr>
                <w:rFonts w:ascii="Times New Roman"/>
                <w:color w:val="000000"/>
                <w:sz w:val="20"/>
                <w:szCs w:val="20"/>
                <w:lang w:bidi="ar-SA"/>
              </w:rPr>
            </w:pPr>
          </w:p>
        </w:tc>
        <w:tc>
          <w:tcPr>
            <w:tcW w:w="1884"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trPr>
        <w:tc>
          <w:tcPr>
            <w:tcW w:w="4967" w:type="dxa"/>
            <w:noWrap w:val="0"/>
            <w:vAlign w:val="top"/>
          </w:tcPr>
          <w:p>
            <w:pPr>
              <w:pStyle w:val="10"/>
              <w:spacing w:before="25"/>
              <w:ind w:left="556"/>
              <w:rPr>
                <w:rFonts w:cs="Times New Roman"/>
                <w:color w:val="000000"/>
                <w:sz w:val="21"/>
                <w:szCs w:val="21"/>
                <w:lang w:bidi="ar-SA"/>
              </w:rPr>
            </w:pPr>
            <w:r>
              <w:rPr>
                <w:rFonts w:hint="eastAsia" w:cs="Times New Roman"/>
                <w:color w:val="000000"/>
                <w:sz w:val="21"/>
                <w:szCs w:val="21"/>
                <w:lang w:bidi="ar-SA"/>
              </w:rPr>
              <w:t>（六）对附属单位补助费用</w:t>
            </w:r>
          </w:p>
        </w:tc>
        <w:tc>
          <w:tcPr>
            <w:tcW w:w="1884" w:type="dxa"/>
            <w:noWrap w:val="0"/>
            <w:vAlign w:val="top"/>
          </w:tcPr>
          <w:p>
            <w:pPr>
              <w:pStyle w:val="10"/>
              <w:rPr>
                <w:rFonts w:ascii="Times New Roman"/>
                <w:color w:val="000000"/>
                <w:sz w:val="20"/>
                <w:szCs w:val="20"/>
                <w:lang w:bidi="ar-SA"/>
              </w:rPr>
            </w:pPr>
          </w:p>
        </w:tc>
        <w:tc>
          <w:tcPr>
            <w:tcW w:w="1884"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4967" w:type="dxa"/>
            <w:noWrap w:val="0"/>
            <w:vAlign w:val="top"/>
          </w:tcPr>
          <w:p>
            <w:pPr>
              <w:pStyle w:val="10"/>
              <w:spacing w:before="22"/>
              <w:ind w:left="556"/>
              <w:rPr>
                <w:rFonts w:cs="Times New Roman"/>
                <w:color w:val="000000"/>
                <w:sz w:val="21"/>
                <w:szCs w:val="21"/>
                <w:lang w:bidi="ar-SA"/>
              </w:rPr>
            </w:pPr>
            <w:r>
              <w:rPr>
                <w:rFonts w:hint="eastAsia" w:cs="Times New Roman"/>
                <w:color w:val="000000"/>
                <w:sz w:val="21"/>
                <w:szCs w:val="21"/>
                <w:lang w:bidi="ar-SA"/>
              </w:rPr>
              <w:t>（七）所得税费用</w:t>
            </w:r>
          </w:p>
        </w:tc>
        <w:tc>
          <w:tcPr>
            <w:tcW w:w="1884" w:type="dxa"/>
            <w:noWrap w:val="0"/>
            <w:vAlign w:val="top"/>
          </w:tcPr>
          <w:p>
            <w:pPr>
              <w:pStyle w:val="10"/>
              <w:rPr>
                <w:rFonts w:ascii="Times New Roman"/>
                <w:color w:val="000000"/>
                <w:sz w:val="20"/>
                <w:szCs w:val="20"/>
                <w:lang w:bidi="ar-SA"/>
              </w:rPr>
            </w:pPr>
          </w:p>
        </w:tc>
        <w:tc>
          <w:tcPr>
            <w:tcW w:w="1884"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4967" w:type="dxa"/>
            <w:noWrap w:val="0"/>
            <w:vAlign w:val="top"/>
          </w:tcPr>
          <w:p>
            <w:pPr>
              <w:pStyle w:val="10"/>
              <w:spacing w:before="22"/>
              <w:ind w:left="556"/>
              <w:rPr>
                <w:rFonts w:cs="Times New Roman"/>
                <w:color w:val="000000"/>
                <w:sz w:val="21"/>
                <w:szCs w:val="21"/>
                <w:lang w:bidi="ar-SA"/>
              </w:rPr>
            </w:pPr>
            <w:r>
              <w:rPr>
                <w:rFonts w:hint="eastAsia" w:cs="Times New Roman"/>
                <w:color w:val="000000"/>
                <w:sz w:val="21"/>
                <w:szCs w:val="21"/>
                <w:lang w:bidi="ar-SA"/>
              </w:rPr>
              <w:t>（八）其他费用</w:t>
            </w:r>
          </w:p>
        </w:tc>
        <w:tc>
          <w:tcPr>
            <w:tcW w:w="1884" w:type="dxa"/>
            <w:noWrap w:val="0"/>
            <w:vAlign w:val="top"/>
          </w:tcPr>
          <w:p>
            <w:pPr>
              <w:pStyle w:val="10"/>
              <w:rPr>
                <w:rFonts w:ascii="Times New Roman"/>
                <w:color w:val="000000"/>
                <w:sz w:val="20"/>
                <w:szCs w:val="20"/>
                <w:lang w:bidi="ar-SA"/>
              </w:rPr>
            </w:pPr>
          </w:p>
        </w:tc>
        <w:tc>
          <w:tcPr>
            <w:tcW w:w="1884"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4967" w:type="dxa"/>
            <w:noWrap w:val="0"/>
            <w:vAlign w:val="top"/>
          </w:tcPr>
          <w:p>
            <w:pPr>
              <w:pStyle w:val="10"/>
              <w:spacing w:before="22"/>
              <w:ind w:left="136"/>
              <w:rPr>
                <w:rFonts w:cs="Times New Roman"/>
                <w:b/>
                <w:bCs/>
                <w:color w:val="000000"/>
                <w:sz w:val="21"/>
                <w:szCs w:val="21"/>
                <w:lang w:bidi="ar-SA"/>
              </w:rPr>
            </w:pPr>
            <w:r>
              <w:rPr>
                <w:rFonts w:hint="eastAsia" w:cs="Times New Roman"/>
                <w:b/>
                <w:bCs/>
                <w:color w:val="000000"/>
                <w:sz w:val="21"/>
                <w:szCs w:val="21"/>
                <w:lang w:bidi="ar-SA"/>
              </w:rPr>
              <w:t>三、本期盈余</w:t>
            </w:r>
          </w:p>
        </w:tc>
        <w:tc>
          <w:tcPr>
            <w:tcW w:w="1884" w:type="dxa"/>
            <w:noWrap w:val="0"/>
            <w:vAlign w:val="top"/>
          </w:tcPr>
          <w:p>
            <w:pPr>
              <w:pStyle w:val="10"/>
              <w:rPr>
                <w:rFonts w:ascii="Times New Roman"/>
                <w:color w:val="000000"/>
                <w:sz w:val="20"/>
                <w:szCs w:val="20"/>
                <w:lang w:bidi="ar-SA"/>
              </w:rPr>
            </w:pPr>
          </w:p>
        </w:tc>
        <w:tc>
          <w:tcPr>
            <w:tcW w:w="1884" w:type="dxa"/>
            <w:noWrap w:val="0"/>
            <w:vAlign w:val="top"/>
          </w:tcPr>
          <w:p>
            <w:pPr>
              <w:pStyle w:val="10"/>
              <w:rPr>
                <w:rFonts w:ascii="Times New Roman"/>
                <w:color w:val="000000"/>
                <w:sz w:val="20"/>
                <w:szCs w:val="20"/>
                <w:lang w:bidi="ar-SA"/>
              </w:rPr>
            </w:pPr>
          </w:p>
        </w:tc>
      </w:tr>
    </w:tbl>
    <w:p>
      <w:pPr>
        <w:pStyle w:val="6"/>
        <w:ind w:firstLine="482" w:firstLineChars="200"/>
        <w:rPr>
          <w:rFonts w:hint="eastAsia" w:ascii="宋体" w:hAnsi="宋体" w:eastAsia="宋体" w:cs="宋体"/>
          <w:color w:val="000000"/>
        </w:rPr>
      </w:pPr>
      <w:r>
        <w:rPr>
          <w:rFonts w:hint="eastAsia" w:ascii="宋体" w:hAnsi="宋体" w:eastAsia="宋体" w:cs="宋体"/>
          <w:color w:val="000000"/>
        </w:rPr>
        <w:t>【表单说明】</w:t>
      </w:r>
    </w:p>
    <w:p>
      <w:pPr>
        <w:pStyle w:val="9"/>
        <w:rPr>
          <w:rFonts w:hint="eastAsia" w:ascii="宋体" w:hAnsi="宋体" w:cs="宋体"/>
          <w:color w:val="000000"/>
          <w:szCs w:val="21"/>
        </w:rPr>
      </w:pPr>
      <w:r>
        <w:rPr>
          <w:rFonts w:hint="eastAsia" w:ascii="宋体" w:hAnsi="宋体" w:cs="宋体"/>
          <w:color w:val="000000"/>
          <w:szCs w:val="21"/>
        </w:rPr>
        <w:t>（一）本表反映单位在某一会计期间内发生的收入、费用及当期盈余情况。</w:t>
      </w:r>
    </w:p>
    <w:p>
      <w:pPr>
        <w:pStyle w:val="9"/>
        <w:rPr>
          <w:rFonts w:hint="eastAsia" w:ascii="宋体" w:hAnsi="宋体" w:cs="宋体"/>
          <w:color w:val="000000"/>
          <w:szCs w:val="21"/>
        </w:rPr>
      </w:pPr>
      <w:r>
        <w:rPr>
          <w:rFonts w:hint="eastAsia" w:ascii="宋体" w:hAnsi="宋体" w:cs="宋体"/>
          <w:color w:val="000000"/>
          <w:szCs w:val="21"/>
        </w:rPr>
        <w:t>（二）本表“本月数”栏反映各项目的本月实际发生数。编制年度收入费用表时，应当将本栏改为“本年数”，反映本年度各项目的实际发生数。</w:t>
      </w:r>
    </w:p>
    <w:p>
      <w:pPr>
        <w:pStyle w:val="9"/>
        <w:rPr>
          <w:rFonts w:hint="eastAsia" w:ascii="宋体" w:hAnsi="宋体" w:cs="宋体"/>
          <w:color w:val="000000"/>
          <w:szCs w:val="21"/>
        </w:rPr>
      </w:pPr>
      <w:r>
        <w:rPr>
          <w:rFonts w:hint="eastAsia" w:ascii="宋体" w:hAnsi="宋体" w:cs="宋体"/>
          <w:color w:val="000000"/>
          <w:szCs w:val="21"/>
        </w:rPr>
        <w:t>本表“本年累计数”栏反映各项目自年初至报告期期末的累计实际发生数。编制年度收入费用表时，应当将本栏改为“上年数”，反映上年度各项目的实际发生数，“上年数”栏应当根据上年年度收入费用表中“本年数”栏内所列数字填列。</w:t>
      </w:r>
    </w:p>
    <w:p>
      <w:pPr>
        <w:pStyle w:val="9"/>
        <w:rPr>
          <w:rFonts w:hint="eastAsia" w:ascii="宋体" w:hAnsi="宋体" w:cs="宋体"/>
          <w:color w:val="000000"/>
          <w:szCs w:val="21"/>
        </w:rPr>
      </w:pPr>
      <w:r>
        <w:rPr>
          <w:rFonts w:hint="eastAsia" w:ascii="宋体" w:hAnsi="宋体" w:cs="宋体"/>
          <w:color w:val="000000"/>
          <w:szCs w:val="21"/>
        </w:rPr>
        <w:t>如果本年度收入费用表规定的项目的名称和内容同上年度不一致， 应当对上年度收入费用表项目的名称和数字按照本年度的规定进行调 整，将调整后的金额填入本年度收入费用表的“上年数”栏内。</w:t>
      </w:r>
    </w:p>
    <w:p>
      <w:pPr>
        <w:pStyle w:val="9"/>
        <w:rPr>
          <w:rFonts w:hint="eastAsia" w:ascii="宋体" w:hAnsi="宋体" w:cs="宋体"/>
          <w:color w:val="000000"/>
          <w:szCs w:val="21"/>
        </w:rPr>
      </w:pPr>
      <w:r>
        <w:rPr>
          <w:rFonts w:hint="eastAsia" w:ascii="宋体" w:hAnsi="宋体" w:cs="宋体"/>
          <w:color w:val="000000"/>
          <w:szCs w:val="21"/>
        </w:rPr>
        <w:t>如果本年度单位发生了因前期差错更正、会计政策变更等调整以前年度盈余的事项，还应当对年度收入费用表中“上年数”栏中的有关项目金额进行相应调整。</w:t>
      </w:r>
    </w:p>
    <w:p>
      <w:pPr>
        <w:pStyle w:val="9"/>
        <w:rPr>
          <w:rFonts w:hint="eastAsia" w:ascii="宋体" w:hAnsi="宋体" w:cs="宋体"/>
          <w:color w:val="000000"/>
          <w:szCs w:val="21"/>
        </w:rPr>
      </w:pPr>
      <w:r>
        <w:rPr>
          <w:rFonts w:hint="eastAsia" w:ascii="宋体" w:hAnsi="宋体" w:cs="宋体"/>
          <w:color w:val="000000"/>
          <w:szCs w:val="21"/>
        </w:rPr>
        <w:t>（三）本表“本月数”栏各项目的内容和填列方法1.本期收入</w:t>
      </w:r>
    </w:p>
    <w:p>
      <w:pPr>
        <w:pStyle w:val="9"/>
        <w:rPr>
          <w:rFonts w:hint="eastAsia" w:ascii="宋体" w:hAnsi="宋体" w:cs="宋体"/>
          <w:color w:val="000000"/>
          <w:szCs w:val="21"/>
        </w:rPr>
      </w:pPr>
      <w:r>
        <w:rPr>
          <w:rFonts w:hint="eastAsia" w:ascii="宋体" w:hAnsi="宋体" w:cs="宋体"/>
          <w:color w:val="000000"/>
          <w:szCs w:val="21"/>
        </w:rPr>
        <w:t>“本期收入”项目，反映单位本期收入总额。本项目应当根据本表中“财政拨款收入”、“事业收入”、“上级补助收入”、“附属单位上缴收入”、“经营收入”、“非同级财政拨款收入”、“投资收益”、“捐赠收入”、“利息收入”、“租金收入”、“其他收入”项目金额的合计数填列。</w:t>
      </w:r>
    </w:p>
    <w:p>
      <w:pPr>
        <w:pStyle w:val="9"/>
        <w:rPr>
          <w:rFonts w:hint="eastAsia" w:ascii="宋体" w:hAnsi="宋体" w:cs="宋体"/>
          <w:color w:val="000000"/>
          <w:szCs w:val="21"/>
        </w:rPr>
      </w:pPr>
      <w:r>
        <w:rPr>
          <w:rFonts w:hint="eastAsia" w:ascii="宋体" w:hAnsi="宋体" w:cs="宋体"/>
          <w:color w:val="000000"/>
          <w:szCs w:val="21"/>
        </w:rPr>
        <w:t>“财政拨款收入”项目，反映单位本期从同级政府财政部门取得的各类财政拨款。本项目应当根据“财政拨款收入”科目的本期发生额填列。</w:t>
      </w:r>
    </w:p>
    <w:p>
      <w:pPr>
        <w:pStyle w:val="9"/>
        <w:rPr>
          <w:rFonts w:hint="eastAsia" w:ascii="宋体" w:hAnsi="宋体" w:cs="宋体"/>
          <w:color w:val="000000"/>
          <w:szCs w:val="21"/>
        </w:rPr>
      </w:pPr>
      <w:r>
        <w:rPr>
          <w:rFonts w:hint="eastAsia" w:ascii="宋体" w:hAnsi="宋体" w:cs="宋体"/>
          <w:color w:val="000000"/>
          <w:szCs w:val="21"/>
        </w:rPr>
        <w:t>“政府性基金收入”项目，反映单位本期取得的财政拨款收入中属于政府性基金预算拨款的金额。本项目应当根据“财政拨款收入” 相关明细科目的本期发生额填列。</w:t>
      </w:r>
    </w:p>
    <w:p>
      <w:pPr>
        <w:pStyle w:val="9"/>
        <w:rPr>
          <w:rFonts w:hint="eastAsia" w:ascii="宋体" w:hAnsi="宋体" w:cs="宋体"/>
          <w:color w:val="000000"/>
          <w:szCs w:val="21"/>
        </w:rPr>
      </w:pPr>
      <w:r>
        <w:rPr>
          <w:rFonts w:hint="eastAsia" w:ascii="宋体" w:hAnsi="宋体" w:cs="宋体"/>
          <w:color w:val="000000"/>
          <w:szCs w:val="21"/>
        </w:rPr>
        <w:t>“事业收入”项目，反映事业单位本期开展专业业务活动及其辅助活动实现的收入。本项目应当根据“事业收入”科目的本期发生额填列。</w:t>
      </w:r>
    </w:p>
    <w:p>
      <w:pPr>
        <w:pStyle w:val="9"/>
        <w:rPr>
          <w:rFonts w:hint="eastAsia" w:ascii="宋体" w:hAnsi="宋体" w:cs="宋体"/>
          <w:color w:val="000000"/>
          <w:szCs w:val="21"/>
        </w:rPr>
      </w:pPr>
      <w:r>
        <w:rPr>
          <w:rFonts w:hint="eastAsia" w:ascii="宋体" w:hAnsi="宋体" w:cs="宋体"/>
          <w:color w:val="000000"/>
          <w:szCs w:val="21"/>
        </w:rPr>
        <w:t>“上级补助收入”项目，反映事业单位本期从主管部门和上级单位收到或应收的非财政拨款收入。本项目应当根据“上级补助收入”科目的本期发生额填列。</w:t>
      </w:r>
    </w:p>
    <w:p>
      <w:pPr>
        <w:pStyle w:val="9"/>
        <w:rPr>
          <w:rFonts w:hint="eastAsia" w:ascii="宋体" w:hAnsi="宋体" w:cs="宋体"/>
          <w:color w:val="000000"/>
          <w:szCs w:val="21"/>
        </w:rPr>
      </w:pPr>
      <w:r>
        <w:rPr>
          <w:rFonts w:hint="eastAsia" w:ascii="宋体" w:hAnsi="宋体" w:cs="宋体"/>
          <w:color w:val="000000"/>
          <w:szCs w:val="21"/>
        </w:rPr>
        <w:t>“附属单位上缴收入”项目，反映事业单位本期收到或应收的独立核算的附属单位按照有关规定上缴的收入。本项目应当根据“附属单位上缴收入”科目的本期发生额填列。</w:t>
      </w:r>
    </w:p>
    <w:p>
      <w:pPr>
        <w:pStyle w:val="9"/>
        <w:rPr>
          <w:rFonts w:hint="eastAsia" w:ascii="宋体" w:hAnsi="宋体" w:cs="宋体"/>
          <w:color w:val="000000"/>
          <w:szCs w:val="21"/>
        </w:rPr>
      </w:pPr>
      <w:r>
        <w:rPr>
          <w:rFonts w:hint="eastAsia" w:ascii="宋体" w:hAnsi="宋体" w:cs="宋体"/>
          <w:color w:val="000000"/>
          <w:szCs w:val="21"/>
        </w:rPr>
        <w:t>“经营收入”项目，反映事业单位本期在专业业务活动及其辅助活动之外开展非独立核算经营活动实现的收入。本项目应当根据“经营收入”科目的本期发生额填列。</w:t>
      </w:r>
    </w:p>
    <w:p>
      <w:pPr>
        <w:pStyle w:val="9"/>
        <w:rPr>
          <w:rFonts w:hint="eastAsia" w:ascii="宋体" w:hAnsi="宋体" w:cs="宋体"/>
          <w:color w:val="000000"/>
          <w:szCs w:val="21"/>
        </w:rPr>
      </w:pPr>
      <w:r>
        <w:rPr>
          <w:rFonts w:hint="eastAsia" w:ascii="宋体" w:hAnsi="宋体" w:cs="宋体"/>
          <w:color w:val="000000"/>
          <w:szCs w:val="21"/>
        </w:rPr>
        <w:t>“非同级财政拨款收入”项目，反映单位本期从非同级政府财政部门取得的财政拨款，不包括事业单位因开展科研及其辅助活动从非同级财政部门取得的经费拨款。本项目应当根据“非同级财政拨款收入”科目的本期发生额填列。</w:t>
      </w:r>
    </w:p>
    <w:p>
      <w:pPr>
        <w:pStyle w:val="9"/>
        <w:rPr>
          <w:rFonts w:hint="eastAsia" w:ascii="宋体" w:hAnsi="宋体" w:cs="宋体"/>
          <w:color w:val="000000"/>
          <w:szCs w:val="21"/>
        </w:rPr>
      </w:pPr>
      <w:r>
        <w:rPr>
          <w:rFonts w:hint="eastAsia" w:ascii="宋体" w:hAnsi="宋体" w:cs="宋体"/>
          <w:color w:val="000000"/>
          <w:szCs w:val="21"/>
        </w:rPr>
        <w:t>“投资收益”项目，反映事业单位本期股权投资和债券投资所实现的收益或发生的损失。本项目应当根据“投资收益”科目的本期发生额填列；如为投资净损失，以“-”号填列。</w:t>
      </w:r>
    </w:p>
    <w:p>
      <w:pPr>
        <w:pStyle w:val="9"/>
        <w:rPr>
          <w:rFonts w:hint="eastAsia" w:ascii="宋体" w:hAnsi="宋体" w:cs="宋体"/>
          <w:color w:val="000000"/>
          <w:szCs w:val="21"/>
        </w:rPr>
      </w:pPr>
      <w:r>
        <w:rPr>
          <w:rFonts w:hint="eastAsia" w:ascii="宋体" w:hAnsi="宋体" w:cs="宋体"/>
          <w:color w:val="000000"/>
          <w:szCs w:val="21"/>
        </w:rPr>
        <w:t>“捐赠收入”项目，反映单位本期接受捐赠取得的收入。本项目应当根据“捐赠收入”科目的本期发生额填列。</w:t>
      </w:r>
    </w:p>
    <w:p>
      <w:pPr>
        <w:pStyle w:val="9"/>
        <w:rPr>
          <w:rFonts w:hint="eastAsia" w:ascii="宋体" w:hAnsi="宋体" w:cs="宋体"/>
          <w:color w:val="000000"/>
          <w:szCs w:val="21"/>
        </w:rPr>
      </w:pPr>
      <w:r>
        <w:rPr>
          <w:rFonts w:hint="eastAsia" w:ascii="宋体" w:hAnsi="宋体" w:cs="宋体"/>
          <w:color w:val="000000"/>
          <w:szCs w:val="21"/>
        </w:rPr>
        <w:t>“利息收入”项目，反映单位本期取得的银行存款利息收入。本项目应当根据“利息收入”科目的本期发生额填列。</w:t>
      </w:r>
    </w:p>
    <w:p>
      <w:pPr>
        <w:pStyle w:val="9"/>
        <w:rPr>
          <w:rFonts w:hint="eastAsia" w:ascii="宋体" w:hAnsi="宋体" w:cs="宋体"/>
          <w:color w:val="000000"/>
          <w:szCs w:val="21"/>
        </w:rPr>
      </w:pPr>
      <w:r>
        <w:rPr>
          <w:rFonts w:hint="eastAsia" w:ascii="宋体" w:hAnsi="宋体" w:cs="宋体"/>
          <w:color w:val="000000"/>
          <w:szCs w:val="21"/>
        </w:rPr>
        <w:t>“租金收入”项目，反映单位本期经批准利用国有资产出租取得并按规定纳入本单位预算管理的租金收入。本项目应当根据“租金收入”科目的本期发生额填列。</w:t>
      </w:r>
    </w:p>
    <w:p>
      <w:pPr>
        <w:pStyle w:val="9"/>
        <w:rPr>
          <w:rFonts w:hint="eastAsia" w:ascii="宋体" w:hAnsi="宋体" w:cs="宋体"/>
          <w:color w:val="000000"/>
          <w:szCs w:val="21"/>
        </w:rPr>
      </w:pPr>
      <w:r>
        <w:rPr>
          <w:rFonts w:hint="eastAsia" w:ascii="宋体" w:hAnsi="宋体" w:cs="宋体"/>
          <w:color w:val="000000"/>
          <w:szCs w:val="21"/>
        </w:rPr>
        <w:t>“其他收入”项目，反映单位本期取得的除以上收入项目外的其他收入的总额。本项目应当根据“其他收入”科目的本期发生额填列。</w:t>
      </w:r>
    </w:p>
    <w:p>
      <w:pPr>
        <w:pStyle w:val="9"/>
        <w:rPr>
          <w:rFonts w:hint="eastAsia" w:ascii="宋体" w:hAnsi="宋体" w:cs="宋体"/>
          <w:color w:val="000000"/>
          <w:szCs w:val="21"/>
        </w:rPr>
      </w:pPr>
      <w:r>
        <w:rPr>
          <w:rFonts w:hint="eastAsia" w:ascii="宋体" w:hAnsi="宋体" w:cs="宋体"/>
          <w:color w:val="000000"/>
          <w:szCs w:val="21"/>
        </w:rPr>
        <w:t>本期费用</w:t>
      </w:r>
    </w:p>
    <w:p>
      <w:pPr>
        <w:pStyle w:val="9"/>
        <w:rPr>
          <w:rFonts w:hint="eastAsia" w:ascii="宋体" w:hAnsi="宋体" w:cs="宋体"/>
          <w:color w:val="000000"/>
          <w:szCs w:val="21"/>
        </w:rPr>
      </w:pPr>
      <w:r>
        <w:rPr>
          <w:rFonts w:hint="eastAsia" w:ascii="宋体" w:hAnsi="宋体" w:cs="宋体"/>
          <w:color w:val="000000"/>
          <w:szCs w:val="21"/>
        </w:rPr>
        <w:t>“本期费用”项目，反映单位本期费用总额。本项目应当根据本表中“业务活动费用”、“单位管理费用”、“经营费用”、“资产处置费用”、“上缴上级费用”、“对附属单位补助费用”、“所得税费用”和“其他费用”项目金额的合计数填列。</w:t>
      </w:r>
    </w:p>
    <w:p>
      <w:pPr>
        <w:pStyle w:val="9"/>
        <w:rPr>
          <w:rFonts w:hint="eastAsia" w:ascii="宋体" w:hAnsi="宋体" w:cs="宋体"/>
          <w:color w:val="000000"/>
          <w:szCs w:val="21"/>
        </w:rPr>
      </w:pPr>
      <w:r>
        <w:rPr>
          <w:rFonts w:hint="eastAsia" w:ascii="宋体" w:hAnsi="宋体" w:cs="宋体"/>
          <w:color w:val="000000"/>
          <w:szCs w:val="21"/>
        </w:rPr>
        <w:t>“业务活动费用”项目，反映单位本期为实现其职能目标，依法履职或开展专业业务活动及其辅助活动所发生的各项费用。本项目应当根据“业务活动费用”科目本期发生额填列。</w:t>
      </w:r>
    </w:p>
    <w:p>
      <w:pPr>
        <w:pStyle w:val="9"/>
        <w:rPr>
          <w:rFonts w:hint="eastAsia" w:ascii="宋体" w:hAnsi="宋体" w:cs="宋体"/>
          <w:color w:val="000000"/>
          <w:szCs w:val="21"/>
        </w:rPr>
      </w:pPr>
      <w:r>
        <w:rPr>
          <w:rFonts w:hint="eastAsia" w:ascii="宋体" w:hAnsi="宋体" w:cs="宋体"/>
          <w:color w:val="000000"/>
          <w:szCs w:val="21"/>
        </w:rPr>
        <w:t>“单位管理费用”项目，反映事业单位本期本级行政及后勤管理部门开展管理活动发生的各项费用，以及由单位统一负担的离退休人员经费、工会经费、诉讼费、中介费等。本项目应当根据“单位管理费用”科目的本期发生额填列。</w:t>
      </w:r>
    </w:p>
    <w:p>
      <w:pPr>
        <w:pStyle w:val="9"/>
        <w:rPr>
          <w:rFonts w:hint="eastAsia" w:ascii="宋体" w:hAnsi="宋体" w:cs="宋体"/>
          <w:color w:val="000000"/>
          <w:szCs w:val="21"/>
        </w:rPr>
      </w:pPr>
      <w:r>
        <w:rPr>
          <w:rFonts w:hint="eastAsia" w:ascii="宋体" w:hAnsi="宋体" w:cs="宋体"/>
          <w:color w:val="000000"/>
          <w:szCs w:val="21"/>
        </w:rPr>
        <w:t>“经营费用”项目，反映事业单位本期在专业业务活动及其辅助活动之外开展非独立核算经营活动发生的各项费用。本项目应当根据“经营费用”科目的本期发生额填列。</w:t>
      </w:r>
    </w:p>
    <w:p>
      <w:pPr>
        <w:pStyle w:val="9"/>
        <w:rPr>
          <w:rFonts w:hint="eastAsia" w:ascii="宋体" w:hAnsi="宋体" w:cs="宋体"/>
          <w:color w:val="000000"/>
          <w:szCs w:val="21"/>
        </w:rPr>
      </w:pPr>
      <w:r>
        <w:rPr>
          <w:rFonts w:hint="eastAsia" w:ascii="宋体" w:hAnsi="宋体" w:cs="宋体"/>
          <w:color w:val="000000"/>
          <w:szCs w:val="21"/>
        </w:rPr>
        <w:t>“资产处置费用”项目，反映单位本期经批准处置资产时转销的资产价值以及在处置过程中发生的相关费用或者处置收入小于处置费用形成的净支出。本项目应当根据“资产处置费用”科目的本期发生额填列。</w:t>
      </w:r>
    </w:p>
    <w:p>
      <w:pPr>
        <w:pStyle w:val="9"/>
        <w:rPr>
          <w:rFonts w:hint="eastAsia" w:ascii="宋体" w:hAnsi="宋体" w:cs="宋体"/>
          <w:color w:val="000000"/>
          <w:szCs w:val="21"/>
        </w:rPr>
      </w:pPr>
      <w:r>
        <w:rPr>
          <w:rFonts w:hint="eastAsia" w:ascii="宋体" w:hAnsi="宋体" w:cs="宋体"/>
          <w:color w:val="000000"/>
          <w:szCs w:val="21"/>
        </w:rPr>
        <w:t>“上缴上级费用”项目，反映事业单位按照规定上缴上级单位款项发生的费用。本项目应当根据“上缴上级费用”科目的本期发生额填列。</w:t>
      </w:r>
    </w:p>
    <w:p>
      <w:pPr>
        <w:pStyle w:val="9"/>
        <w:rPr>
          <w:rFonts w:hint="eastAsia" w:ascii="宋体" w:hAnsi="宋体" w:cs="宋体"/>
          <w:color w:val="000000"/>
          <w:szCs w:val="21"/>
        </w:rPr>
      </w:pPr>
      <w:r>
        <w:rPr>
          <w:rFonts w:hint="eastAsia" w:ascii="宋体" w:hAnsi="宋体" w:cs="宋体"/>
          <w:color w:val="000000"/>
          <w:szCs w:val="21"/>
        </w:rPr>
        <w:t>“对附属单位补助费用”项目，反映事业单位用财政拨款收入之外的收入对附属单位补助发生的费用。本项目应当根据“对附属单位补助费用”科目的本期发生额填列。</w:t>
      </w:r>
    </w:p>
    <w:p>
      <w:pPr>
        <w:pStyle w:val="9"/>
        <w:rPr>
          <w:rFonts w:hint="eastAsia" w:ascii="宋体" w:hAnsi="宋体" w:cs="宋体"/>
          <w:color w:val="000000"/>
          <w:szCs w:val="21"/>
        </w:rPr>
      </w:pPr>
      <w:r>
        <w:rPr>
          <w:rFonts w:hint="eastAsia" w:ascii="宋体" w:hAnsi="宋体" w:cs="宋体"/>
          <w:color w:val="000000"/>
          <w:szCs w:val="21"/>
        </w:rPr>
        <w:t>“所得税费用”项目，反映有企业所得税缴纳义务的事业单位本期计算应交纳的企业所得税。本项目应当根据“所得税费用”科目的本期发生额填列。</w:t>
      </w:r>
    </w:p>
    <w:p>
      <w:pPr>
        <w:pStyle w:val="9"/>
        <w:rPr>
          <w:rFonts w:hint="eastAsia" w:ascii="宋体" w:hAnsi="宋体" w:cs="宋体"/>
          <w:color w:val="000000"/>
          <w:szCs w:val="21"/>
        </w:rPr>
      </w:pPr>
      <w:r>
        <w:rPr>
          <w:rFonts w:hint="eastAsia" w:ascii="宋体" w:hAnsi="宋体" w:cs="宋体"/>
          <w:color w:val="000000"/>
          <w:szCs w:val="21"/>
        </w:rPr>
        <w:t>“其他费用”项目，反映单位本期发生的除以上费用项目外的其他费用的总额。本项目应当根据“其他费用”科目的本期发生额填列。</w:t>
      </w:r>
    </w:p>
    <w:p>
      <w:pPr>
        <w:pStyle w:val="9"/>
        <w:rPr>
          <w:rFonts w:hint="eastAsia" w:ascii="宋体" w:hAnsi="宋体" w:cs="宋体"/>
          <w:color w:val="000000"/>
          <w:szCs w:val="21"/>
        </w:rPr>
      </w:pPr>
      <w:r>
        <w:rPr>
          <w:rFonts w:hint="eastAsia" w:ascii="宋体" w:hAnsi="宋体" w:cs="宋体"/>
          <w:color w:val="000000"/>
          <w:szCs w:val="21"/>
        </w:rPr>
        <w:t>本期盈余</w:t>
      </w:r>
    </w:p>
    <w:p>
      <w:pPr>
        <w:pStyle w:val="9"/>
        <w:rPr>
          <w:rFonts w:hint="eastAsia" w:ascii="宋体" w:hAnsi="宋体" w:cs="宋体"/>
          <w:color w:val="000000"/>
          <w:szCs w:val="21"/>
        </w:rPr>
      </w:pPr>
      <w:r>
        <w:rPr>
          <w:rFonts w:hint="eastAsia" w:ascii="宋体" w:hAnsi="宋体" w:cs="宋体"/>
          <w:color w:val="000000"/>
          <w:szCs w:val="21"/>
        </w:rPr>
        <w:t>“本期盈余”项目，反映单位本期收入扣除本期费用后的净额。本项目应当根据本表中“本期收入”项目金额减去“本期费用” 项目金额后的金额填列；如为负数，以“-”号填列。</w:t>
      </w:r>
    </w:p>
    <w:p>
      <w:pPr>
        <w:pStyle w:val="4"/>
        <w:rPr>
          <w:rFonts w:hint="eastAsia" w:ascii="宋体" w:hAnsi="宋体" w:eastAsia="宋体" w:cs="宋体"/>
          <w:color w:val="000000"/>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000E"/>
    <w:multiLevelType w:val="multilevel"/>
    <w:tmpl w:val="1367000E"/>
    <w:lvl w:ilvl="0" w:tentative="0">
      <w:start w:val="1"/>
      <w:numFmt w:val="bullet"/>
      <w:pStyle w:val="7"/>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52B8F"/>
    <w:rsid w:val="4E352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标题 2_0"/>
    <w:basedOn w:val="5"/>
    <w:next w:val="5"/>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一级标题_0"/>
    <w:basedOn w:val="5"/>
    <w:qFormat/>
    <w:uiPriority w:val="0"/>
    <w:pPr>
      <w:widowControl/>
      <w:ind w:firstLine="420"/>
      <w:jc w:val="left"/>
      <w:outlineLvl w:val="2"/>
    </w:pPr>
    <w:rPr>
      <w:rFonts w:ascii="Arial" w:hAnsi="Arial" w:eastAsia="Times New Roman" w:cs="Arial"/>
      <w:b/>
      <w:kern w:val="0"/>
      <w:sz w:val="24"/>
      <w:szCs w:val="24"/>
    </w:rPr>
  </w:style>
  <w:style w:type="paragraph" w:customStyle="1" w:styleId="7">
    <w:name w:val="四级标题"/>
    <w:basedOn w:val="8"/>
    <w:qFormat/>
    <w:uiPriority w:val="0"/>
    <w:pPr>
      <w:numPr>
        <w:ilvl w:val="0"/>
        <w:numId w:val="1"/>
      </w:numPr>
    </w:pPr>
    <w:rPr>
      <w:rFonts w:eastAsia="宋体" w:cs="Times New Roman"/>
      <w:kern w:val="2"/>
      <w:sz w:val="21"/>
    </w:rPr>
  </w:style>
  <w:style w:type="paragraph" w:customStyle="1" w:styleId="8">
    <w:name w:val="二级标题_0"/>
    <w:basedOn w:val="5"/>
    <w:qFormat/>
    <w:uiPriority w:val="0"/>
    <w:pPr>
      <w:widowControl/>
      <w:ind w:firstLine="420"/>
      <w:jc w:val="left"/>
      <w:outlineLvl w:val="3"/>
    </w:pPr>
    <w:rPr>
      <w:rFonts w:ascii="Arial" w:hAnsi="Arial" w:eastAsia="Times New Roman" w:cs="Arial"/>
      <w:kern w:val="0"/>
      <w:sz w:val="24"/>
      <w:szCs w:val="24"/>
    </w:rPr>
  </w:style>
  <w:style w:type="paragraph" w:customStyle="1" w:styleId="9">
    <w:name w:val="需求正文_0"/>
    <w:basedOn w:val="5"/>
    <w:qFormat/>
    <w:uiPriority w:val="0"/>
    <w:pPr>
      <w:widowControl/>
      <w:ind w:firstLine="420"/>
      <w:jc w:val="left"/>
    </w:pPr>
    <w:rPr>
      <w:rFonts w:ascii="Arial" w:hAnsi="Arial"/>
      <w:szCs w:val="24"/>
    </w:rPr>
  </w:style>
  <w:style w:type="paragraph" w:customStyle="1" w:styleId="10">
    <w:name w:val="Table Paragraph"/>
    <w:basedOn w:val="1"/>
    <w:qFormat/>
    <w:uiPriority w:val="1"/>
    <w:pPr>
      <w:widowControl w:val="0"/>
      <w:autoSpaceDE w:val="0"/>
      <w:autoSpaceDN w:val="0"/>
    </w:pPr>
    <w:rPr>
      <w:rFonts w:ascii="仿宋" w:hAnsi="仿宋" w:eastAsia="仿宋" w:cs="仿宋"/>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2019-12-13T01:47:00Z</dcterms:created>
  <dc:creator>陈莉佳</dc:creator>
  <cp:lastModifiedBy>陈莉佳</cp:lastModifiedBy>
  <dcterms:modified xsi:type="dcterms:W3CDTF">2019-12-13T01:48:14Z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