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A06661</w:t>
      </w:r>
      <w:r>
        <w:rPr>
          <w:rFonts w:hint="eastAsia" w:ascii="宋体" w:hAnsi="宋体" w:eastAsia="宋体"/>
        </w:rPr>
        <w:t>《企业重组所得税特殊性税务处理报告表》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3555"/>
        <w:gridCol w:w="3058"/>
        <w:gridCol w:w="3103"/>
        <w:gridCol w:w="2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74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企业重组所得税特殊性税务处理报告表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纳税人名称（盖章）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</w:t>
            </w:r>
          </w:p>
        </w:tc>
        <w:tc>
          <w:tcPr>
            <w:tcW w:w="514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单位地址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财务负责人</w:t>
            </w:r>
          </w:p>
        </w:tc>
        <w:tc>
          <w:tcPr>
            <w:tcW w:w="5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主管税务机关（全称）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514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重组日：          重组业务开始年度：         重组业务完成年度：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重组交易类型</w:t>
            </w:r>
          </w:p>
        </w:tc>
        <w:tc>
          <w:tcPr>
            <w:tcW w:w="1175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企业在重组业务中所属当事方类型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□法律形式改变</w:t>
            </w:r>
          </w:p>
        </w:tc>
        <w:tc>
          <w:tcPr>
            <w:tcW w:w="11757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□债务重组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□债务人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□债权人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□股权收购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□收购方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□转让方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□被收购企业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□资产收购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□收购方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□转让方</w:t>
            </w:r>
          </w:p>
        </w:tc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□合并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□合并企业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□被合并企业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□被合并企业股东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□分立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□分立企业</w:t>
            </w:r>
          </w:p>
        </w:tc>
        <w:tc>
          <w:tcPr>
            <w:tcW w:w="305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□被分立企业</w:t>
            </w:r>
          </w:p>
        </w:tc>
        <w:tc>
          <w:tcPr>
            <w:tcW w:w="3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□被分立企业股东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特殊性税务处理条件</w:t>
            </w:r>
          </w:p>
        </w:tc>
        <w:tc>
          <w:tcPr>
            <w:tcW w:w="971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（一）具有合理的商业目的，且不以减少、免除或者推迟缴纳税款为主要目的。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（二）被收购、合并或分立部分的资产或股权比例符合规定的比例。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□比例    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（三）企业重组后的连续12个月内不改变重组资产原来的实质性经营活动。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（四）重组交易对价中涉及股权支付金额符合规定比例。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□比例    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1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（五）企业重组中取得股权支付的原主要股东，在重组后连续12个月内，不得转让所取得的股权。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主管税务机关受理意见</w:t>
            </w:r>
          </w:p>
        </w:tc>
        <w:tc>
          <w:tcPr>
            <w:tcW w:w="11757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pStyle w:val="8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                     （受理专用章）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1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57" w:type="dxa"/>
            <w:gridSpan w:val="4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其他需要说明的事项（重组业务其他需要说明的事项，如没有则填“无”）：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纳税人声明</w:t>
            </w:r>
          </w:p>
        </w:tc>
        <w:tc>
          <w:tcPr>
            <w:tcW w:w="11757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谨声明：本人知悉并保证本表填报内容及所附证明材料真实、完整，并承担因资料虚假而产生的法律和行政责任。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57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法定代表人签章：             年    月   日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填表人：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填表日期： </w:t>
            </w:r>
          </w:p>
        </w:tc>
        <w:tc>
          <w:tcPr>
            <w:tcW w:w="5144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8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</w:t>
            </w: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1.本表为企业重组业务适用特殊性税务处理申报时填报。涉及两个及以上重组交易类型的，应分别填报。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“特殊性税务处理条件”，债务重组中重组所得超50%的，只需填写条件（一），债转股的，只需填写条件（一）和（五）；合并中同一控制下且不需要支付对价的合并，只需填写条件（一）、（二）、（三）和（五）。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3.本表一式两份，重组当事方及其所属主管税务机关各一份。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4.除法律形式简单改变外，重组各方应在该重组业务完成当年，办理企业所得税年度申报时，分别向各自主管税务机关报送《企业重组所得税特殊性税务处理报告表及附表》和申报资料。合并、分立中重组一方涉及注销的，应在尚未办理注销税务登记手续前进行申报。重组主导方申报后，其他当事方向其主管税务机关办理纳税申报。申报时还应附送重组主导方经主管税务机关受理的《企业重组所得税特殊性税务处理报告表及 附 表》（复印件）。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4061E"/>
    <w:rsid w:val="655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2019-10-31T02:39:00Z</dcterms:created>
  <dc:creator>陈莉佳</dc:creator>
  <cp:lastModifiedBy>陈莉佳</cp:lastModifiedBy>
  <dcterms:modified xsi:type="dcterms:W3CDTF">2019-10-31T02:39:28Z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