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A06657</w:t>
      </w:r>
      <w:r>
        <w:rPr>
          <w:rFonts w:hint="eastAsia" w:ascii="宋体" w:hAnsi="宋体" w:eastAsia="宋体"/>
        </w:rPr>
        <w:t>《非货币性资产投资递延纳税调整明细表》</w:t>
      </w:r>
    </w:p>
    <w:tbl>
      <w:tblPr>
        <w:tblStyle w:val="2"/>
        <w:tblW w:w="14174" w:type="dxa"/>
        <w:tblInd w:w="0" w:type="dxa"/>
        <w:tblLayout w:type="fixed"/>
        <w:tblCellMar>
          <w:top w:w="0" w:type="dxa"/>
          <w:left w:w="108" w:type="dxa"/>
          <w:bottom w:w="0" w:type="dxa"/>
          <w:right w:w="108" w:type="dxa"/>
        </w:tblCellMar>
      </w:tblPr>
      <w:tblGrid>
        <w:gridCol w:w="316"/>
        <w:gridCol w:w="431"/>
        <w:gridCol w:w="570"/>
        <w:gridCol w:w="539"/>
        <w:gridCol w:w="876"/>
        <w:gridCol w:w="428"/>
        <w:gridCol w:w="428"/>
        <w:gridCol w:w="431"/>
        <w:gridCol w:w="984"/>
        <w:gridCol w:w="541"/>
        <w:gridCol w:w="1097"/>
        <w:gridCol w:w="763"/>
        <w:gridCol w:w="819"/>
        <w:gridCol w:w="539"/>
        <w:gridCol w:w="428"/>
        <w:gridCol w:w="431"/>
        <w:gridCol w:w="428"/>
        <w:gridCol w:w="428"/>
        <w:gridCol w:w="1545"/>
        <w:gridCol w:w="2152"/>
      </w:tblGrid>
      <w:tr>
        <w:tblPrEx>
          <w:tblLayout w:type="fixed"/>
          <w:tblCellMar>
            <w:top w:w="0" w:type="dxa"/>
            <w:left w:w="108" w:type="dxa"/>
            <w:bottom w:w="0" w:type="dxa"/>
            <w:right w:w="108" w:type="dxa"/>
          </w:tblCellMar>
        </w:tblPrEx>
        <w:trPr>
          <w:trHeight w:val="375" w:hRule="atLeast"/>
        </w:trPr>
        <w:tc>
          <w:tcPr>
            <w:tcW w:w="14174" w:type="dxa"/>
            <w:gridSpan w:val="20"/>
            <w:tcBorders>
              <w:top w:val="nil"/>
              <w:left w:val="nil"/>
              <w:bottom w:val="nil"/>
              <w:right w:val="nil"/>
            </w:tcBorders>
            <w:noWrap w:val="0"/>
            <w:vAlign w:val="center"/>
          </w:tcPr>
          <w:p>
            <w:pPr>
              <w:pStyle w:val="8"/>
              <w:jc w:val="center"/>
              <w:rPr>
                <w:rFonts w:ascii="宋体" w:hAnsi="宋体" w:cs="宋体"/>
                <w:b/>
                <w:bCs/>
                <w:color w:val="000000"/>
                <w:sz w:val="28"/>
                <w:szCs w:val="28"/>
              </w:rPr>
            </w:pPr>
            <w:bookmarkStart w:id="0" w:name="_GoBack"/>
            <w:bookmarkEnd w:id="0"/>
            <w:r>
              <w:rPr>
                <w:rFonts w:hint="eastAsia" w:ascii="宋体" w:hAnsi="宋体" w:cs="宋体"/>
                <w:b/>
                <w:bCs/>
                <w:color w:val="000000"/>
                <w:sz w:val="28"/>
                <w:szCs w:val="28"/>
              </w:rPr>
              <w:t>非货币性资产投资递延纳税调整明细表</w:t>
            </w:r>
          </w:p>
        </w:tc>
      </w:tr>
      <w:tr>
        <w:tblPrEx>
          <w:tblLayout w:type="fixed"/>
          <w:tblCellMar>
            <w:top w:w="0" w:type="dxa"/>
            <w:left w:w="108" w:type="dxa"/>
            <w:bottom w:w="0" w:type="dxa"/>
            <w:right w:w="108" w:type="dxa"/>
          </w:tblCellMar>
        </w:tblPrEx>
        <w:trPr>
          <w:trHeight w:val="285" w:hRule="atLeast"/>
        </w:trPr>
        <w:tc>
          <w:tcPr>
            <w:tcW w:w="316" w:type="dxa"/>
            <w:tcBorders>
              <w:top w:val="nil"/>
              <w:left w:val="nil"/>
              <w:bottom w:val="nil"/>
              <w:right w:val="nil"/>
            </w:tcBorders>
            <w:noWrap w:val="0"/>
            <w:vAlign w:val="center"/>
          </w:tcPr>
          <w:p>
            <w:pPr>
              <w:pStyle w:val="8"/>
              <w:jc w:val="center"/>
              <w:rPr>
                <w:rFonts w:ascii="宋体" w:hAnsi="宋体" w:cs="宋体"/>
                <w:b/>
                <w:bCs/>
                <w:color w:val="000000"/>
                <w:sz w:val="28"/>
                <w:szCs w:val="28"/>
              </w:rPr>
            </w:pPr>
          </w:p>
        </w:tc>
        <w:tc>
          <w:tcPr>
            <w:tcW w:w="431" w:type="dxa"/>
            <w:tcBorders>
              <w:top w:val="nil"/>
              <w:left w:val="nil"/>
              <w:bottom w:val="nil"/>
              <w:right w:val="nil"/>
            </w:tcBorders>
            <w:noWrap w:val="0"/>
            <w:vAlign w:val="center"/>
          </w:tcPr>
          <w:p>
            <w:pPr>
              <w:pStyle w:val="8"/>
              <w:jc w:val="center"/>
              <w:rPr>
                <w:color w:val="000000"/>
              </w:rPr>
            </w:pPr>
          </w:p>
        </w:tc>
        <w:tc>
          <w:tcPr>
            <w:tcW w:w="570" w:type="dxa"/>
            <w:tcBorders>
              <w:top w:val="nil"/>
              <w:left w:val="nil"/>
              <w:bottom w:val="nil"/>
              <w:right w:val="nil"/>
            </w:tcBorders>
            <w:noWrap w:val="0"/>
            <w:vAlign w:val="center"/>
          </w:tcPr>
          <w:p>
            <w:pPr>
              <w:pStyle w:val="8"/>
              <w:jc w:val="center"/>
              <w:rPr>
                <w:color w:val="000000"/>
              </w:rPr>
            </w:pPr>
          </w:p>
        </w:tc>
        <w:tc>
          <w:tcPr>
            <w:tcW w:w="539" w:type="dxa"/>
            <w:tcBorders>
              <w:top w:val="nil"/>
              <w:left w:val="nil"/>
              <w:bottom w:val="nil"/>
              <w:right w:val="nil"/>
            </w:tcBorders>
            <w:noWrap w:val="0"/>
            <w:vAlign w:val="center"/>
          </w:tcPr>
          <w:p>
            <w:pPr>
              <w:pStyle w:val="8"/>
              <w:jc w:val="center"/>
              <w:rPr>
                <w:color w:val="000000"/>
              </w:rPr>
            </w:pPr>
          </w:p>
        </w:tc>
        <w:tc>
          <w:tcPr>
            <w:tcW w:w="876" w:type="dxa"/>
            <w:tcBorders>
              <w:top w:val="nil"/>
              <w:left w:val="nil"/>
              <w:bottom w:val="nil"/>
              <w:right w:val="nil"/>
            </w:tcBorders>
            <w:noWrap w:val="0"/>
            <w:vAlign w:val="center"/>
          </w:tcPr>
          <w:p>
            <w:pPr>
              <w:pStyle w:val="8"/>
              <w:jc w:val="center"/>
              <w:rPr>
                <w:color w:val="000000"/>
              </w:rPr>
            </w:pPr>
          </w:p>
        </w:tc>
        <w:tc>
          <w:tcPr>
            <w:tcW w:w="428" w:type="dxa"/>
            <w:tcBorders>
              <w:top w:val="nil"/>
              <w:left w:val="nil"/>
              <w:bottom w:val="nil"/>
              <w:right w:val="nil"/>
            </w:tcBorders>
            <w:noWrap w:val="0"/>
            <w:vAlign w:val="center"/>
          </w:tcPr>
          <w:p>
            <w:pPr>
              <w:pStyle w:val="8"/>
              <w:jc w:val="center"/>
              <w:rPr>
                <w:color w:val="000000"/>
              </w:rPr>
            </w:pPr>
          </w:p>
        </w:tc>
        <w:tc>
          <w:tcPr>
            <w:tcW w:w="428" w:type="dxa"/>
            <w:tcBorders>
              <w:top w:val="nil"/>
              <w:left w:val="nil"/>
              <w:bottom w:val="nil"/>
              <w:right w:val="nil"/>
            </w:tcBorders>
            <w:noWrap w:val="0"/>
            <w:vAlign w:val="center"/>
          </w:tcPr>
          <w:p>
            <w:pPr>
              <w:pStyle w:val="8"/>
              <w:jc w:val="center"/>
              <w:rPr>
                <w:color w:val="000000"/>
              </w:rPr>
            </w:pPr>
          </w:p>
        </w:tc>
        <w:tc>
          <w:tcPr>
            <w:tcW w:w="431" w:type="dxa"/>
            <w:tcBorders>
              <w:top w:val="nil"/>
              <w:left w:val="nil"/>
              <w:bottom w:val="nil"/>
              <w:right w:val="nil"/>
            </w:tcBorders>
            <w:noWrap w:val="0"/>
            <w:vAlign w:val="center"/>
          </w:tcPr>
          <w:p>
            <w:pPr>
              <w:pStyle w:val="8"/>
              <w:jc w:val="center"/>
              <w:rPr>
                <w:color w:val="000000"/>
              </w:rPr>
            </w:pPr>
          </w:p>
        </w:tc>
        <w:tc>
          <w:tcPr>
            <w:tcW w:w="984" w:type="dxa"/>
            <w:tcBorders>
              <w:top w:val="nil"/>
              <w:left w:val="nil"/>
              <w:bottom w:val="nil"/>
              <w:right w:val="nil"/>
            </w:tcBorders>
            <w:noWrap w:val="0"/>
            <w:vAlign w:val="center"/>
          </w:tcPr>
          <w:p>
            <w:pPr>
              <w:pStyle w:val="8"/>
              <w:jc w:val="center"/>
              <w:rPr>
                <w:color w:val="000000"/>
              </w:rPr>
            </w:pPr>
          </w:p>
        </w:tc>
        <w:tc>
          <w:tcPr>
            <w:tcW w:w="541" w:type="dxa"/>
            <w:tcBorders>
              <w:top w:val="nil"/>
              <w:left w:val="nil"/>
              <w:bottom w:val="nil"/>
              <w:right w:val="nil"/>
            </w:tcBorders>
            <w:noWrap w:val="0"/>
            <w:vAlign w:val="center"/>
          </w:tcPr>
          <w:p>
            <w:pPr>
              <w:pStyle w:val="8"/>
              <w:jc w:val="center"/>
              <w:rPr>
                <w:color w:val="000000"/>
              </w:rPr>
            </w:pPr>
          </w:p>
        </w:tc>
        <w:tc>
          <w:tcPr>
            <w:tcW w:w="1097" w:type="dxa"/>
            <w:tcBorders>
              <w:top w:val="nil"/>
              <w:left w:val="nil"/>
              <w:bottom w:val="nil"/>
              <w:right w:val="nil"/>
            </w:tcBorders>
            <w:noWrap w:val="0"/>
            <w:vAlign w:val="center"/>
          </w:tcPr>
          <w:p>
            <w:pPr>
              <w:pStyle w:val="8"/>
              <w:jc w:val="center"/>
              <w:rPr>
                <w:color w:val="000000"/>
              </w:rPr>
            </w:pPr>
          </w:p>
        </w:tc>
        <w:tc>
          <w:tcPr>
            <w:tcW w:w="2980" w:type="dxa"/>
            <w:gridSpan w:val="5"/>
            <w:tcBorders>
              <w:top w:val="nil"/>
              <w:left w:val="nil"/>
              <w:bottom w:val="nil"/>
              <w:right w:val="nil"/>
            </w:tcBorders>
            <w:noWrap w:val="0"/>
            <w:vAlign w:val="center"/>
          </w:tcPr>
          <w:p>
            <w:pPr>
              <w:pStyle w:val="8"/>
              <w:rPr>
                <w:rFonts w:ascii="宋体" w:hAnsi="宋体" w:cs="宋体"/>
                <w:color w:val="000000"/>
                <w:sz w:val="22"/>
              </w:rPr>
            </w:pPr>
            <w:r>
              <w:rPr>
                <w:rFonts w:hint="eastAsia" w:ascii="宋体" w:hAnsi="宋体" w:cs="宋体"/>
                <w:color w:val="000000"/>
                <w:sz w:val="22"/>
              </w:rPr>
              <w:t>所属年度：</w:t>
            </w:r>
          </w:p>
        </w:tc>
        <w:tc>
          <w:tcPr>
            <w:tcW w:w="428" w:type="dxa"/>
            <w:tcBorders>
              <w:top w:val="nil"/>
              <w:left w:val="nil"/>
              <w:bottom w:val="nil"/>
              <w:right w:val="nil"/>
            </w:tcBorders>
            <w:noWrap w:val="0"/>
            <w:vAlign w:val="center"/>
          </w:tcPr>
          <w:p>
            <w:pPr>
              <w:pStyle w:val="8"/>
              <w:rPr>
                <w:rFonts w:ascii="宋体" w:hAnsi="宋体" w:cs="宋体"/>
                <w:color w:val="000000"/>
                <w:sz w:val="22"/>
              </w:rPr>
            </w:pPr>
          </w:p>
        </w:tc>
        <w:tc>
          <w:tcPr>
            <w:tcW w:w="428" w:type="dxa"/>
            <w:tcBorders>
              <w:top w:val="nil"/>
              <w:left w:val="nil"/>
              <w:bottom w:val="nil"/>
              <w:right w:val="nil"/>
            </w:tcBorders>
            <w:noWrap w:val="0"/>
            <w:vAlign w:val="center"/>
          </w:tcPr>
          <w:p>
            <w:pPr>
              <w:pStyle w:val="8"/>
              <w:jc w:val="center"/>
              <w:rPr>
                <w:color w:val="000000"/>
              </w:rPr>
            </w:pPr>
          </w:p>
        </w:tc>
        <w:tc>
          <w:tcPr>
            <w:tcW w:w="1545" w:type="dxa"/>
            <w:tcBorders>
              <w:top w:val="nil"/>
              <w:left w:val="nil"/>
              <w:bottom w:val="nil"/>
              <w:right w:val="nil"/>
            </w:tcBorders>
            <w:noWrap w:val="0"/>
            <w:vAlign w:val="center"/>
          </w:tcPr>
          <w:p>
            <w:pPr>
              <w:pStyle w:val="8"/>
              <w:jc w:val="center"/>
              <w:rPr>
                <w:color w:val="000000"/>
              </w:rPr>
            </w:pPr>
          </w:p>
        </w:tc>
        <w:tc>
          <w:tcPr>
            <w:tcW w:w="2152" w:type="dxa"/>
            <w:tcBorders>
              <w:top w:val="nil"/>
              <w:left w:val="nil"/>
              <w:bottom w:val="nil"/>
              <w:right w:val="nil"/>
            </w:tcBorders>
            <w:noWrap w:val="0"/>
            <w:vAlign w:val="center"/>
          </w:tcPr>
          <w:p>
            <w:pPr>
              <w:pStyle w:val="8"/>
              <w:jc w:val="center"/>
              <w:rPr>
                <w:color w:val="000000"/>
              </w:rPr>
            </w:pPr>
          </w:p>
        </w:tc>
      </w:tr>
      <w:tr>
        <w:tblPrEx>
          <w:tblLayout w:type="fixed"/>
          <w:tblCellMar>
            <w:top w:w="0" w:type="dxa"/>
            <w:left w:w="108" w:type="dxa"/>
            <w:bottom w:w="0" w:type="dxa"/>
            <w:right w:w="108" w:type="dxa"/>
          </w:tblCellMar>
        </w:tblPrEx>
        <w:trPr>
          <w:trHeight w:val="285" w:hRule="atLeast"/>
        </w:trPr>
        <w:tc>
          <w:tcPr>
            <w:tcW w:w="5544" w:type="dxa"/>
            <w:gridSpan w:val="10"/>
            <w:tcBorders>
              <w:top w:val="nil"/>
              <w:left w:val="nil"/>
              <w:bottom w:val="nil"/>
              <w:right w:val="nil"/>
            </w:tcBorders>
            <w:noWrap w:val="0"/>
            <w:vAlign w:val="center"/>
          </w:tcPr>
          <w:p>
            <w:pPr>
              <w:pStyle w:val="8"/>
              <w:rPr>
                <w:rFonts w:ascii="宋体" w:hAnsi="宋体" w:cs="宋体"/>
                <w:color w:val="000000"/>
                <w:sz w:val="22"/>
              </w:rPr>
            </w:pPr>
            <w:r>
              <w:rPr>
                <w:rFonts w:hint="eastAsia" w:ascii="宋体" w:hAnsi="宋体" w:cs="宋体"/>
                <w:color w:val="000000"/>
                <w:sz w:val="22"/>
              </w:rPr>
              <w:t>纳税人名称（盖章）：</w:t>
            </w:r>
          </w:p>
        </w:tc>
        <w:tc>
          <w:tcPr>
            <w:tcW w:w="1097" w:type="dxa"/>
            <w:tcBorders>
              <w:top w:val="nil"/>
              <w:left w:val="nil"/>
              <w:bottom w:val="nil"/>
              <w:right w:val="nil"/>
            </w:tcBorders>
            <w:noWrap w:val="0"/>
            <w:vAlign w:val="center"/>
          </w:tcPr>
          <w:p>
            <w:pPr>
              <w:pStyle w:val="8"/>
              <w:rPr>
                <w:rFonts w:ascii="宋体" w:hAnsi="宋体" w:cs="宋体"/>
                <w:color w:val="000000"/>
                <w:sz w:val="22"/>
              </w:rPr>
            </w:pPr>
          </w:p>
        </w:tc>
        <w:tc>
          <w:tcPr>
            <w:tcW w:w="2980" w:type="dxa"/>
            <w:gridSpan w:val="5"/>
            <w:tcBorders>
              <w:top w:val="nil"/>
              <w:left w:val="nil"/>
              <w:bottom w:val="nil"/>
              <w:right w:val="nil"/>
            </w:tcBorders>
            <w:noWrap w:val="0"/>
            <w:vAlign w:val="center"/>
          </w:tcPr>
          <w:p>
            <w:pPr>
              <w:pStyle w:val="8"/>
              <w:rPr>
                <w:rFonts w:ascii="宋体" w:hAnsi="宋体" w:cs="宋体"/>
                <w:color w:val="000000"/>
                <w:sz w:val="22"/>
              </w:rPr>
            </w:pPr>
            <w:r>
              <w:rPr>
                <w:rFonts w:hint="eastAsia" w:ascii="宋体" w:hAnsi="宋体" w:cs="宋体"/>
                <w:color w:val="000000"/>
                <w:sz w:val="22"/>
              </w:rPr>
              <w:t>纳税人识别号：</w:t>
            </w:r>
          </w:p>
        </w:tc>
        <w:tc>
          <w:tcPr>
            <w:tcW w:w="4553" w:type="dxa"/>
            <w:gridSpan w:val="4"/>
            <w:tcBorders>
              <w:top w:val="nil"/>
              <w:left w:val="nil"/>
              <w:bottom w:val="nil"/>
              <w:right w:val="nil"/>
            </w:tcBorders>
            <w:noWrap w:val="0"/>
            <w:vAlign w:val="center"/>
          </w:tcPr>
          <w:p>
            <w:pPr>
              <w:pStyle w:val="8"/>
              <w:jc w:val="right"/>
              <w:rPr>
                <w:rFonts w:ascii="宋体" w:hAnsi="宋体" w:cs="宋体"/>
                <w:color w:val="000000"/>
                <w:sz w:val="22"/>
              </w:rPr>
            </w:pPr>
            <w:r>
              <w:rPr>
                <w:rFonts w:hint="eastAsia" w:ascii="宋体" w:hAnsi="宋体" w:cs="宋体"/>
                <w:color w:val="000000"/>
                <w:sz w:val="22"/>
              </w:rPr>
              <w:t>金额单位：元（列至角分）</w:t>
            </w:r>
          </w:p>
        </w:tc>
      </w:tr>
      <w:tr>
        <w:tblPrEx>
          <w:tblLayout w:type="fixed"/>
          <w:tblCellMar>
            <w:top w:w="0" w:type="dxa"/>
            <w:left w:w="108" w:type="dxa"/>
            <w:bottom w:w="0" w:type="dxa"/>
            <w:right w:w="108" w:type="dxa"/>
          </w:tblCellMar>
        </w:tblPrEx>
        <w:trPr>
          <w:trHeight w:val="615" w:hRule="atLeast"/>
        </w:trPr>
        <w:tc>
          <w:tcPr>
            <w:tcW w:w="316"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行次</w:t>
            </w:r>
          </w:p>
        </w:tc>
        <w:tc>
          <w:tcPr>
            <w:tcW w:w="2416" w:type="dxa"/>
            <w:gridSpan w:val="4"/>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被投资企业情况</w:t>
            </w:r>
          </w:p>
        </w:tc>
        <w:tc>
          <w:tcPr>
            <w:tcW w:w="1287" w:type="dxa"/>
            <w:gridSpan w:val="3"/>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非货币性资产情况</w:t>
            </w:r>
          </w:p>
        </w:tc>
        <w:tc>
          <w:tcPr>
            <w:tcW w:w="4204" w:type="dxa"/>
            <w:gridSpan w:val="5"/>
            <w:tcBorders>
              <w:top w:val="single" w:color="auto" w:sz="4" w:space="0"/>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非货币性资产投资基本信息</w:t>
            </w:r>
          </w:p>
        </w:tc>
        <w:tc>
          <w:tcPr>
            <w:tcW w:w="539" w:type="dxa"/>
            <w:vMerge w:val="restart"/>
            <w:tcBorders>
              <w:top w:val="single" w:color="auto" w:sz="4" w:space="0"/>
              <w:left w:val="single" w:color="auto" w:sz="4" w:space="0"/>
              <w:bottom w:val="single" w:color="000000"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本年税收金额</w:t>
            </w:r>
          </w:p>
        </w:tc>
        <w:tc>
          <w:tcPr>
            <w:tcW w:w="3260" w:type="dxa"/>
            <w:gridSpan w:val="5"/>
            <w:tcBorders>
              <w:top w:val="single" w:color="auto" w:sz="4" w:space="0"/>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递延纳税差异调整额</w:t>
            </w:r>
          </w:p>
        </w:tc>
        <w:tc>
          <w:tcPr>
            <w:tcW w:w="2152"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结转以后年度递延确认所得税收金额</w:t>
            </w:r>
          </w:p>
        </w:tc>
      </w:tr>
      <w:tr>
        <w:tblPrEx>
          <w:tblLayout w:type="fixed"/>
          <w:tblCellMar>
            <w:top w:w="0" w:type="dxa"/>
            <w:left w:w="108" w:type="dxa"/>
            <w:bottom w:w="0" w:type="dxa"/>
            <w:right w:w="108" w:type="dxa"/>
          </w:tblCellMar>
        </w:tblPrEx>
        <w:trPr>
          <w:trHeight w:val="1440" w:hRule="atLeast"/>
        </w:trPr>
        <w:tc>
          <w:tcPr>
            <w:tcW w:w="31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sz w:val="22"/>
              </w:rPr>
            </w:pP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企业名称</w:t>
            </w:r>
          </w:p>
        </w:tc>
        <w:tc>
          <w:tcPr>
            <w:tcW w:w="570" w:type="dxa"/>
            <w:tcBorders>
              <w:top w:val="nil"/>
              <w:left w:val="nil"/>
              <w:bottom w:val="nil"/>
              <w:right w:val="nil"/>
            </w:tcBorders>
            <w:noWrap w:val="0"/>
            <w:vAlign w:val="center"/>
          </w:tcPr>
          <w:p>
            <w:pPr>
              <w:pStyle w:val="8"/>
              <w:jc w:val="center"/>
              <w:rPr>
                <w:rFonts w:ascii="宋体" w:hAnsi="宋体" w:cs="宋体"/>
                <w:color w:val="000000"/>
              </w:rPr>
            </w:pPr>
            <w:r>
              <w:rPr>
                <w:rFonts w:hint="eastAsia" w:ascii="宋体" w:hAnsi="宋体" w:cs="宋体"/>
                <w:color w:val="000000"/>
              </w:rPr>
              <w:t>纳税人识别号</w:t>
            </w:r>
          </w:p>
        </w:tc>
        <w:tc>
          <w:tcPr>
            <w:tcW w:w="539"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主管税务机关</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与投资方是否为关联企业</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公允价值</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账面价值</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计税基础</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非货币性资产转让收入实现年度</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本年账载金额</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非货币性资产转让所得（税收金额）</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分期确认税收所得年限</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分期均匀确认税收所得额</w:t>
            </w:r>
          </w:p>
        </w:tc>
        <w:tc>
          <w:tcPr>
            <w:tcW w:w="539"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8"/>
              <w:rPr>
                <w:rFonts w:ascii="宋体" w:hAnsi="宋体" w:cs="宋体"/>
                <w:color w:val="000000"/>
                <w:sz w:val="22"/>
              </w:rPr>
            </w:pP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前四年度</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前三年度</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前二年度</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前一年度</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本年</w:t>
            </w:r>
          </w:p>
        </w:tc>
        <w:tc>
          <w:tcPr>
            <w:tcW w:w="215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sz w:val="22"/>
              </w:rPr>
            </w:pPr>
          </w:p>
        </w:tc>
      </w:tr>
      <w:tr>
        <w:tblPrEx>
          <w:tblLayout w:type="fixed"/>
          <w:tblCellMar>
            <w:top w:w="0" w:type="dxa"/>
            <w:left w:w="108" w:type="dxa"/>
            <w:bottom w:w="0" w:type="dxa"/>
            <w:right w:w="108" w:type="dxa"/>
          </w:tblCellMar>
        </w:tblPrEx>
        <w:trPr>
          <w:trHeight w:val="1800" w:hRule="atLeast"/>
        </w:trPr>
        <w:tc>
          <w:tcPr>
            <w:tcW w:w="316"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w:t>
            </w:r>
          </w:p>
        </w:tc>
        <w:tc>
          <w:tcPr>
            <w:tcW w:w="570" w:type="dxa"/>
            <w:tcBorders>
              <w:top w:val="single" w:color="auto" w:sz="4" w:space="0"/>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2</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3</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4</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5</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6</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7</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8</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9</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10=5-7</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11</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12</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13</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14</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15</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16</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17</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18=13-9</w:t>
            </w:r>
          </w:p>
        </w:tc>
        <w:tc>
          <w:tcPr>
            <w:tcW w:w="215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19=[本表第10列-第13列(第1年该项目填报时)]或=[上年度明细表的相应行次第19列-本表第13列(以后递延期间该项目填报时)]</w:t>
            </w:r>
          </w:p>
        </w:tc>
      </w:tr>
      <w:tr>
        <w:tblPrEx>
          <w:tblLayout w:type="fixed"/>
          <w:tblCellMar>
            <w:top w:w="0" w:type="dxa"/>
            <w:left w:w="108" w:type="dxa"/>
            <w:bottom w:w="0" w:type="dxa"/>
            <w:right w:w="108" w:type="dxa"/>
          </w:tblCellMar>
        </w:tblPrEx>
        <w:trPr>
          <w:trHeight w:val="285" w:hRule="atLeast"/>
        </w:trPr>
        <w:tc>
          <w:tcPr>
            <w:tcW w:w="316"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1</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70"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215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316"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2</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70"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215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316"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3</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70"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215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316"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4</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70"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215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316"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5</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70"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215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316"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6</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70"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215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330" w:hRule="atLeast"/>
        </w:trPr>
        <w:tc>
          <w:tcPr>
            <w:tcW w:w="316"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70"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215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555" w:hRule="atLeast"/>
        </w:trPr>
        <w:tc>
          <w:tcPr>
            <w:tcW w:w="316" w:type="dxa"/>
            <w:tcBorders>
              <w:top w:val="nil"/>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合计</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570"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876"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98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54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1097"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763"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81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539"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431"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42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w:t>
            </w:r>
          </w:p>
        </w:tc>
        <w:tc>
          <w:tcPr>
            <w:tcW w:w="1545"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c>
          <w:tcPr>
            <w:tcW w:w="215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555" w:hRule="atLeast"/>
        </w:trPr>
        <w:tc>
          <w:tcPr>
            <w:tcW w:w="14174" w:type="dxa"/>
            <w:gridSpan w:val="20"/>
            <w:tcBorders>
              <w:top w:val="single" w:color="auto" w:sz="4" w:space="0"/>
              <w:left w:val="single" w:color="auto" w:sz="4" w:space="0"/>
              <w:bottom w:val="nil"/>
              <w:right w:val="single" w:color="000000" w:sz="4" w:space="0"/>
            </w:tcBorders>
            <w:noWrap w:val="0"/>
            <w:vAlign w:val="center"/>
          </w:tcPr>
          <w:p>
            <w:pPr>
              <w:pStyle w:val="8"/>
              <w:rPr>
                <w:rFonts w:ascii="宋体" w:hAnsi="宋体" w:cs="宋体"/>
                <w:color w:val="000000"/>
                <w:sz w:val="22"/>
              </w:rPr>
            </w:pPr>
            <w:r>
              <w:rPr>
                <w:rFonts w:hint="eastAsia" w:ascii="宋体" w:hAnsi="宋体" w:cs="宋体"/>
                <w:color w:val="000000"/>
                <w:sz w:val="22"/>
              </w:rPr>
              <w:t>谨声明：本人知悉并保证本表填报内容及所附证明材料真实、完整，并承担因资料虚假而产生的法律和行政责任。</w:t>
            </w:r>
            <w:r>
              <w:rPr>
                <w:rFonts w:hint="eastAsia" w:ascii="宋体" w:hAnsi="宋体" w:cs="宋体"/>
                <w:color w:val="000000"/>
                <w:sz w:val="22"/>
              </w:rPr>
              <w:br w:type="textWrapping"/>
            </w:r>
            <w:r>
              <w:rPr>
                <w:rFonts w:hint="eastAsia" w:ascii="宋体" w:hAnsi="宋体" w:cs="宋体"/>
                <w:color w:val="000000"/>
                <w:sz w:val="22"/>
              </w:rPr>
              <w:t xml:space="preserve">                                                                                                    法定代表人签章：                                                                                                    </w:t>
            </w:r>
          </w:p>
        </w:tc>
      </w:tr>
      <w:tr>
        <w:tblPrEx>
          <w:tblLayout w:type="fixed"/>
          <w:tblCellMar>
            <w:top w:w="0" w:type="dxa"/>
            <w:left w:w="108" w:type="dxa"/>
            <w:bottom w:w="0" w:type="dxa"/>
            <w:right w:w="108" w:type="dxa"/>
          </w:tblCellMar>
        </w:tblPrEx>
        <w:trPr>
          <w:trHeight w:val="285" w:hRule="atLeast"/>
        </w:trPr>
        <w:tc>
          <w:tcPr>
            <w:tcW w:w="14174" w:type="dxa"/>
            <w:gridSpan w:val="20"/>
            <w:tcBorders>
              <w:top w:val="nil"/>
              <w:left w:val="single" w:color="auto" w:sz="4" w:space="0"/>
              <w:bottom w:val="single" w:color="auto" w:sz="4" w:space="0"/>
              <w:right w:val="single" w:color="000000" w:sz="4" w:space="0"/>
            </w:tcBorders>
            <w:noWrap w:val="0"/>
            <w:vAlign w:val="center"/>
          </w:tcPr>
          <w:p>
            <w:pPr>
              <w:pStyle w:val="8"/>
              <w:jc w:val="right"/>
              <w:rPr>
                <w:rFonts w:ascii="宋体" w:hAnsi="宋体" w:cs="宋体"/>
                <w:color w:val="000000"/>
                <w:sz w:val="22"/>
              </w:rPr>
            </w:pPr>
            <w:r>
              <w:rPr>
                <w:rFonts w:hint="eastAsia" w:ascii="宋体" w:hAnsi="宋体" w:cs="宋体"/>
                <w:color w:val="000000"/>
                <w:sz w:val="22"/>
              </w:rPr>
              <w:t xml:space="preserve">年  月  日    </w:t>
            </w:r>
          </w:p>
        </w:tc>
      </w:tr>
    </w:tbl>
    <w:p>
      <w:pPr>
        <w:pStyle w:val="9"/>
        <w:rPr>
          <w:color w:val="000000"/>
        </w:rPr>
        <w:sectPr>
          <w:pgSz w:w="16838" w:h="11906" w:orient="landscape"/>
          <w:pgMar w:top="1797" w:right="1440" w:bottom="1797" w:left="1440" w:header="851" w:footer="992" w:gutter="0"/>
          <w:cols w:space="720" w:num="1"/>
          <w:docGrid w:type="lines" w:linePitch="326" w:charSpace="0"/>
        </w:sectPr>
      </w:pPr>
    </w:p>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1.本表适用于执行《财政部国家税务总局关于非货币性资产投资企业所得税政策问题的通知》（财税〔2014〕116号）和本公告规定的纳税人填报。纳税人应在非货币性资产投资每年确认税收金额年度的企业所得税年度汇算清缴申报时，一并向主管税务机关报送本表。</w:t>
      </w:r>
    </w:p>
    <w:p>
      <w:pPr>
        <w:pStyle w:val="7"/>
        <w:ind w:firstLineChars="200"/>
        <w:rPr>
          <w:rFonts w:ascii="宋体" w:hAnsi="宋体"/>
          <w:color w:val="000000"/>
        </w:rPr>
      </w:pPr>
      <w:r>
        <w:rPr>
          <w:rFonts w:hint="eastAsia" w:ascii="宋体" w:hAnsi="宋体"/>
          <w:color w:val="000000"/>
        </w:rPr>
        <w:t>2.纳税人应以被投资企业为单位逐行填列。若纳税人在一个纳税年度内发生两次及以上对同一家企业非货币资产投资业务,则应作为一项投资项目进行填报；若纳税人在一个纳税年度内对两个及以上不同企业发生非货币资产投资业务，则作为不同的投资项目分别填报。</w:t>
      </w:r>
    </w:p>
    <w:p>
      <w:pPr>
        <w:pStyle w:val="7"/>
        <w:ind w:firstLineChars="200"/>
        <w:rPr>
          <w:rFonts w:ascii="宋体" w:hAnsi="宋体"/>
          <w:color w:val="000000"/>
        </w:rPr>
      </w:pPr>
      <w:r>
        <w:rPr>
          <w:rFonts w:hint="eastAsia" w:ascii="宋体" w:hAnsi="宋体"/>
          <w:color w:val="000000"/>
        </w:rPr>
        <w:t>3.第8列“非货币性资产转让收入实现年度”:是指非货币性资产投资协议生效并办理股权登记手续的年度。关联企业之间非货币性资产投资，投资协议生效后12个月内尚未完成股权变更登记手续的，确认年度为投资协议生效年度。</w:t>
      </w:r>
    </w:p>
    <w:p>
      <w:pPr>
        <w:pStyle w:val="7"/>
        <w:ind w:firstLineChars="200"/>
        <w:rPr>
          <w:rFonts w:ascii="宋体" w:hAnsi="宋体"/>
          <w:color w:val="000000"/>
        </w:rPr>
      </w:pPr>
      <w:r>
        <w:rPr>
          <w:rFonts w:hint="eastAsia" w:ascii="宋体" w:hAnsi="宋体"/>
          <w:color w:val="000000"/>
        </w:rPr>
        <w:t>4.第9列“本年账载金额”：填报纳税人根据会计规定在所属年度确认的非货币性资产转让所得。</w:t>
      </w:r>
    </w:p>
    <w:p>
      <w:pPr>
        <w:pStyle w:val="7"/>
        <w:ind w:firstLineChars="200"/>
        <w:rPr>
          <w:rFonts w:ascii="宋体" w:hAnsi="宋体"/>
          <w:color w:val="000000"/>
        </w:rPr>
      </w:pPr>
      <w:r>
        <w:rPr>
          <w:rFonts w:hint="eastAsia" w:ascii="宋体" w:hAnsi="宋体"/>
          <w:color w:val="000000"/>
        </w:rPr>
        <w:t>5.第10列“非货币性资产转让所得（税收金额）”：本列只在非货币性资产投资税收确认转让收入实现年度的当年填报，以后递延期间不再填报。</w:t>
      </w:r>
    </w:p>
    <w:p>
      <w:pPr>
        <w:pStyle w:val="7"/>
        <w:ind w:firstLineChars="200"/>
        <w:rPr>
          <w:rFonts w:ascii="宋体" w:hAnsi="宋体"/>
          <w:color w:val="000000"/>
        </w:rPr>
      </w:pPr>
      <w:r>
        <w:rPr>
          <w:rFonts w:hint="eastAsia" w:ascii="宋体" w:hAnsi="宋体"/>
          <w:color w:val="000000"/>
        </w:rPr>
        <w:t>6.第11列“分期确认税收所得年限”：填报纳税人按照税法规定需分期确认非货币性资产转让所得（税收金额）的年度数。</w:t>
      </w:r>
    </w:p>
    <w:p>
      <w:pPr>
        <w:pStyle w:val="7"/>
        <w:ind w:firstLineChars="200"/>
        <w:rPr>
          <w:rFonts w:ascii="宋体" w:hAnsi="宋体"/>
          <w:color w:val="000000"/>
        </w:rPr>
      </w:pPr>
      <w:r>
        <w:rPr>
          <w:rFonts w:hint="eastAsia" w:ascii="宋体" w:hAnsi="宋体"/>
          <w:color w:val="000000"/>
        </w:rPr>
        <w:t>7.第12列“分期均匀确认税收所得额”：填报纳税人按照税法规定分期均匀计入相应年度应纳税所得额的金额；等于非货币性资产转让所得（税收金额）除以分期确认税收所得年限。</w:t>
      </w:r>
    </w:p>
    <w:p>
      <w:pPr>
        <w:pStyle w:val="7"/>
        <w:ind w:firstLineChars="200"/>
        <w:rPr>
          <w:rFonts w:ascii="宋体" w:hAnsi="宋体"/>
          <w:color w:val="000000"/>
        </w:rPr>
      </w:pPr>
      <w:r>
        <w:rPr>
          <w:rFonts w:hint="eastAsia" w:ascii="宋体" w:hAnsi="宋体"/>
          <w:color w:val="000000"/>
        </w:rPr>
        <w:t>8.第13列“本年税收金额”：填报纳税人按照税法规定在所属年度确认的非货币性资产转让所得，包括纳税人在对外投资5年内转让股权、投资收回或注销时，须一次性确认的在递延期内尚未确认的非货币性资产转让所得。</w:t>
      </w:r>
    </w:p>
    <w:p>
      <w:pPr>
        <w:pStyle w:val="7"/>
        <w:ind w:firstLineChars="200"/>
        <w:rPr>
          <w:rFonts w:ascii="宋体" w:hAnsi="宋体"/>
          <w:color w:val="000000"/>
        </w:rPr>
      </w:pPr>
      <w:r>
        <w:rPr>
          <w:rFonts w:hint="eastAsia" w:ascii="宋体" w:hAnsi="宋体"/>
          <w:color w:val="000000"/>
        </w:rPr>
        <w:t>9.“递延纳税差异调整额”：纳税调整减少的，以负数表示；纳税调整增加的，以正数表示；第18列“本年”为所属年度，第17至14列为依次从所属年度往前倒推的年度。</w:t>
      </w:r>
    </w:p>
    <w:p>
      <w:pPr>
        <w:pStyle w:val="7"/>
        <w:ind w:firstLineChars="200"/>
        <w:rPr>
          <w:rFonts w:ascii="宋体" w:hAnsi="宋体"/>
          <w:color w:val="000000"/>
        </w:rPr>
        <w:sectPr>
          <w:pgSz w:w="16838" w:h="11906" w:orient="landscape"/>
          <w:pgMar w:top="1797" w:right="1440" w:bottom="1797" w:left="1440" w:header="851" w:footer="992" w:gutter="0"/>
          <w:cols w:space="720" w:num="1"/>
          <w:docGrid w:type="lines" w:linePitch="326" w:charSpace="0"/>
        </w:sectPr>
      </w:pPr>
      <w:r>
        <w:rPr>
          <w:rFonts w:hint="eastAsia" w:ascii="宋体" w:hAnsi="宋体"/>
          <w:color w:val="000000"/>
        </w:rPr>
        <w:t>10.第19列“结转以后年度递延确认所得税收金额”：填报按照税法规定结转以后年度的尚未确认的非货币性资产转让所得。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53354"/>
    <w:rsid w:val="7C053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paragraph" w:customStyle="1" w:styleId="9">
    <w:name w:val="正文_0_0_0_0_0_0_0_0_0_0_0_0_0_0_0_0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2019-10-31T02:34:00Z</dcterms:created>
  <dc:creator>陈莉佳</dc:creator>
  <cp:lastModifiedBy>陈莉佳</cp:lastModifiedBy>
  <dcterms:modified xsi:type="dcterms:W3CDTF">2019-10-31T02:34:19Z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