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A06598</w:t>
      </w:r>
      <w:r>
        <w:rPr>
          <w:rFonts w:hint="eastAsia" w:ascii="宋体" w:hAnsi="宋体" w:eastAsia="宋体"/>
        </w:rPr>
        <w:t>《企业所得税汇总纳税分支机构所得税分配表》（</w:t>
      </w:r>
      <w:r>
        <w:rPr>
          <w:rFonts w:ascii="宋体" w:hAnsi="宋体" w:eastAsia="宋体"/>
        </w:rPr>
        <w:t>A109010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r>
        <w:rPr>
          <w:rFonts w:hint="eastAsia" w:ascii="宋体" w:hAnsi="宋体" w:cs="宋体"/>
          <w:b/>
          <w:sz w:val="28"/>
          <w:szCs w:val="21"/>
        </w:rPr>
        <w:t xml:space="preserve"> </w:t>
      </w:r>
      <w:r>
        <w:rPr>
          <w:rFonts w:ascii="宋体" w:hAnsi="宋体" w:cs="宋体"/>
          <w:b/>
          <w:sz w:val="28"/>
          <w:szCs w:val="21"/>
        </w:rPr>
        <w:t xml:space="preserve">     A109010</w:t>
      </w:r>
      <w:r>
        <w:rPr>
          <w:rFonts w:hint="eastAsia" w:ascii="宋体" w:hAnsi="宋体" w:cs="宋体"/>
          <w:b/>
          <w:sz w:val="28"/>
          <w:szCs w:val="21"/>
        </w:rPr>
        <w:t>企业所得税汇总纳税分支机构所得税分配表</w:t>
      </w:r>
    </w:p>
    <w:tbl>
      <w:tblPr>
        <w:tblStyle w:val="2"/>
        <w:tblW w:w="15162" w:type="dxa"/>
        <w:jc w:val="center"/>
        <w:tblInd w:w="0" w:type="dxa"/>
        <w:tblLayout w:type="fixed"/>
        <w:tblCellMar>
          <w:top w:w="0" w:type="dxa"/>
          <w:left w:w="108" w:type="dxa"/>
          <w:bottom w:w="0" w:type="dxa"/>
          <w:right w:w="108" w:type="dxa"/>
        </w:tblCellMar>
      </w:tblPr>
      <w:tblGrid>
        <w:gridCol w:w="1282"/>
        <w:gridCol w:w="2720"/>
        <w:gridCol w:w="2720"/>
        <w:gridCol w:w="1760"/>
        <w:gridCol w:w="1760"/>
        <w:gridCol w:w="1760"/>
        <w:gridCol w:w="1060"/>
        <w:gridCol w:w="2100"/>
      </w:tblGrid>
      <w:tr>
        <w:tblPrEx>
          <w:tblLayout w:type="fixed"/>
          <w:tblCellMar>
            <w:top w:w="0" w:type="dxa"/>
            <w:left w:w="108" w:type="dxa"/>
            <w:bottom w:w="0" w:type="dxa"/>
            <w:right w:w="108" w:type="dxa"/>
          </w:tblCellMar>
        </w:tblPrEx>
        <w:trPr>
          <w:cantSplit/>
          <w:trHeight w:val="340" w:hRule="atLeast"/>
          <w:jc w:val="center"/>
        </w:trPr>
        <w:tc>
          <w:tcPr>
            <w:tcW w:w="15162" w:type="dxa"/>
            <w:gridSpan w:val="8"/>
            <w:tcBorders>
              <w:top w:val="nil"/>
              <w:left w:val="nil"/>
              <w:bottom w:val="nil"/>
              <w:right w:val="nil"/>
            </w:tcBorders>
            <w:noWrap w:val="0"/>
            <w:vAlign w:val="center"/>
          </w:tcPr>
          <w:p>
            <w:pPr>
              <w:pStyle w:val="9"/>
              <w:spacing w:before="260" w:after="260" w:line="415" w:lineRule="auto"/>
              <w:jc w:val="center"/>
              <w:rPr>
                <w:rFonts w:ascii="宋体" w:hAnsi="宋体" w:cs="宋体"/>
              </w:rPr>
            </w:pPr>
            <w:r>
              <w:rPr>
                <w:rFonts w:hint="eastAsia" w:ascii="宋体" w:hAnsi="宋体" w:cs="宋体"/>
              </w:rPr>
              <w:t>税款所属期间：   年  月  日至   年  月  日</w:t>
            </w:r>
          </w:p>
        </w:tc>
      </w:tr>
      <w:tr>
        <w:tblPrEx>
          <w:tblLayout w:type="fixed"/>
          <w:tblCellMar>
            <w:top w:w="0" w:type="dxa"/>
            <w:left w:w="108" w:type="dxa"/>
            <w:bottom w:w="0" w:type="dxa"/>
            <w:right w:w="108" w:type="dxa"/>
          </w:tblCellMar>
        </w:tblPrEx>
        <w:trPr>
          <w:cantSplit/>
          <w:trHeight w:val="340" w:hRule="atLeast"/>
          <w:jc w:val="center"/>
        </w:trPr>
        <w:tc>
          <w:tcPr>
            <w:tcW w:w="4002" w:type="dxa"/>
            <w:gridSpan w:val="2"/>
            <w:tcBorders>
              <w:top w:val="nil"/>
              <w:left w:val="nil"/>
              <w:bottom w:val="nil"/>
              <w:right w:val="nil"/>
            </w:tcBorders>
            <w:noWrap w:val="0"/>
            <w:vAlign w:val="center"/>
          </w:tcPr>
          <w:p>
            <w:pPr>
              <w:pStyle w:val="9"/>
              <w:spacing w:before="260" w:after="260" w:line="415" w:lineRule="auto"/>
              <w:rPr>
                <w:rFonts w:ascii="宋体" w:hAnsi="宋体" w:cs="宋体"/>
              </w:rPr>
            </w:pPr>
            <w:r>
              <w:rPr>
                <w:rFonts w:hint="eastAsia" w:ascii="宋体" w:hAnsi="宋体" w:cs="宋体"/>
              </w:rPr>
              <w:t>总机构名称（盖章）</w:t>
            </w:r>
            <w:r>
              <w:t xml:space="preserve">:                                                                   </w:t>
            </w:r>
          </w:p>
        </w:tc>
        <w:tc>
          <w:tcPr>
            <w:tcW w:w="4480" w:type="dxa"/>
            <w:gridSpan w:val="2"/>
            <w:tcBorders>
              <w:top w:val="nil"/>
              <w:left w:val="nil"/>
              <w:bottom w:val="nil"/>
              <w:right w:val="nil"/>
            </w:tcBorders>
            <w:noWrap w:val="0"/>
            <w:vAlign w:val="center"/>
          </w:tcPr>
          <w:p>
            <w:pPr>
              <w:pStyle w:val="9"/>
              <w:spacing w:before="260" w:after="260" w:line="415" w:lineRule="auto"/>
              <w:rPr>
                <w:rFonts w:ascii="宋体" w:hAnsi="宋体" w:cs="宋体"/>
              </w:rPr>
            </w:pPr>
          </w:p>
        </w:tc>
        <w:tc>
          <w:tcPr>
            <w:tcW w:w="1760" w:type="dxa"/>
            <w:tcBorders>
              <w:top w:val="nil"/>
              <w:left w:val="nil"/>
              <w:bottom w:val="nil"/>
              <w:right w:val="nil"/>
            </w:tcBorders>
            <w:noWrap w:val="0"/>
            <w:vAlign w:val="center"/>
          </w:tcPr>
          <w:p>
            <w:pPr>
              <w:pStyle w:val="9"/>
              <w:spacing w:before="260" w:after="260" w:line="415" w:lineRule="auto"/>
              <w:jc w:val="center"/>
            </w:pPr>
          </w:p>
        </w:tc>
        <w:tc>
          <w:tcPr>
            <w:tcW w:w="1760" w:type="dxa"/>
            <w:tcBorders>
              <w:top w:val="nil"/>
              <w:left w:val="nil"/>
              <w:bottom w:val="nil"/>
              <w:right w:val="nil"/>
            </w:tcBorders>
            <w:noWrap w:val="0"/>
            <w:vAlign w:val="center"/>
          </w:tcPr>
          <w:p>
            <w:pPr>
              <w:pStyle w:val="9"/>
              <w:spacing w:before="260" w:after="260" w:line="415" w:lineRule="auto"/>
            </w:pPr>
          </w:p>
        </w:tc>
        <w:tc>
          <w:tcPr>
            <w:tcW w:w="3160" w:type="dxa"/>
            <w:gridSpan w:val="2"/>
            <w:tcBorders>
              <w:top w:val="nil"/>
              <w:left w:val="nil"/>
              <w:bottom w:val="nil"/>
              <w:right w:val="nil"/>
            </w:tcBorders>
            <w:noWrap w:val="0"/>
            <w:vAlign w:val="center"/>
          </w:tcPr>
          <w:p>
            <w:pPr>
              <w:pStyle w:val="9"/>
              <w:spacing w:before="260" w:after="260" w:line="415" w:lineRule="auto"/>
            </w:pPr>
          </w:p>
        </w:tc>
      </w:tr>
      <w:tr>
        <w:tblPrEx>
          <w:tblLayout w:type="fixed"/>
          <w:tblCellMar>
            <w:top w:w="0" w:type="dxa"/>
            <w:left w:w="108" w:type="dxa"/>
            <w:bottom w:w="0" w:type="dxa"/>
            <w:right w:w="108" w:type="dxa"/>
          </w:tblCellMar>
        </w:tblPrEx>
        <w:trPr>
          <w:cantSplit/>
          <w:trHeight w:val="340" w:hRule="atLeast"/>
          <w:jc w:val="center"/>
        </w:trPr>
        <w:tc>
          <w:tcPr>
            <w:tcW w:w="6722" w:type="dxa"/>
            <w:gridSpan w:val="3"/>
            <w:tcBorders>
              <w:top w:val="nil"/>
              <w:left w:val="nil"/>
              <w:bottom w:val="single" w:color="auto" w:sz="12" w:space="0"/>
              <w:right w:val="nil"/>
            </w:tcBorders>
            <w:noWrap w:val="0"/>
            <w:vAlign w:val="center"/>
          </w:tcPr>
          <w:p>
            <w:pPr>
              <w:pStyle w:val="9"/>
              <w:spacing w:before="260" w:after="260" w:line="415" w:lineRule="auto"/>
              <w:rPr>
                <w:rFonts w:ascii="宋体" w:hAnsi="宋体" w:cs="宋体"/>
              </w:rPr>
            </w:pPr>
            <w:r>
              <w:rPr>
                <w:rFonts w:hint="eastAsia" w:ascii="宋体" w:hAnsi="宋体" w:cs="宋体"/>
              </w:rPr>
              <w:t>总</w:t>
            </w:r>
            <w:bookmarkStart w:id="0" w:name="_Hlk499038456"/>
            <w:r>
              <w:rPr>
                <w:rFonts w:hint="eastAsia" w:ascii="宋体" w:hAnsi="宋体" w:cs="宋体"/>
              </w:rPr>
              <w:t>机构统一社会信用代码（纳税人识别号）</w:t>
            </w:r>
            <w:bookmarkEnd w:id="0"/>
            <w:r>
              <w:rPr>
                <w:rFonts w:hint="eastAsia" w:ascii="宋体" w:hAnsi="宋体" w:cs="宋体"/>
              </w:rPr>
              <w:t>：</w:t>
            </w:r>
          </w:p>
        </w:tc>
        <w:tc>
          <w:tcPr>
            <w:tcW w:w="5280" w:type="dxa"/>
            <w:gridSpan w:val="3"/>
            <w:tcBorders>
              <w:top w:val="nil"/>
              <w:left w:val="nil"/>
              <w:bottom w:val="single" w:color="auto" w:sz="12" w:space="0"/>
              <w:right w:val="nil"/>
            </w:tcBorders>
            <w:noWrap w:val="0"/>
            <w:vAlign w:val="center"/>
          </w:tcPr>
          <w:p>
            <w:pPr>
              <w:pStyle w:val="9"/>
              <w:spacing w:before="260" w:after="260" w:line="415" w:lineRule="auto"/>
              <w:rPr>
                <w:rFonts w:ascii="宋体" w:hAnsi="宋体" w:cs="宋体"/>
              </w:rPr>
            </w:pPr>
            <w:r>
              <w:rPr>
                <w:rFonts w:hint="eastAsia" w:ascii="宋体" w:hAnsi="宋体" w:cs="宋体"/>
              </w:rPr>
              <w:t>　</w:t>
            </w:r>
          </w:p>
        </w:tc>
        <w:tc>
          <w:tcPr>
            <w:tcW w:w="3160" w:type="dxa"/>
            <w:gridSpan w:val="2"/>
            <w:tcBorders>
              <w:top w:val="nil"/>
              <w:left w:val="nil"/>
              <w:bottom w:val="single" w:color="auto" w:sz="12" w:space="0"/>
              <w:right w:val="nil"/>
            </w:tcBorders>
            <w:noWrap w:val="0"/>
            <w:vAlign w:val="center"/>
          </w:tcPr>
          <w:p>
            <w:pPr>
              <w:pStyle w:val="9"/>
              <w:spacing w:before="260" w:after="260" w:line="415" w:lineRule="auto"/>
              <w:jc w:val="center"/>
              <w:rPr>
                <w:rFonts w:ascii="宋体" w:hAnsi="宋体" w:cs="宋体"/>
              </w:rPr>
            </w:pPr>
            <w:r>
              <w:rPr>
                <w:rFonts w:hint="eastAsia" w:ascii="宋体" w:hAnsi="宋体" w:cs="宋体"/>
              </w:rPr>
              <w:t>金额单位: 元（列至角分）</w:t>
            </w:r>
          </w:p>
        </w:tc>
      </w:tr>
      <w:tr>
        <w:tblPrEx>
          <w:tblLayout w:type="fixed"/>
          <w:tblCellMar>
            <w:top w:w="0" w:type="dxa"/>
            <w:left w:w="108" w:type="dxa"/>
            <w:bottom w:w="0" w:type="dxa"/>
            <w:right w:w="108" w:type="dxa"/>
          </w:tblCellMar>
        </w:tblPrEx>
        <w:trPr>
          <w:cantSplit/>
          <w:trHeight w:val="340" w:hRule="atLeast"/>
          <w:jc w:val="center"/>
        </w:trPr>
        <w:tc>
          <w:tcPr>
            <w:tcW w:w="4002" w:type="dxa"/>
            <w:gridSpan w:val="2"/>
            <w:tcBorders>
              <w:top w:val="single" w:color="auto" w:sz="12" w:space="0"/>
              <w:left w:val="single" w:color="auto" w:sz="12"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应纳所得税额</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 xml:space="preserve"> 总机构财政集中分配所得税额</w:t>
            </w:r>
          </w:p>
        </w:tc>
        <w:tc>
          <w:tcPr>
            <w:tcW w:w="3160" w:type="dxa"/>
            <w:gridSpan w:val="2"/>
            <w:tcBorders>
              <w:top w:val="single" w:color="auto" w:sz="12" w:space="0"/>
              <w:left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分支机构分摊所得税额</w:t>
            </w:r>
          </w:p>
        </w:tc>
      </w:tr>
      <w:tr>
        <w:tblPrEx>
          <w:tblLayout w:type="fixed"/>
          <w:tblCellMar>
            <w:top w:w="0" w:type="dxa"/>
            <w:left w:w="108" w:type="dxa"/>
            <w:bottom w:w="0" w:type="dxa"/>
            <w:right w:w="108" w:type="dxa"/>
          </w:tblCellMar>
        </w:tblPrEx>
        <w:trPr>
          <w:cantSplit/>
          <w:trHeight w:val="340" w:hRule="atLeast"/>
          <w:jc w:val="center"/>
        </w:trPr>
        <w:tc>
          <w:tcPr>
            <w:tcW w:w="4002" w:type="dxa"/>
            <w:gridSpan w:val="2"/>
            <w:tcBorders>
              <w:top w:val="single" w:color="auto" w:sz="6" w:space="0"/>
              <w:left w:val="single" w:color="auto" w:sz="12"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5280" w:type="dxa"/>
            <w:gridSpan w:val="3"/>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3160" w:type="dxa"/>
            <w:gridSpan w:val="2"/>
            <w:tcBorders>
              <w:top w:val="single" w:color="auto" w:sz="6" w:space="0"/>
              <w:left w:val="single" w:color="auto" w:sz="6" w:space="0"/>
              <w:bottom w:val="single" w:color="auto" w:sz="12"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restart"/>
            <w:tcBorders>
              <w:top w:val="single" w:color="auto" w:sz="12" w:space="0"/>
              <w:left w:val="single" w:color="auto" w:sz="12" w:space="0"/>
              <w:bottom w:val="single" w:color="auto" w:sz="6" w:space="0"/>
              <w:right w:val="single" w:color="auto" w:sz="6" w:space="0"/>
            </w:tcBorders>
            <w:noWrap w:val="0"/>
            <w:textDirection w:val="tbRlV"/>
            <w:vAlign w:val="center"/>
          </w:tcPr>
          <w:p>
            <w:pPr>
              <w:pStyle w:val="9"/>
              <w:spacing w:before="260" w:after="260" w:line="415" w:lineRule="auto"/>
              <w:jc w:val="center"/>
              <w:rPr>
                <w:rFonts w:ascii="宋体" w:hAnsi="宋体" w:cs="宋体"/>
              </w:rPr>
            </w:pPr>
            <w:r>
              <w:rPr>
                <w:rFonts w:hint="eastAsia" w:ascii="宋体" w:hAnsi="宋体" w:cs="宋体"/>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分支机构统一社会信用代码</w:t>
            </w:r>
            <w:r>
              <w:rPr>
                <w:rFonts w:hint="eastAsia" w:ascii="宋体" w:hAnsi="宋体" w:cs="宋体"/>
              </w:rPr>
              <w:br w:type="textWrapping"/>
            </w:r>
            <w:r>
              <w:rPr>
                <w:rFonts w:hint="eastAsia" w:ascii="宋体" w:hAnsi="宋体" w:cs="宋体"/>
              </w:rPr>
              <w:t>（纳税人识别号）</w:t>
            </w:r>
          </w:p>
        </w:tc>
        <w:tc>
          <w:tcPr>
            <w:tcW w:w="2720" w:type="dxa"/>
            <w:vMerge w:val="restart"/>
            <w:tcBorders>
              <w:top w:val="single" w:color="auto" w:sz="12"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分支机构名称</w:t>
            </w:r>
          </w:p>
        </w:tc>
        <w:tc>
          <w:tcPr>
            <w:tcW w:w="5280" w:type="dxa"/>
            <w:gridSpan w:val="3"/>
            <w:tcBorders>
              <w:top w:val="single" w:color="auto" w:sz="12"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三项因素</w:t>
            </w:r>
          </w:p>
        </w:tc>
        <w:tc>
          <w:tcPr>
            <w:tcW w:w="1060" w:type="dxa"/>
            <w:vMerge w:val="restart"/>
            <w:tcBorders>
              <w:top w:val="single" w:color="auto" w:sz="12"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分配</w:t>
            </w:r>
            <w:r>
              <w:rPr>
                <w:rFonts w:hint="eastAsia" w:ascii="宋体" w:hAnsi="宋体" w:cs="宋体"/>
              </w:rPr>
              <w:br w:type="textWrapping"/>
            </w:r>
            <w:r>
              <w:rPr>
                <w:rFonts w:hint="eastAsia" w:ascii="宋体" w:hAnsi="宋体" w:cs="宋体"/>
              </w:rPr>
              <w:t>比例</w:t>
            </w:r>
          </w:p>
        </w:tc>
        <w:tc>
          <w:tcPr>
            <w:tcW w:w="2100" w:type="dxa"/>
            <w:vMerge w:val="restart"/>
            <w:tcBorders>
              <w:top w:val="single" w:color="auto" w:sz="12" w:space="0"/>
              <w:left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分配所得税额</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vMerge w:val="continue"/>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vMerge w:val="continue"/>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营业收入</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职工薪酬</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资产总额</w:t>
            </w:r>
          </w:p>
        </w:tc>
        <w:tc>
          <w:tcPr>
            <w:tcW w:w="1060" w:type="dxa"/>
            <w:vMerge w:val="continue"/>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100" w:type="dxa"/>
            <w:vMerge w:val="continue"/>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rPr>
                <w:rFonts w:ascii="宋体" w:hAnsi="宋体" w:cs="宋体"/>
              </w:rPr>
            </w:pP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6" w:space="0"/>
              <w:right w:val="single" w:color="auto" w:sz="6" w:space="0"/>
            </w:tcBorders>
            <w:noWrap w:val="0"/>
            <w:vAlign w:val="center"/>
          </w:tcPr>
          <w:p>
            <w:pPr>
              <w:pStyle w:val="9"/>
              <w:spacing w:before="260" w:after="260" w:line="415" w:lineRule="auto"/>
              <w:rPr>
                <w:rFonts w:ascii="宋体" w:hAnsi="宋体" w:cs="宋体"/>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6"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cantSplit/>
          <w:trHeight w:val="340" w:hRule="atLeast"/>
          <w:jc w:val="center"/>
        </w:trPr>
        <w:tc>
          <w:tcPr>
            <w:tcW w:w="1282" w:type="dxa"/>
            <w:vMerge w:val="continue"/>
            <w:tcBorders>
              <w:top w:val="single" w:color="auto" w:sz="6" w:space="0"/>
              <w:left w:val="single" w:color="auto" w:sz="12" w:space="0"/>
              <w:bottom w:val="single" w:color="auto" w:sz="12" w:space="0"/>
              <w:right w:val="single" w:color="auto" w:sz="6" w:space="0"/>
            </w:tcBorders>
            <w:noWrap w:val="0"/>
            <w:vAlign w:val="center"/>
          </w:tcPr>
          <w:p>
            <w:pPr>
              <w:pStyle w:val="9"/>
              <w:spacing w:before="260" w:after="260" w:line="415" w:lineRule="auto"/>
              <w:rPr>
                <w:rFonts w:ascii="宋体" w:hAnsi="宋体" w:cs="宋体"/>
              </w:rPr>
            </w:pPr>
          </w:p>
        </w:tc>
        <w:tc>
          <w:tcPr>
            <w:tcW w:w="5440" w:type="dxa"/>
            <w:gridSpan w:val="2"/>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rPr>
            </w:pPr>
            <w:r>
              <w:rPr>
                <w:rFonts w:hint="eastAsia" w:ascii="宋体" w:hAnsi="宋体" w:cs="宋体"/>
              </w:rPr>
              <w:t>合计</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1060" w:type="dxa"/>
            <w:tcBorders>
              <w:top w:val="single" w:color="auto" w:sz="6" w:space="0"/>
              <w:left w:val="single" w:color="auto" w:sz="6" w:space="0"/>
              <w:bottom w:val="single" w:color="auto" w:sz="12" w:space="0"/>
              <w:right w:val="single" w:color="auto" w:sz="6"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c>
          <w:tcPr>
            <w:tcW w:w="2100" w:type="dxa"/>
            <w:tcBorders>
              <w:top w:val="single" w:color="auto" w:sz="6" w:space="0"/>
              <w:left w:val="single" w:color="auto" w:sz="6" w:space="0"/>
              <w:bottom w:val="single" w:color="auto" w:sz="12" w:space="0"/>
              <w:right w:val="single" w:color="auto" w:sz="12" w:space="0"/>
            </w:tcBorders>
            <w:noWrap w:val="0"/>
            <w:vAlign w:val="center"/>
          </w:tcPr>
          <w:p>
            <w:pPr>
              <w:pStyle w:val="9"/>
              <w:spacing w:before="260" w:after="260" w:line="415" w:lineRule="auto"/>
              <w:jc w:val="right"/>
              <w:rPr>
                <w:rFonts w:ascii="宋体" w:hAnsi="宋体" w:cs="宋体"/>
              </w:rPr>
            </w:pPr>
            <w:r>
              <w:rPr>
                <w:rFonts w:hint="eastAsia" w:ascii="宋体" w:hAnsi="宋体" w:cs="宋体"/>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本表适用于跨地区经营汇总纳税的总机构填报。纳税人应根据税法、《财政部 国家税务总局 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额、总机构和分支机构应分摊的企业所得税额。对于仅在同一省（自治区、直辖市和计划单列市）内设立不具有法人资格分支机构的企业，根据本省（自治区、直辖市和计划单列市）汇总纳税分配办法在总机构和各分支机构分配企业所得税额的，填报本表。</w:t>
      </w:r>
    </w:p>
    <w:p>
      <w:pPr>
        <w:pStyle w:val="7"/>
        <w:ind w:firstLineChars="200"/>
        <w:rPr>
          <w:rFonts w:ascii="宋体" w:hAnsi="宋体"/>
          <w:color w:val="000000"/>
        </w:rPr>
      </w:pPr>
      <w:r>
        <w:rPr>
          <w:rFonts w:hint="eastAsia" w:ascii="宋体" w:hAnsi="宋体"/>
          <w:color w:val="000000"/>
        </w:rPr>
        <w:t>一、具体项目填报说明</w:t>
      </w:r>
    </w:p>
    <w:p>
      <w:pPr>
        <w:pStyle w:val="7"/>
        <w:ind w:firstLineChars="200"/>
        <w:rPr>
          <w:rFonts w:ascii="宋体" w:hAnsi="宋体"/>
          <w:color w:val="000000"/>
        </w:rPr>
      </w:pPr>
      <w:r>
        <w:rPr>
          <w:rFonts w:hint="eastAsia" w:ascii="宋体" w:hAnsi="宋体"/>
          <w:color w:val="000000"/>
        </w:rPr>
        <w:t>1.“税款所属时期”：填报公历1月1日至12月31日。</w:t>
      </w:r>
    </w:p>
    <w:p>
      <w:pPr>
        <w:pStyle w:val="7"/>
        <w:ind w:firstLineChars="200"/>
        <w:rPr>
          <w:rFonts w:ascii="宋体" w:hAnsi="宋体"/>
          <w:color w:val="000000"/>
        </w:rPr>
      </w:pPr>
      <w:r>
        <w:rPr>
          <w:rFonts w:hint="eastAsia" w:ascii="宋体" w:hAnsi="宋体"/>
          <w:color w:val="000000"/>
        </w:rPr>
        <w:t>2.“总机构名称”“分支机构名称”：填报营业执照、税务登记证等证件载明的纳税人名称。</w:t>
      </w:r>
    </w:p>
    <w:p>
      <w:pPr>
        <w:pStyle w:val="7"/>
        <w:ind w:firstLineChars="200"/>
        <w:rPr>
          <w:rFonts w:ascii="宋体" w:hAnsi="宋体"/>
          <w:color w:val="000000"/>
        </w:rPr>
      </w:pPr>
      <w:r>
        <w:rPr>
          <w:rFonts w:ascii="宋体" w:hAnsi="宋体"/>
          <w:color w:val="000000"/>
        </w:rPr>
        <w:t>3</w:t>
      </w:r>
      <w:r>
        <w:rPr>
          <w:rFonts w:hint="eastAsia" w:ascii="宋体" w:hAnsi="宋体"/>
          <w:color w:val="000000"/>
        </w:rPr>
        <w:t>.“总机构统一社会信用代码（纳税人识别号）”“分支机构统一社会信用代码（纳税人识别号）”：填报工商等部门核发的纳税人统一社会信用代码。未取得统一社会信用代码的，填报税务机关核发的纳税人识别号。</w:t>
      </w:r>
    </w:p>
    <w:p>
      <w:pPr>
        <w:pStyle w:val="7"/>
        <w:ind w:firstLineChars="200"/>
        <w:rPr>
          <w:rFonts w:ascii="宋体" w:hAnsi="宋体"/>
          <w:color w:val="000000"/>
        </w:rPr>
      </w:pPr>
      <w:r>
        <w:rPr>
          <w:rFonts w:ascii="宋体" w:hAnsi="宋体"/>
          <w:color w:val="000000"/>
        </w:rPr>
        <w:t>4</w:t>
      </w:r>
      <w:r>
        <w:rPr>
          <w:rFonts w:hint="eastAsia" w:ascii="宋体" w:hAnsi="宋体"/>
          <w:color w:val="000000"/>
        </w:rPr>
        <w:t>.“应纳所得税额”：填报企业汇总计算的、且不包括境外所得应纳所得税额的本年应补（退）的所得税额。数据来源于《跨地区经营汇总纳税企业年度分摊企业所得税明细表》（A109000）第11行“本年度应分摊的应补（退）所得税额”。</w:t>
      </w:r>
    </w:p>
    <w:p>
      <w:pPr>
        <w:pStyle w:val="7"/>
        <w:ind w:firstLineChars="200"/>
        <w:rPr>
          <w:rFonts w:ascii="宋体" w:hAnsi="宋体"/>
          <w:color w:val="000000"/>
        </w:rPr>
      </w:pPr>
      <w:r>
        <w:rPr>
          <w:rFonts w:ascii="宋体" w:hAnsi="宋体"/>
          <w:color w:val="000000"/>
        </w:rPr>
        <w:t>5</w:t>
      </w:r>
      <w:r>
        <w:rPr>
          <w:rFonts w:hint="eastAsia" w:ascii="宋体" w:hAnsi="宋体"/>
          <w:color w:val="000000"/>
        </w:rPr>
        <w:t>.“总机构分摊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7"/>
        <w:ind w:firstLineChars="200"/>
        <w:rPr>
          <w:rFonts w:ascii="宋体" w:hAnsi="宋体"/>
          <w:color w:val="000000"/>
        </w:rPr>
      </w:pPr>
      <w:r>
        <w:rPr>
          <w:rFonts w:ascii="宋体" w:hAnsi="宋体"/>
          <w:color w:val="000000"/>
        </w:rPr>
        <w:t>6</w:t>
      </w:r>
      <w:r>
        <w:rPr>
          <w:rFonts w:hint="eastAsia" w:ascii="宋体" w:hAnsi="宋体"/>
          <w:color w:val="000000"/>
        </w:rPr>
        <w:t>.“总机构财政集中分配所得税额”：对于跨省（自治区、直辖市、计划单列市）经营汇总纳税企业，填报企业本年应补（退）所得税额×25%后的金额；对于同一省（自治区、直辖市、计划单列市）内跨地区经营汇总纳税企业，填报企业本年应补（退）所得税额×规定比例后的金额。</w:t>
      </w:r>
    </w:p>
    <w:p>
      <w:pPr>
        <w:pStyle w:val="7"/>
        <w:ind w:firstLineChars="200"/>
        <w:rPr>
          <w:rFonts w:ascii="宋体" w:hAnsi="宋体"/>
          <w:color w:val="000000"/>
        </w:rPr>
      </w:pPr>
      <w:r>
        <w:rPr>
          <w:rFonts w:ascii="宋体" w:hAnsi="宋体"/>
          <w:color w:val="000000"/>
        </w:rPr>
        <w:t>7</w:t>
      </w:r>
      <w:r>
        <w:rPr>
          <w:rFonts w:hint="eastAsia" w:ascii="宋体" w:hAnsi="宋体"/>
          <w:color w:val="000000"/>
        </w:rPr>
        <w:t>.“分支机构分摊所得税额”：对于跨省（自治区、直辖市、计划单列市）经营汇总纳税企业，填报企业本年应补（退）的所得税额×50%后的金额；对于同一省（自治区、直辖市、计划单列市）内跨地区经营汇总纳税企业，填报企业本年应补（退）所得税额×规定比例后的金额。</w:t>
      </w:r>
    </w:p>
    <w:p>
      <w:pPr>
        <w:pStyle w:val="7"/>
        <w:ind w:firstLineChars="200"/>
        <w:rPr>
          <w:rFonts w:ascii="宋体" w:hAnsi="宋体"/>
          <w:color w:val="000000"/>
        </w:rPr>
      </w:pPr>
      <w:r>
        <w:rPr>
          <w:rFonts w:ascii="宋体" w:hAnsi="宋体"/>
          <w:color w:val="000000"/>
        </w:rPr>
        <w:t>8</w:t>
      </w:r>
      <w:r>
        <w:rPr>
          <w:rFonts w:hint="eastAsia" w:ascii="宋体" w:hAnsi="宋体"/>
          <w:color w:val="000000"/>
        </w:rPr>
        <w:t>.“营业收入”：填报上一年度各分支机构销售商品、提供劳务、让渡资产使用权等日常经营活动实现的全部收入的合计额。</w:t>
      </w:r>
    </w:p>
    <w:p>
      <w:pPr>
        <w:pStyle w:val="7"/>
        <w:ind w:firstLineChars="200"/>
        <w:rPr>
          <w:rFonts w:ascii="宋体" w:hAnsi="宋体"/>
          <w:color w:val="000000"/>
        </w:rPr>
      </w:pPr>
      <w:r>
        <w:rPr>
          <w:rFonts w:ascii="宋体" w:hAnsi="宋体"/>
          <w:color w:val="000000"/>
        </w:rPr>
        <w:t>9</w:t>
      </w:r>
      <w:r>
        <w:rPr>
          <w:rFonts w:hint="eastAsia" w:ascii="宋体" w:hAnsi="宋体"/>
          <w:color w:val="000000"/>
        </w:rPr>
        <w:t>.“职工薪酬”：填报上一年度各分支机构为获得职工提供的服务而给予各种形式的报酬以及其他相关支出的合计额。</w:t>
      </w:r>
    </w:p>
    <w:p>
      <w:pPr>
        <w:pStyle w:val="7"/>
        <w:ind w:firstLineChars="200"/>
        <w:rPr>
          <w:rFonts w:ascii="宋体" w:hAnsi="宋体"/>
          <w:color w:val="000000"/>
        </w:rPr>
      </w:pPr>
      <w:r>
        <w:rPr>
          <w:rFonts w:ascii="宋体" w:hAnsi="宋体"/>
          <w:color w:val="000000"/>
        </w:rPr>
        <w:t>10</w:t>
      </w:r>
      <w:r>
        <w:rPr>
          <w:rFonts w:hint="eastAsia" w:ascii="宋体" w:hAnsi="宋体"/>
          <w:color w:val="000000"/>
        </w:rPr>
        <w:t>.“资产总额”：填报上一年度各分支机构在经营活动中实际使用的应归属于该分支机构的资产合计额。</w:t>
      </w:r>
    </w:p>
    <w:p>
      <w:pPr>
        <w:pStyle w:val="7"/>
        <w:ind w:firstLineChars="200"/>
        <w:rPr>
          <w:rFonts w:ascii="宋体" w:hAnsi="宋体"/>
          <w:color w:val="000000"/>
        </w:rPr>
      </w:pPr>
      <w:r>
        <w:rPr>
          <w:rFonts w:hint="eastAsia" w:ascii="宋体" w:hAnsi="宋体"/>
          <w:color w:val="000000"/>
        </w:rPr>
        <w:t>1</w:t>
      </w:r>
      <w:r>
        <w:rPr>
          <w:rFonts w:ascii="宋体" w:hAnsi="宋体"/>
          <w:color w:val="000000"/>
        </w:rPr>
        <w:t>1</w:t>
      </w:r>
      <w:r>
        <w:rPr>
          <w:rFonts w:hint="eastAsia" w:ascii="宋体" w:hAnsi="宋体"/>
          <w:color w:val="000000"/>
        </w:rPr>
        <w:t>.“分配比例”：填报经总机构所在地主管税务机关审核确认的各分支机构分配比例，分配比例应保留小数点后十位。</w:t>
      </w:r>
    </w:p>
    <w:p>
      <w:pPr>
        <w:pStyle w:val="7"/>
        <w:ind w:firstLineChars="200"/>
        <w:rPr>
          <w:rFonts w:ascii="宋体" w:hAnsi="宋体"/>
          <w:color w:val="000000"/>
        </w:rPr>
      </w:pPr>
      <w:r>
        <w:rPr>
          <w:rFonts w:hint="eastAsia" w:ascii="宋体" w:hAnsi="宋体"/>
          <w:color w:val="000000"/>
        </w:rPr>
        <w:t>1</w:t>
      </w:r>
      <w:r>
        <w:rPr>
          <w:rFonts w:ascii="宋体" w:hAnsi="宋体"/>
          <w:color w:val="000000"/>
        </w:rPr>
        <w:t>2</w:t>
      </w:r>
      <w:r>
        <w:rPr>
          <w:rFonts w:hint="eastAsia" w:ascii="宋体" w:hAnsi="宋体"/>
          <w:color w:val="000000"/>
        </w:rPr>
        <w:t>.“分配所得税额”：填报分支机构按照分支机构分摊所得税额乘以相应的分配比例的金额。</w:t>
      </w:r>
    </w:p>
    <w:p>
      <w:pPr>
        <w:pStyle w:val="7"/>
        <w:ind w:firstLineChars="200"/>
        <w:rPr>
          <w:rFonts w:ascii="宋体" w:hAnsi="宋体"/>
          <w:color w:val="000000"/>
        </w:rPr>
      </w:pPr>
      <w:r>
        <w:rPr>
          <w:rFonts w:hint="eastAsia" w:ascii="宋体" w:hAnsi="宋体"/>
          <w:color w:val="000000"/>
        </w:rPr>
        <w:t>1</w:t>
      </w:r>
      <w:r>
        <w:rPr>
          <w:rFonts w:ascii="宋体" w:hAnsi="宋体"/>
          <w:color w:val="000000"/>
        </w:rPr>
        <w:t>3</w:t>
      </w:r>
      <w:r>
        <w:rPr>
          <w:rFonts w:hint="eastAsia" w:ascii="宋体" w:hAnsi="宋体"/>
          <w:color w:val="000000"/>
        </w:rPr>
        <w:t>.“合计”：填报上一年度各分支机构的营业收入总额、职工薪酬总额和资产总额三项因素的合计金额及本年各分支机构分配比例和分配税额的合计金额。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1.总机构分摊所得税额＝应纳所得税额×总机构分摊比例。</w:t>
      </w:r>
    </w:p>
    <w:p>
      <w:pPr>
        <w:pStyle w:val="7"/>
        <w:ind w:firstLineChars="200"/>
        <w:rPr>
          <w:rFonts w:ascii="宋体" w:hAnsi="宋体"/>
          <w:color w:val="000000"/>
        </w:rPr>
      </w:pPr>
      <w:r>
        <w:rPr>
          <w:rFonts w:hint="eastAsia" w:ascii="宋体" w:hAnsi="宋体"/>
          <w:color w:val="000000"/>
        </w:rPr>
        <w:t>2.总机构财政集中分配所得税额＝应纳所得税额×财政集中分配比例。</w:t>
      </w:r>
    </w:p>
    <w:p>
      <w:pPr>
        <w:pStyle w:val="7"/>
        <w:ind w:firstLineChars="200"/>
        <w:rPr>
          <w:rFonts w:ascii="宋体" w:hAnsi="宋体"/>
          <w:color w:val="000000"/>
        </w:rPr>
      </w:pPr>
      <w:r>
        <w:rPr>
          <w:rFonts w:hint="eastAsia" w:ascii="宋体" w:hAnsi="宋体"/>
          <w:color w:val="000000"/>
        </w:rPr>
        <w:t>3.分支机构分摊所得税额＝应纳所得税额×分支机构分摊比例。</w:t>
      </w:r>
    </w:p>
    <w:p>
      <w:pPr>
        <w:pStyle w:val="7"/>
        <w:ind w:firstLineChars="200"/>
        <w:rPr>
          <w:rFonts w:ascii="宋体" w:hAnsi="宋体"/>
          <w:color w:val="000000"/>
        </w:rPr>
      </w:pPr>
      <w:r>
        <w:rPr>
          <w:rFonts w:hint="eastAsia" w:ascii="宋体" w:hAnsi="宋体"/>
          <w:color w:val="000000"/>
        </w:rPr>
        <w:t>4.分支机构分配比例＝（该分支机构营业收入÷分支机构营业收入合计）×35%＋（该分支机构职工薪酬÷分支机构职工薪酬合计）×35%＋（该分支机构资产总额÷分支机构资产总额合计）×30%。</w:t>
      </w:r>
    </w:p>
    <w:p>
      <w:pPr>
        <w:pStyle w:val="7"/>
        <w:ind w:firstLineChars="200"/>
        <w:rPr>
          <w:rFonts w:ascii="宋体" w:hAnsi="宋体"/>
          <w:color w:val="000000"/>
        </w:rPr>
      </w:pPr>
      <w:r>
        <w:rPr>
          <w:rFonts w:hint="eastAsia" w:ascii="宋体" w:hAnsi="宋体"/>
          <w:color w:val="000000"/>
        </w:rPr>
        <w:t>5.分支机构分配所得税额＝分支机构分摊所得税额×该分支机构分配比例。</w:t>
      </w:r>
    </w:p>
    <w:p>
      <w:pPr>
        <w:pStyle w:val="7"/>
        <w:ind w:firstLineChars="200"/>
        <w:rPr>
          <w:rFonts w:ascii="宋体" w:hAnsi="宋体"/>
          <w:color w:val="000000"/>
        </w:rPr>
      </w:pPr>
      <w:r>
        <w:rPr>
          <w:rFonts w:hint="eastAsia" w:ascii="宋体" w:hAnsi="宋体"/>
          <w:color w:val="000000"/>
        </w:rPr>
        <w:t>（二）表间关系</w:t>
      </w:r>
    </w:p>
    <w:p>
      <w:pPr>
        <w:pStyle w:val="7"/>
        <w:rPr>
          <w:rFonts w:ascii="宋体" w:hAnsi="宋体"/>
          <w:color w:val="000000"/>
          <w:lang w:eastAsia="zh-CN"/>
        </w:rPr>
      </w:pPr>
      <w:r>
        <w:rPr>
          <w:rFonts w:hint="eastAsia" w:ascii="宋体" w:hAnsi="宋体"/>
          <w:color w:val="000000"/>
        </w:rPr>
        <w:t>应纳所得税额＝表A109000第11行</w:t>
      </w:r>
      <w:r>
        <w:rPr>
          <w:rFonts w:hint="eastAsia" w:ascii="宋体" w:hAnsi="宋体"/>
          <w:color w:val="000000"/>
          <w:lang w:eastAsia="zh-CN"/>
        </w:rPr>
        <w:t>。</w:t>
      </w:r>
    </w:p>
    <w:p>
      <w:r>
        <w:rPr>
          <w:rFonts w:ascii="宋体" w:hAnsi="宋体"/>
          <w:color w:val="000000"/>
          <w:lang w:eastAsia="zh-CN"/>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D4C78"/>
    <w:rsid w:val="07FD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2019-10-31T02:06:00Z</dcterms:created>
  <dc:creator>陈莉佳</dc:creator>
  <cp:lastModifiedBy>陈莉佳</cp:lastModifiedBy>
  <dcterms:modified xsi:type="dcterms:W3CDTF">2019-10-31T02:07:11Z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