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A06595</w:t>
      </w:r>
      <w:r>
        <w:rPr>
          <w:rFonts w:hint="eastAsia" w:ascii="宋体" w:hAnsi="宋体" w:eastAsia="宋体"/>
        </w:rPr>
        <w:t>《境外分支机构弥补亏损明细表》（</w:t>
      </w:r>
      <w:r>
        <w:rPr>
          <w:rFonts w:ascii="宋体" w:hAnsi="宋体" w:eastAsia="宋体"/>
        </w:rPr>
        <w:t>A108020</w:t>
      </w:r>
      <w:r>
        <w:rPr>
          <w:rFonts w:hint="eastAsia" w:ascii="宋体" w:hAnsi="宋体" w:eastAsia="宋体"/>
        </w:rPr>
        <w:t>）</w:t>
      </w:r>
    </w:p>
    <w:p>
      <w:pPr>
        <w:pStyle w:val="8"/>
        <w:ind w:firstLine="843"/>
        <w:rPr>
          <w:rStyle w:val="9"/>
          <w:bCs w:val="0"/>
          <w:color w:val="000000"/>
        </w:rPr>
      </w:pPr>
      <w:bookmarkStart w:id="0" w:name="_GoBack"/>
      <w:bookmarkEnd w:id="0"/>
      <w:r>
        <w:rPr>
          <w:rFonts w:ascii="宋体" w:hAnsi="宋体" w:cs="宋体"/>
          <w:b/>
          <w:bCs/>
          <w:color w:val="000000"/>
          <w:sz w:val="28"/>
          <w:szCs w:val="28"/>
        </w:rPr>
        <w:t>A108020</w:t>
      </w:r>
      <w:r>
        <w:rPr>
          <w:rFonts w:ascii="宋体" w:hAnsi="宋体" w:cs="宋体"/>
          <w:b/>
          <w:bCs/>
          <w:color w:val="000000"/>
          <w:sz w:val="28"/>
          <w:szCs w:val="28"/>
        </w:rPr>
        <w:tab/>
      </w:r>
      <w:r>
        <w:rPr>
          <w:rFonts w:ascii="宋体" w:hAnsi="宋体" w:cs="宋体"/>
          <w:b/>
          <w:bCs/>
          <w:color w:val="000000"/>
          <w:sz w:val="28"/>
          <w:szCs w:val="28"/>
        </w:rPr>
        <w:t xml:space="preserve">   </w:t>
      </w:r>
      <w:r>
        <w:rPr>
          <w:color w:val="000000"/>
        </w:rPr>
        <w:t xml:space="preserve">                            </w:t>
      </w:r>
      <w:r>
        <w:rPr>
          <w:rFonts w:hint="eastAsia" w:ascii="宋体" w:hAnsi="宋体" w:cs="宋体"/>
          <w:b/>
          <w:bCs/>
          <w:color w:val="000000"/>
          <w:sz w:val="28"/>
          <w:szCs w:val="28"/>
        </w:rPr>
        <w:t>境外分支机构弥补亏损明细表</w:t>
      </w:r>
    </w:p>
    <w:tbl>
      <w:tblPr>
        <w:tblStyle w:val="2"/>
        <w:tblW w:w="12579" w:type="dxa"/>
        <w:jc w:val="center"/>
        <w:tblInd w:w="0" w:type="dxa"/>
        <w:tblLayout w:type="fixed"/>
        <w:tblCellMar>
          <w:top w:w="0" w:type="dxa"/>
          <w:left w:w="108" w:type="dxa"/>
          <w:bottom w:w="0" w:type="dxa"/>
          <w:right w:w="108" w:type="dxa"/>
        </w:tblCellMar>
      </w:tblPr>
      <w:tblGrid>
        <w:gridCol w:w="552"/>
        <w:gridCol w:w="720"/>
        <w:gridCol w:w="1158"/>
        <w:gridCol w:w="1134"/>
        <w:gridCol w:w="1276"/>
        <w:gridCol w:w="1417"/>
        <w:gridCol w:w="1701"/>
        <w:gridCol w:w="1559"/>
        <w:gridCol w:w="1560"/>
        <w:gridCol w:w="1502"/>
      </w:tblGrid>
      <w:tr>
        <w:tblPrEx>
          <w:tblLayout w:type="fixed"/>
          <w:tblCellMar>
            <w:top w:w="0" w:type="dxa"/>
            <w:left w:w="108" w:type="dxa"/>
            <w:bottom w:w="0" w:type="dxa"/>
            <w:right w:w="108" w:type="dxa"/>
          </w:tblCellMar>
        </w:tblPrEx>
        <w:trPr>
          <w:trHeight w:val="1400" w:hRule="atLeast"/>
          <w:jc w:val="center"/>
        </w:trPr>
        <w:tc>
          <w:tcPr>
            <w:tcW w:w="552" w:type="dxa"/>
            <w:vMerge w:val="restart"/>
            <w:tcBorders>
              <w:top w:val="single" w:color="auto" w:sz="12" w:space="0"/>
              <w:left w:val="single" w:color="auto" w:sz="12" w:space="0"/>
              <w:right w:val="single" w:color="auto" w:sz="6" w:space="0"/>
            </w:tcBorders>
            <w:noWrap w:val="0"/>
            <w:vAlign w:val="center"/>
          </w:tcPr>
          <w:p>
            <w:pPr>
              <w:pStyle w:val="10"/>
              <w:widowControl w:val="0"/>
              <w:autoSpaceDE w:val="0"/>
              <w:autoSpaceDN w:val="0"/>
              <w:adjustRightInd w:val="0"/>
              <w:spacing w:before="260" w:after="260" w:line="415" w:lineRule="auto"/>
              <w:jc w:val="center"/>
              <w:rPr>
                <w:rFonts w:ascii="宋体" w:cs="宋体"/>
                <w:color w:val="000000"/>
              </w:rPr>
            </w:pPr>
            <w:r>
              <w:rPr>
                <w:rFonts w:hint="eastAsia" w:ascii="宋体" w:cs="宋体"/>
                <w:color w:val="000000"/>
              </w:rPr>
              <w:t>行次</w:t>
            </w:r>
          </w:p>
        </w:tc>
        <w:tc>
          <w:tcPr>
            <w:tcW w:w="720" w:type="dxa"/>
            <w:vMerge w:val="restart"/>
            <w:tcBorders>
              <w:top w:val="single" w:color="auto" w:sz="12" w:space="0"/>
              <w:left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国家</w:t>
            </w:r>
          </w:p>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(地区)</w:t>
            </w:r>
          </w:p>
        </w:tc>
        <w:tc>
          <w:tcPr>
            <w:tcW w:w="4985" w:type="dxa"/>
            <w:gridSpan w:val="4"/>
            <w:tcBorders>
              <w:top w:val="single" w:color="auto" w:sz="12" w:space="0"/>
              <w:left w:val="single" w:color="auto" w:sz="6" w:space="0"/>
              <w:bottom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非实际亏损额的弥补</w:t>
            </w:r>
          </w:p>
        </w:tc>
        <w:tc>
          <w:tcPr>
            <w:tcW w:w="6322" w:type="dxa"/>
            <w:gridSpan w:val="4"/>
            <w:tcBorders>
              <w:top w:val="single" w:color="auto" w:sz="12" w:space="0"/>
              <w:left w:val="single" w:color="auto" w:sz="6" w:space="0"/>
              <w:bottom w:val="single" w:color="auto" w:sz="6" w:space="0"/>
              <w:right w:val="single" w:color="auto" w:sz="12"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实际亏损额的弥补</w:t>
            </w:r>
          </w:p>
        </w:tc>
      </w:tr>
      <w:tr>
        <w:tblPrEx>
          <w:tblLayout w:type="fixed"/>
          <w:tblCellMar>
            <w:top w:w="0" w:type="dxa"/>
            <w:left w:w="108" w:type="dxa"/>
            <w:bottom w:w="0" w:type="dxa"/>
            <w:right w:w="108" w:type="dxa"/>
          </w:tblCellMar>
        </w:tblPrEx>
        <w:trPr>
          <w:trHeight w:val="1403" w:hRule="atLeast"/>
          <w:jc w:val="center"/>
        </w:trPr>
        <w:tc>
          <w:tcPr>
            <w:tcW w:w="552" w:type="dxa"/>
            <w:vMerge w:val="continue"/>
            <w:tcBorders>
              <w:left w:val="single" w:color="auto" w:sz="12" w:space="0"/>
              <w:right w:val="single" w:color="auto" w:sz="6" w:space="0"/>
            </w:tcBorders>
            <w:noWrap w:val="0"/>
            <w:vAlign w:val="center"/>
          </w:tcPr>
          <w:p>
            <w:pPr>
              <w:pStyle w:val="10"/>
              <w:widowControl w:val="0"/>
              <w:autoSpaceDE w:val="0"/>
              <w:autoSpaceDN w:val="0"/>
              <w:adjustRightInd w:val="0"/>
              <w:spacing w:before="260" w:after="260" w:line="415" w:lineRule="auto"/>
              <w:jc w:val="center"/>
              <w:rPr>
                <w:rFonts w:ascii="宋体" w:cs="宋体"/>
                <w:color w:val="000000"/>
              </w:rPr>
            </w:pPr>
          </w:p>
        </w:tc>
        <w:tc>
          <w:tcPr>
            <w:tcW w:w="720" w:type="dxa"/>
            <w:vMerge w:val="continue"/>
            <w:tcBorders>
              <w:left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p>
        </w:tc>
        <w:tc>
          <w:tcPr>
            <w:tcW w:w="1158" w:type="dxa"/>
            <w:tcBorders>
              <w:top w:val="single" w:color="auto" w:sz="6" w:space="0"/>
              <w:left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以前年度结转尚未弥补的非实际亏损额</w:t>
            </w:r>
          </w:p>
        </w:tc>
        <w:tc>
          <w:tcPr>
            <w:tcW w:w="1134" w:type="dxa"/>
            <w:tcBorders>
              <w:top w:val="single" w:color="auto" w:sz="6" w:space="0"/>
              <w:left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本年发生的非实际亏损额</w:t>
            </w:r>
          </w:p>
        </w:tc>
        <w:tc>
          <w:tcPr>
            <w:tcW w:w="1276" w:type="dxa"/>
            <w:tcBorders>
              <w:top w:val="single" w:color="auto" w:sz="6" w:space="0"/>
              <w:left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本年弥补的以前年度非实际亏损额</w:t>
            </w:r>
          </w:p>
        </w:tc>
        <w:tc>
          <w:tcPr>
            <w:tcW w:w="1417" w:type="dxa"/>
            <w:tcBorders>
              <w:top w:val="single" w:color="auto" w:sz="6" w:space="0"/>
              <w:left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结转以后年度弥补的非实际亏损额</w:t>
            </w:r>
          </w:p>
        </w:tc>
        <w:tc>
          <w:tcPr>
            <w:tcW w:w="1701" w:type="dxa"/>
            <w:tcBorders>
              <w:top w:val="single" w:color="auto" w:sz="6" w:space="0"/>
              <w:left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p>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以前年度结转尚未弥补的实际亏损额</w:t>
            </w:r>
          </w:p>
          <w:p>
            <w:pPr>
              <w:pStyle w:val="10"/>
              <w:widowControl w:val="0"/>
              <w:autoSpaceDE w:val="0"/>
              <w:autoSpaceDN w:val="0"/>
              <w:adjustRightInd w:val="0"/>
              <w:spacing w:before="260" w:after="260" w:line="415" w:lineRule="auto"/>
              <w:ind w:left="-105" w:right="-105"/>
              <w:jc w:val="center"/>
              <w:rPr>
                <w:rFonts w:ascii="宋体" w:cs="宋体"/>
                <w:color w:val="000000"/>
              </w:rPr>
            </w:pPr>
          </w:p>
        </w:tc>
        <w:tc>
          <w:tcPr>
            <w:tcW w:w="1559" w:type="dxa"/>
            <w:tcBorders>
              <w:top w:val="single" w:color="auto" w:sz="6" w:space="0"/>
              <w:left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本年发生的实际亏损额</w:t>
            </w:r>
          </w:p>
        </w:tc>
        <w:tc>
          <w:tcPr>
            <w:tcW w:w="1560" w:type="dxa"/>
            <w:tcBorders>
              <w:top w:val="single" w:color="auto" w:sz="6" w:space="0"/>
              <w:left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本年弥补的以前年度实际亏损额</w:t>
            </w:r>
          </w:p>
        </w:tc>
        <w:tc>
          <w:tcPr>
            <w:tcW w:w="1502" w:type="dxa"/>
            <w:tcBorders>
              <w:top w:val="single" w:color="auto" w:sz="6" w:space="0"/>
              <w:left w:val="single" w:color="auto" w:sz="6" w:space="0"/>
              <w:right w:val="single" w:color="auto" w:sz="12"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p>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结转以后年度弥补的实际亏损额</w:t>
            </w:r>
          </w:p>
          <w:p>
            <w:pPr>
              <w:pStyle w:val="10"/>
              <w:widowControl w:val="0"/>
              <w:autoSpaceDE w:val="0"/>
              <w:autoSpaceDN w:val="0"/>
              <w:adjustRightInd w:val="0"/>
              <w:spacing w:before="260" w:after="260" w:line="415" w:lineRule="auto"/>
              <w:ind w:left="-105" w:right="-105"/>
              <w:jc w:val="center"/>
              <w:rPr>
                <w:rFonts w:ascii="宋体" w:cs="宋体"/>
                <w:color w:val="000000"/>
              </w:rPr>
            </w:pPr>
          </w:p>
        </w:tc>
      </w:tr>
      <w:tr>
        <w:tblPrEx>
          <w:tblLayout w:type="fixed"/>
          <w:tblCellMar>
            <w:top w:w="0" w:type="dxa"/>
            <w:left w:w="108" w:type="dxa"/>
            <w:bottom w:w="0" w:type="dxa"/>
            <w:right w:w="108" w:type="dxa"/>
          </w:tblCellMar>
        </w:tblPrEx>
        <w:trPr>
          <w:trHeight w:val="677" w:hRule="atLeast"/>
          <w:jc w:val="center"/>
        </w:trPr>
        <w:tc>
          <w:tcPr>
            <w:tcW w:w="552" w:type="dxa"/>
            <w:vMerge w:val="continue"/>
            <w:tcBorders>
              <w:left w:val="single" w:color="auto" w:sz="12" w:space="0"/>
              <w:bottom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jc w:val="center"/>
              <w:rPr>
                <w:rFonts w:ascii="宋体" w:cs="宋体"/>
                <w:color w:val="000000"/>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ascii="宋体" w:cs="宋体"/>
                <w:color w:val="000000"/>
              </w:rPr>
              <w:t>1</w:t>
            </w:r>
          </w:p>
        </w:tc>
        <w:tc>
          <w:tcPr>
            <w:tcW w:w="1158" w:type="dxa"/>
            <w:tcBorders>
              <w:top w:val="single" w:color="auto" w:sz="6" w:space="0"/>
              <w:left w:val="single" w:color="auto" w:sz="6" w:space="0"/>
              <w:bottom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ascii="宋体" w:cs="宋体"/>
                <w:color w:val="000000"/>
              </w:rPr>
              <w:t>2</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ascii="宋体" w:cs="宋体"/>
                <w:color w:val="000000"/>
              </w:rPr>
              <w:t>3</w:t>
            </w: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ascii="宋体" w:cs="宋体"/>
                <w:color w:val="000000"/>
              </w:rPr>
              <w:t>4</w:t>
            </w:r>
          </w:p>
        </w:tc>
        <w:tc>
          <w:tcPr>
            <w:tcW w:w="1417" w:type="dxa"/>
            <w:tcBorders>
              <w:top w:val="single" w:color="auto" w:sz="6" w:space="0"/>
              <w:left w:val="single" w:color="auto" w:sz="6" w:space="0"/>
              <w:bottom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ascii="宋体" w:cs="宋体"/>
                <w:color w:val="000000"/>
              </w:rPr>
              <w:t>5</w:t>
            </w:r>
            <w:r>
              <w:rPr>
                <w:rFonts w:hint="eastAsia" w:ascii="宋体" w:cs="宋体"/>
                <w:color w:val="000000"/>
              </w:rPr>
              <w:t>(</w:t>
            </w:r>
            <w:r>
              <w:rPr>
                <w:rFonts w:ascii="宋体" w:cs="宋体"/>
                <w:color w:val="000000"/>
              </w:rPr>
              <w:t>2+3-4</w:t>
            </w:r>
            <w:r>
              <w:rPr>
                <w:rFonts w:hint="eastAsia" w:ascii="宋体" w:cs="宋体"/>
                <w:color w:val="000000"/>
              </w:rPr>
              <w:t>)</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6</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7</w:t>
            </w:r>
          </w:p>
        </w:tc>
        <w:tc>
          <w:tcPr>
            <w:tcW w:w="1560" w:type="dxa"/>
            <w:tcBorders>
              <w:top w:val="single" w:color="auto" w:sz="6" w:space="0"/>
              <w:left w:val="single" w:color="auto" w:sz="6" w:space="0"/>
              <w:bottom w:val="single" w:color="auto" w:sz="6" w:space="0"/>
              <w:right w:val="single" w:color="auto" w:sz="6"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hint="eastAsia" w:ascii="宋体" w:cs="宋体"/>
                <w:color w:val="000000"/>
              </w:rPr>
              <w:t>8</w:t>
            </w:r>
          </w:p>
        </w:tc>
        <w:tc>
          <w:tcPr>
            <w:tcW w:w="1502" w:type="dxa"/>
            <w:tcBorders>
              <w:top w:val="single" w:color="auto" w:sz="6" w:space="0"/>
              <w:left w:val="single" w:color="auto" w:sz="6" w:space="0"/>
              <w:bottom w:val="single" w:color="auto" w:sz="6" w:space="0"/>
              <w:right w:val="single" w:color="auto" w:sz="12" w:space="0"/>
            </w:tcBorders>
            <w:noWrap w:val="0"/>
            <w:vAlign w:val="center"/>
          </w:tcPr>
          <w:p>
            <w:pPr>
              <w:pStyle w:val="10"/>
              <w:widowControl w:val="0"/>
              <w:autoSpaceDE w:val="0"/>
              <w:autoSpaceDN w:val="0"/>
              <w:adjustRightInd w:val="0"/>
              <w:spacing w:before="260" w:after="260" w:line="415" w:lineRule="auto"/>
              <w:ind w:left="-105" w:right="-105"/>
              <w:jc w:val="center"/>
              <w:rPr>
                <w:rFonts w:ascii="宋体" w:cs="宋体"/>
                <w:color w:val="000000"/>
              </w:rPr>
            </w:pPr>
            <w:r>
              <w:rPr>
                <w:rFonts w:ascii="宋体" w:cs="宋体"/>
                <w:color w:val="000000"/>
              </w:rPr>
              <w:t>9</w:t>
            </w:r>
          </w:p>
        </w:tc>
      </w:tr>
      <w:tr>
        <w:tblPrEx>
          <w:tblLayout w:type="fixed"/>
          <w:tblCellMar>
            <w:top w:w="0" w:type="dxa"/>
            <w:left w:w="108" w:type="dxa"/>
            <w:bottom w:w="0" w:type="dxa"/>
            <w:right w:w="108" w:type="dxa"/>
          </w:tblCellMar>
        </w:tblPrEx>
        <w:trPr>
          <w:trHeight w:val="293"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ascii="宋体" w:cs="宋体"/>
                <w:color w:val="000000"/>
              </w:rPr>
              <w:t>1</w:t>
            </w: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58"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701"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02" w:type="dxa"/>
            <w:tcBorders>
              <w:top w:val="single" w:color="auto" w:sz="6" w:space="0"/>
              <w:left w:val="single" w:color="auto" w:sz="6" w:space="0"/>
              <w:bottom w:val="single" w:color="auto" w:sz="6" w:space="0"/>
              <w:right w:val="single" w:color="auto" w:sz="12"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r>
      <w:tr>
        <w:tblPrEx>
          <w:tblLayout w:type="fixed"/>
          <w:tblCellMar>
            <w:top w:w="0" w:type="dxa"/>
            <w:left w:w="108" w:type="dxa"/>
            <w:bottom w:w="0" w:type="dxa"/>
            <w:right w:w="108" w:type="dxa"/>
          </w:tblCellMar>
        </w:tblPrEx>
        <w:trPr>
          <w:trHeight w:val="293"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ascii="宋体" w:cs="宋体"/>
                <w:color w:val="000000"/>
              </w:rPr>
              <w:t>2</w:t>
            </w: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58"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701"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02" w:type="dxa"/>
            <w:tcBorders>
              <w:top w:val="single" w:color="auto" w:sz="6" w:space="0"/>
              <w:left w:val="single" w:color="auto" w:sz="6" w:space="0"/>
              <w:bottom w:val="single" w:color="auto" w:sz="6" w:space="0"/>
              <w:right w:val="single" w:color="auto" w:sz="12"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r>
      <w:tr>
        <w:tblPrEx>
          <w:tblLayout w:type="fixed"/>
          <w:tblCellMar>
            <w:top w:w="0" w:type="dxa"/>
            <w:left w:w="108" w:type="dxa"/>
            <w:bottom w:w="0" w:type="dxa"/>
            <w:right w:w="108" w:type="dxa"/>
          </w:tblCellMar>
        </w:tblPrEx>
        <w:trPr>
          <w:trHeight w:val="293"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ascii="宋体" w:cs="宋体"/>
                <w:color w:val="000000"/>
              </w:rPr>
              <w:t>3</w:t>
            </w: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58"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701"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02" w:type="dxa"/>
            <w:tcBorders>
              <w:top w:val="single" w:color="auto" w:sz="6" w:space="0"/>
              <w:left w:val="single" w:color="auto" w:sz="6" w:space="0"/>
              <w:bottom w:val="single" w:color="auto" w:sz="6" w:space="0"/>
              <w:right w:val="single" w:color="auto" w:sz="12"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r>
      <w:tr>
        <w:tblPrEx>
          <w:tblLayout w:type="fixed"/>
          <w:tblCellMar>
            <w:top w:w="0" w:type="dxa"/>
            <w:left w:w="108" w:type="dxa"/>
            <w:bottom w:w="0" w:type="dxa"/>
            <w:right w:w="108" w:type="dxa"/>
          </w:tblCellMar>
        </w:tblPrEx>
        <w:trPr>
          <w:trHeight w:val="293"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ascii="宋体" w:cs="宋体"/>
                <w:color w:val="000000"/>
              </w:rPr>
              <w:t>4</w:t>
            </w: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58"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701"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02" w:type="dxa"/>
            <w:tcBorders>
              <w:top w:val="single" w:color="auto" w:sz="6" w:space="0"/>
              <w:left w:val="single" w:color="auto" w:sz="6" w:space="0"/>
              <w:bottom w:val="single" w:color="auto" w:sz="6" w:space="0"/>
              <w:right w:val="single" w:color="auto" w:sz="12"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r>
      <w:tr>
        <w:tblPrEx>
          <w:tblLayout w:type="fixed"/>
          <w:tblCellMar>
            <w:top w:w="0" w:type="dxa"/>
            <w:left w:w="108" w:type="dxa"/>
            <w:bottom w:w="0" w:type="dxa"/>
            <w:right w:w="108" w:type="dxa"/>
          </w:tblCellMar>
        </w:tblPrEx>
        <w:trPr>
          <w:trHeight w:val="293"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ascii="宋体" w:cs="宋体"/>
                <w:color w:val="000000"/>
              </w:rPr>
              <w:t>5</w:t>
            </w: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58"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701"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02" w:type="dxa"/>
            <w:tcBorders>
              <w:top w:val="single" w:color="auto" w:sz="6" w:space="0"/>
              <w:left w:val="single" w:color="auto" w:sz="6" w:space="0"/>
              <w:bottom w:val="single" w:color="auto" w:sz="6" w:space="0"/>
              <w:right w:val="single" w:color="auto" w:sz="12"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r>
      <w:tr>
        <w:tblPrEx>
          <w:tblLayout w:type="fixed"/>
          <w:tblCellMar>
            <w:top w:w="0" w:type="dxa"/>
            <w:left w:w="108" w:type="dxa"/>
            <w:bottom w:w="0" w:type="dxa"/>
            <w:right w:w="108" w:type="dxa"/>
          </w:tblCellMar>
        </w:tblPrEx>
        <w:trPr>
          <w:trHeight w:val="293"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ascii="宋体" w:cs="宋体"/>
                <w:color w:val="000000"/>
              </w:rPr>
              <w:t>6</w:t>
            </w: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58"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701"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02" w:type="dxa"/>
            <w:tcBorders>
              <w:top w:val="single" w:color="auto" w:sz="6" w:space="0"/>
              <w:left w:val="single" w:color="auto" w:sz="6" w:space="0"/>
              <w:bottom w:val="single" w:color="auto" w:sz="6" w:space="0"/>
              <w:right w:val="single" w:color="auto" w:sz="12"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r>
      <w:tr>
        <w:tblPrEx>
          <w:tblLayout w:type="fixed"/>
          <w:tblCellMar>
            <w:top w:w="0" w:type="dxa"/>
            <w:left w:w="108" w:type="dxa"/>
            <w:bottom w:w="0" w:type="dxa"/>
            <w:right w:w="108" w:type="dxa"/>
          </w:tblCellMar>
        </w:tblPrEx>
        <w:trPr>
          <w:trHeight w:val="293"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ascii="宋体" w:cs="宋体"/>
                <w:color w:val="000000"/>
              </w:rPr>
              <w:t>7</w:t>
            </w: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58"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701"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02" w:type="dxa"/>
            <w:tcBorders>
              <w:top w:val="single" w:color="auto" w:sz="6" w:space="0"/>
              <w:left w:val="single" w:color="auto" w:sz="6" w:space="0"/>
              <w:bottom w:val="single" w:color="auto" w:sz="6" w:space="0"/>
              <w:right w:val="single" w:color="auto" w:sz="12"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r>
      <w:tr>
        <w:tblPrEx>
          <w:tblLayout w:type="fixed"/>
          <w:tblCellMar>
            <w:top w:w="0" w:type="dxa"/>
            <w:left w:w="108" w:type="dxa"/>
            <w:bottom w:w="0" w:type="dxa"/>
            <w:right w:w="108" w:type="dxa"/>
          </w:tblCellMar>
        </w:tblPrEx>
        <w:trPr>
          <w:trHeight w:val="293"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ascii="宋体" w:cs="宋体"/>
                <w:color w:val="000000"/>
              </w:rPr>
              <w:t>8</w:t>
            </w: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58"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701"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02" w:type="dxa"/>
            <w:tcBorders>
              <w:top w:val="single" w:color="auto" w:sz="6" w:space="0"/>
              <w:left w:val="single" w:color="auto" w:sz="6" w:space="0"/>
              <w:bottom w:val="single" w:color="auto" w:sz="6" w:space="0"/>
              <w:right w:val="single" w:color="auto" w:sz="12"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r>
      <w:tr>
        <w:tblPrEx>
          <w:tblLayout w:type="fixed"/>
          <w:tblCellMar>
            <w:top w:w="0" w:type="dxa"/>
            <w:left w:w="108" w:type="dxa"/>
            <w:bottom w:w="0" w:type="dxa"/>
            <w:right w:w="108" w:type="dxa"/>
          </w:tblCellMar>
        </w:tblPrEx>
        <w:trPr>
          <w:trHeight w:val="293" w:hRule="atLeast"/>
          <w:jc w:val="center"/>
        </w:trPr>
        <w:tc>
          <w:tcPr>
            <w:tcW w:w="552" w:type="dxa"/>
            <w:tcBorders>
              <w:top w:val="single" w:color="auto" w:sz="6" w:space="0"/>
              <w:left w:val="single" w:color="auto" w:sz="12"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ascii="宋体" w:cs="宋体"/>
                <w:color w:val="000000"/>
              </w:rPr>
              <w:t>9</w:t>
            </w:r>
          </w:p>
        </w:tc>
        <w:tc>
          <w:tcPr>
            <w:tcW w:w="72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58"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701"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02" w:type="dxa"/>
            <w:tcBorders>
              <w:top w:val="single" w:color="auto" w:sz="6" w:space="0"/>
              <w:left w:val="single" w:color="auto" w:sz="6" w:space="0"/>
              <w:bottom w:val="single" w:color="auto" w:sz="6" w:space="0"/>
              <w:right w:val="single" w:color="auto" w:sz="12"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r>
      <w:tr>
        <w:tblPrEx>
          <w:tblLayout w:type="fixed"/>
          <w:tblCellMar>
            <w:top w:w="0" w:type="dxa"/>
            <w:left w:w="108" w:type="dxa"/>
            <w:bottom w:w="0" w:type="dxa"/>
            <w:right w:w="108" w:type="dxa"/>
          </w:tblCellMar>
        </w:tblPrEx>
        <w:trPr>
          <w:trHeight w:val="293" w:hRule="atLeast"/>
          <w:jc w:val="center"/>
        </w:trPr>
        <w:tc>
          <w:tcPr>
            <w:tcW w:w="552" w:type="dxa"/>
            <w:tcBorders>
              <w:top w:val="single" w:color="auto" w:sz="6" w:space="0"/>
              <w:left w:val="single" w:color="auto" w:sz="12" w:space="0"/>
              <w:bottom w:val="single" w:color="auto" w:sz="12"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ascii="宋体" w:cs="宋体"/>
                <w:color w:val="000000"/>
              </w:rPr>
              <w:t>10</w:t>
            </w:r>
          </w:p>
        </w:tc>
        <w:tc>
          <w:tcPr>
            <w:tcW w:w="720" w:type="dxa"/>
            <w:tcBorders>
              <w:top w:val="single" w:color="auto" w:sz="6" w:space="0"/>
              <w:left w:val="single" w:color="auto" w:sz="6" w:space="0"/>
              <w:bottom w:val="single" w:color="auto" w:sz="12" w:space="0"/>
              <w:right w:val="single" w:color="auto" w:sz="6" w:space="0"/>
            </w:tcBorders>
            <w:noWrap w:val="0"/>
            <w:vAlign w:val="top"/>
          </w:tcPr>
          <w:p>
            <w:pPr>
              <w:pStyle w:val="10"/>
              <w:widowControl w:val="0"/>
              <w:autoSpaceDE w:val="0"/>
              <w:autoSpaceDN w:val="0"/>
              <w:adjustRightInd w:val="0"/>
              <w:spacing w:before="260" w:after="260" w:line="415" w:lineRule="auto"/>
              <w:jc w:val="center"/>
              <w:rPr>
                <w:rFonts w:ascii="宋体" w:cs="宋体"/>
                <w:color w:val="000000"/>
              </w:rPr>
            </w:pPr>
            <w:r>
              <w:rPr>
                <w:rFonts w:hint="eastAsia" w:ascii="宋体" w:cs="宋体"/>
                <w:color w:val="000000"/>
              </w:rPr>
              <w:t>合计</w:t>
            </w:r>
          </w:p>
        </w:tc>
        <w:tc>
          <w:tcPr>
            <w:tcW w:w="1158" w:type="dxa"/>
            <w:tcBorders>
              <w:top w:val="single" w:color="auto" w:sz="6" w:space="0"/>
              <w:left w:val="single" w:color="auto" w:sz="6" w:space="0"/>
              <w:bottom w:val="single" w:color="auto" w:sz="12"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134" w:type="dxa"/>
            <w:tcBorders>
              <w:top w:val="single" w:color="auto" w:sz="6" w:space="0"/>
              <w:left w:val="single" w:color="auto" w:sz="6" w:space="0"/>
              <w:bottom w:val="single" w:color="auto" w:sz="12"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276" w:type="dxa"/>
            <w:tcBorders>
              <w:top w:val="single" w:color="auto" w:sz="6" w:space="0"/>
              <w:left w:val="single" w:color="auto" w:sz="6" w:space="0"/>
              <w:bottom w:val="single" w:color="auto" w:sz="12"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417" w:type="dxa"/>
            <w:tcBorders>
              <w:top w:val="single" w:color="auto" w:sz="6" w:space="0"/>
              <w:left w:val="single" w:color="auto" w:sz="6" w:space="0"/>
              <w:bottom w:val="single" w:color="auto" w:sz="12"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701" w:type="dxa"/>
            <w:tcBorders>
              <w:top w:val="single" w:color="auto" w:sz="6" w:space="0"/>
              <w:left w:val="single" w:color="auto" w:sz="6" w:space="0"/>
              <w:bottom w:val="single" w:color="auto" w:sz="12"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59" w:type="dxa"/>
            <w:tcBorders>
              <w:top w:val="single" w:color="auto" w:sz="6" w:space="0"/>
              <w:left w:val="single" w:color="auto" w:sz="6" w:space="0"/>
              <w:bottom w:val="single" w:color="auto" w:sz="12"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60" w:type="dxa"/>
            <w:tcBorders>
              <w:top w:val="single" w:color="auto" w:sz="6" w:space="0"/>
              <w:left w:val="single" w:color="auto" w:sz="6" w:space="0"/>
              <w:bottom w:val="single" w:color="auto" w:sz="12" w:space="0"/>
              <w:right w:val="single" w:color="auto" w:sz="6"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c>
          <w:tcPr>
            <w:tcW w:w="1502" w:type="dxa"/>
            <w:tcBorders>
              <w:top w:val="single" w:color="auto" w:sz="6" w:space="0"/>
              <w:left w:val="single" w:color="auto" w:sz="6" w:space="0"/>
              <w:bottom w:val="single" w:color="auto" w:sz="12" w:space="0"/>
              <w:right w:val="single" w:color="auto" w:sz="12" w:space="0"/>
            </w:tcBorders>
            <w:noWrap w:val="0"/>
            <w:vAlign w:val="top"/>
          </w:tcPr>
          <w:p>
            <w:pPr>
              <w:pStyle w:val="10"/>
              <w:widowControl w:val="0"/>
              <w:autoSpaceDE w:val="0"/>
              <w:autoSpaceDN w:val="0"/>
              <w:adjustRightInd w:val="0"/>
              <w:spacing w:before="260" w:after="260" w:line="415" w:lineRule="auto"/>
              <w:jc w:val="right"/>
              <w:rPr>
                <w:rFonts w:ascii="宋体" w:cs="宋体"/>
                <w:color w:val="000000"/>
              </w:rPr>
            </w:pPr>
          </w:p>
        </w:tc>
      </w:tr>
    </w:tbl>
    <w:p>
      <w:pPr>
        <w:pStyle w:val="5"/>
        <w:ind w:firstLine="482" w:firstLineChars="200"/>
        <w:rPr>
          <w:rFonts w:ascii="宋体" w:hAnsi="宋体" w:eastAsia="宋体"/>
        </w:rPr>
      </w:pPr>
      <w:r>
        <w:rPr>
          <w:rFonts w:hint="eastAsia" w:ascii="宋体" w:hAnsi="宋体" w:eastAsia="宋体"/>
        </w:rPr>
        <w:t>【表单说明】</w:t>
      </w:r>
    </w:p>
    <w:p>
      <w:pPr>
        <w:pStyle w:val="11"/>
        <w:rPr>
          <w:color w:val="000000"/>
        </w:rPr>
      </w:pPr>
      <w:r>
        <w:rPr>
          <w:rFonts w:hint="eastAsia"/>
          <w:color w:val="000000"/>
        </w:rPr>
        <w:t>本表适用于取得境外所得的纳税人填报。纳税人应根据税法、《财政部 国家税务总局关于企业境外所得税收抵免有关问题的通知》（财税〔2009〕125号）、《国家税务总局关于发布〈企业境外所得税收抵免操作指南〉的公告》（国家税务总局公告2010年第1号）</w:t>
      </w:r>
      <w:r>
        <w:rPr>
          <w:rFonts w:hint="eastAsia" w:cs="Calibri"/>
          <w:color w:val="000000"/>
        </w:rPr>
        <w:t>、</w:t>
      </w:r>
      <w:r>
        <w:rPr>
          <w:rFonts w:hint="eastAsia"/>
          <w:color w:val="000000"/>
        </w:rPr>
        <w:t>《财政部 国家税务总局关于我国石油企业从事油（气）资源开采所得税收抵免有关问题的通知》（财税〔</w:t>
      </w:r>
      <w:r>
        <w:rPr>
          <w:color w:val="000000"/>
        </w:rPr>
        <w:t>201</w:t>
      </w:r>
      <w:r>
        <w:rPr>
          <w:rFonts w:hint="eastAsia"/>
          <w:color w:val="000000"/>
        </w:rPr>
        <w:t>1〕23号）、</w:t>
      </w:r>
      <w:r>
        <w:rPr>
          <w:rFonts w:hint="eastAsia" w:cs="Calibri"/>
          <w:color w:val="000000"/>
        </w:rPr>
        <w:t>《财政部 税务总局关于完善企业境外所得税收抵免政策问题的通知》（财税〔</w:t>
      </w:r>
      <w:r>
        <w:rPr>
          <w:rFonts w:cs="Calibri"/>
          <w:color w:val="000000"/>
        </w:rPr>
        <w:t>2017</w:t>
      </w:r>
      <w:r>
        <w:rPr>
          <w:rFonts w:hint="eastAsia" w:cs="Calibri"/>
          <w:color w:val="000000"/>
        </w:rPr>
        <w:t>〕</w:t>
      </w:r>
      <w:r>
        <w:rPr>
          <w:rFonts w:cs="Calibri"/>
          <w:color w:val="000000"/>
        </w:rPr>
        <w:t>84</w:t>
      </w:r>
      <w:r>
        <w:rPr>
          <w:rFonts w:hint="eastAsia" w:cs="Calibri"/>
          <w:color w:val="000000"/>
        </w:rPr>
        <w:t>号）</w:t>
      </w:r>
      <w:r>
        <w:rPr>
          <w:rFonts w:hint="eastAsia"/>
          <w:color w:val="000000"/>
        </w:rPr>
        <w:t>、《财政部</w:t>
      </w:r>
      <w:r>
        <w:rPr>
          <w:color w:val="000000"/>
        </w:rPr>
        <w:t xml:space="preserve"> </w:t>
      </w:r>
      <w:r>
        <w:rPr>
          <w:rFonts w:hint="eastAsia"/>
          <w:color w:val="000000"/>
        </w:rPr>
        <w:t>税务总局关于延长高新技术企业和科技型中小企业亏损结转年限的通知》（财税〔</w:t>
      </w:r>
      <w:r>
        <w:rPr>
          <w:color w:val="000000"/>
        </w:rPr>
        <w:t>2018</w:t>
      </w:r>
      <w:r>
        <w:rPr>
          <w:rFonts w:hint="eastAsia"/>
          <w:color w:val="000000"/>
        </w:rPr>
        <w:t>〕</w:t>
      </w:r>
      <w:r>
        <w:rPr>
          <w:color w:val="000000"/>
        </w:rPr>
        <w:t>76</w:t>
      </w:r>
      <w:r>
        <w:rPr>
          <w:rFonts w:hint="eastAsia"/>
          <w:color w:val="000000"/>
        </w:rPr>
        <w:t>号）、《国家税务总局关于延长高新技术企业和科技型中小企业亏损结转弥补年限有关企业所得税处理问题的公告》（国家税务总局公告</w:t>
      </w:r>
      <w:r>
        <w:rPr>
          <w:color w:val="000000"/>
        </w:rPr>
        <w:t>2018</w:t>
      </w:r>
      <w:r>
        <w:rPr>
          <w:rFonts w:hint="eastAsia"/>
          <w:color w:val="000000"/>
        </w:rPr>
        <w:t>年第</w:t>
      </w:r>
      <w:r>
        <w:rPr>
          <w:color w:val="000000"/>
        </w:rPr>
        <w:t>45</w:t>
      </w:r>
      <w:r>
        <w:rPr>
          <w:rFonts w:hint="eastAsia"/>
          <w:color w:val="000000"/>
        </w:rPr>
        <w:t>号）</w:t>
      </w:r>
      <w:r>
        <w:rPr>
          <w:rFonts w:hint="eastAsia" w:cs="Calibri"/>
          <w:color w:val="000000"/>
        </w:rPr>
        <w:t>规定，填报境外分支机构本年及以前年度发生的税前尚未弥补的非实际亏损额和实际亏损额、结转以后年度弥补的非实际亏损额和实际亏损额，并按国（地区）别逐行填报。</w:t>
      </w:r>
    </w:p>
    <w:p>
      <w:pPr>
        <w:pStyle w:val="11"/>
        <w:rPr>
          <w:color w:val="000000"/>
        </w:rPr>
      </w:pPr>
      <w:r>
        <w:rPr>
          <w:rFonts w:hint="eastAsia"/>
          <w:color w:val="000000"/>
        </w:rPr>
        <w:t>一、有关项目填报说明</w:t>
      </w:r>
    </w:p>
    <w:p>
      <w:pPr>
        <w:pStyle w:val="11"/>
        <w:rPr>
          <w:color w:val="000000"/>
        </w:rPr>
      </w:pPr>
      <w:r>
        <w:rPr>
          <w:rFonts w:hint="eastAsia"/>
          <w:color w:val="000000"/>
        </w:rPr>
        <w:t>纳税人选择“分国（地区）不分项”的境外所得抵免方式，在汇总计算境外应纳税所得额时，企业在境外同一国家（地区）设立不具有独立纳税地位的分支机构，按照企业所得税法及实施条例的有关规定计算的亏损，不得抵减其境内或他国（地区）的应纳税所得额，但可以用同一国家（地区）其他项目或以后年度的所得按规定弥补。纳税人选择“不分国（地区）不分项” 的境外所得抵免方式，按照</w:t>
      </w:r>
      <w:r>
        <w:rPr>
          <w:rFonts w:hint="eastAsia" w:cs="Calibri"/>
          <w:color w:val="000000"/>
        </w:rPr>
        <w:t>财税〔</w:t>
      </w:r>
      <w:r>
        <w:rPr>
          <w:rFonts w:cs="Calibri"/>
          <w:color w:val="000000"/>
        </w:rPr>
        <w:t>2017</w:t>
      </w:r>
      <w:r>
        <w:rPr>
          <w:rFonts w:hint="eastAsia" w:cs="Calibri"/>
          <w:color w:val="000000"/>
        </w:rPr>
        <w:t>〕</w:t>
      </w:r>
      <w:r>
        <w:rPr>
          <w:rFonts w:cs="Calibri"/>
          <w:color w:val="000000"/>
        </w:rPr>
        <w:t>84</w:t>
      </w:r>
      <w:r>
        <w:rPr>
          <w:rFonts w:hint="eastAsia" w:cs="Calibri"/>
          <w:color w:val="000000"/>
        </w:rPr>
        <w:t>号规定填报。</w:t>
      </w:r>
      <w:r>
        <w:rPr>
          <w:rFonts w:hint="eastAsia"/>
          <w:color w:val="000000"/>
        </w:rPr>
        <w:t>在填报本表时，应按照国家税务总局公告2010年第1号第13、14条有关规定，分析填报企业的境外分支机构发生的实际亏损额和非实际亏损额及其弥补、结转的金额。</w:t>
      </w:r>
    </w:p>
    <w:p>
      <w:pPr>
        <w:pStyle w:val="11"/>
        <w:rPr>
          <w:color w:val="000000"/>
        </w:rPr>
      </w:pPr>
      <w:r>
        <w:rPr>
          <w:rFonts w:hint="eastAsia"/>
          <w:color w:val="000000"/>
        </w:rPr>
        <w:t>1.第2列至第5列“非实际亏损额的弥补”：填报纳税人境外分支机构非实际亏损额未弥补金额、本年发生的金额、本年弥补的金额、结转以后年度弥补的金额。</w:t>
      </w:r>
    </w:p>
    <w:p>
      <w:pPr>
        <w:pStyle w:val="11"/>
        <w:rPr>
          <w:color w:val="000000"/>
        </w:rPr>
      </w:pPr>
      <w:r>
        <w:rPr>
          <w:rFonts w:hint="eastAsia"/>
          <w:color w:val="000000"/>
        </w:rPr>
        <w:t>2.第6列至第</w:t>
      </w:r>
      <w:r>
        <w:rPr>
          <w:color w:val="000000"/>
        </w:rPr>
        <w:t>9</w:t>
      </w:r>
      <w:r>
        <w:rPr>
          <w:rFonts w:hint="eastAsia"/>
          <w:color w:val="000000"/>
        </w:rPr>
        <w:t>列“实际亏损额的弥补”：填报纳税人境外分支机构实际亏损额弥补金额。</w:t>
      </w:r>
    </w:p>
    <w:p>
      <w:pPr>
        <w:pStyle w:val="11"/>
        <w:rPr>
          <w:color w:val="000000"/>
        </w:rPr>
      </w:pPr>
      <w:r>
        <w:rPr>
          <w:rFonts w:hint="eastAsia"/>
          <w:color w:val="000000"/>
        </w:rPr>
        <w:t>二、表内、表间关系</w:t>
      </w:r>
    </w:p>
    <w:p>
      <w:pPr>
        <w:pStyle w:val="11"/>
        <w:rPr>
          <w:color w:val="000000"/>
        </w:rPr>
      </w:pPr>
      <w:r>
        <w:rPr>
          <w:rFonts w:hint="eastAsia"/>
          <w:color w:val="000000"/>
        </w:rPr>
        <w:t>（一）表内关系</w:t>
      </w:r>
    </w:p>
    <w:p>
      <w:pPr>
        <w:pStyle w:val="11"/>
        <w:rPr>
          <w:color w:val="000000"/>
        </w:rPr>
      </w:pPr>
      <w:r>
        <w:rPr>
          <w:rFonts w:hint="eastAsia"/>
          <w:color w:val="000000"/>
        </w:rPr>
        <w:t>第5列＝第2+3-4列。</w:t>
      </w:r>
    </w:p>
    <w:p>
      <w:pPr>
        <w:pStyle w:val="11"/>
        <w:rPr>
          <w:color w:val="000000"/>
        </w:rPr>
      </w:pPr>
      <w:r>
        <w:rPr>
          <w:rFonts w:hint="eastAsia"/>
          <w:color w:val="000000"/>
        </w:rPr>
        <w:t>（二）表间关系</w:t>
      </w:r>
    </w:p>
    <w:p>
      <w:pPr>
        <w:pStyle w:val="11"/>
        <w:rPr>
          <w:color w:val="000000"/>
        </w:rPr>
        <w:sectPr>
          <w:pgSz w:w="16838" w:h="11906" w:orient="landscape"/>
          <w:pgMar w:top="1800" w:right="1440" w:bottom="1800" w:left="1440" w:header="851" w:footer="992" w:gutter="0"/>
          <w:cols w:space="720" w:num="1"/>
          <w:docGrid w:type="lines" w:linePitch="312" w:charSpace="0"/>
        </w:sectPr>
      </w:pPr>
      <w:r>
        <w:rPr>
          <w:rFonts w:hint="eastAsia"/>
          <w:color w:val="000000"/>
        </w:rPr>
        <w:t>若选择“分国（地区）不分项”的境外所得抵免方式，第4列各行+第</w:t>
      </w:r>
      <w:r>
        <w:rPr>
          <w:color w:val="000000"/>
        </w:rPr>
        <w:t>8</w:t>
      </w:r>
      <w:r>
        <w:rPr>
          <w:rFonts w:hint="eastAsia"/>
          <w:color w:val="000000"/>
        </w:rPr>
        <w:t>列各行＝表A108000第4列相应行次；若选择“不分国（地区）不分项” 的境外所得抵免方式，第4列合计+第</w:t>
      </w:r>
      <w:r>
        <w:rPr>
          <w:color w:val="000000"/>
        </w:rPr>
        <w:t>8</w:t>
      </w:r>
      <w:r>
        <w:rPr>
          <w:rFonts w:hint="eastAsia"/>
          <w:color w:val="000000"/>
        </w:rPr>
        <w:t>列合计＝表A108000第1行第4列。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116CC"/>
    <w:rsid w:val="5401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link w:val="9"/>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 w:type="character" w:customStyle="1" w:styleId="9">
    <w:name w:val="标题 2 Char_0"/>
    <w:link w:val="4"/>
    <w:locked/>
    <w:uiPriority w:val="0"/>
    <w:rPr>
      <w:rFonts w:ascii="Arial" w:hAnsi="Arial" w:eastAsia="黑体"/>
      <w:b/>
      <w:bCs/>
      <w:sz w:val="32"/>
      <w:szCs w:val="32"/>
    </w:rPr>
  </w:style>
  <w:style w:type="paragraph" w:customStyle="1" w:styleId="10">
    <w:name w:val="正文_1_0_0_0"/>
    <w:qFormat/>
    <w:uiPriority w:val="0"/>
    <w:rPr>
      <w:rFonts w:ascii="Times New Roman" w:hAnsi="Times New Roman" w:eastAsia="Times New Roman" w:cs="Times New Roman"/>
      <w:sz w:val="24"/>
      <w:szCs w:val="24"/>
      <w:lang w:val="en-US" w:eastAsia="zh-CN" w:bidi="ar-SA"/>
    </w:rPr>
  </w:style>
  <w:style w:type="paragraph" w:customStyle="1" w:styleId="11">
    <w:name w:val="SBBZW"/>
    <w:basedOn w:val="12"/>
    <w:qFormat/>
    <w:uiPriority w:val="0"/>
    <w:pPr>
      <w:spacing w:line="360" w:lineRule="auto"/>
      <w:ind w:firstLine="480"/>
    </w:pPr>
    <w:rPr>
      <w:rFonts w:ascii="宋体" w:hAnsi="宋体"/>
      <w:sz w:val="24"/>
      <w:szCs w:val="24"/>
    </w:rPr>
  </w:style>
  <w:style w:type="paragraph" w:customStyle="1" w:styleId="12">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2019-10-31T02:04:00Z</dcterms:created>
  <dc:creator>陈莉佳</dc:creator>
  <cp:lastModifiedBy>陈莉佳</cp:lastModifiedBy>
  <dcterms:modified xsi:type="dcterms:W3CDTF">2019-10-31T02:05:06Z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