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b w:val="0"/>
          <w:bCs w:val="0"/>
        </w:rPr>
        <w:t>A06594</w:t>
      </w:r>
      <w:r>
        <w:rPr>
          <w:rFonts w:hint="eastAsia" w:ascii="宋体" w:hAnsi="宋体" w:eastAsia="宋体"/>
          <w:b w:val="0"/>
          <w:bCs w:val="0"/>
        </w:rPr>
        <w:t>《境外所得纳税调整后所得明细表》（</w:t>
      </w:r>
      <w:r>
        <w:rPr>
          <w:rFonts w:ascii="宋体" w:hAnsi="宋体" w:eastAsia="宋体"/>
          <w:b w:val="0"/>
          <w:bCs w:val="0"/>
        </w:rPr>
        <w:t>A108010</w:t>
      </w:r>
      <w:r>
        <w:rPr>
          <w:rFonts w:hint="eastAsia" w:ascii="宋体" w:hAnsi="宋体" w:eastAsia="宋体"/>
          <w:b w:val="0"/>
          <w:bCs w:val="0"/>
        </w:rPr>
        <w:t>）</w:t>
      </w:r>
    </w:p>
    <w:p>
      <w:pPr>
        <w:pStyle w:val="5"/>
        <w:ind w:firstLine="562"/>
        <w:jc w:val="center"/>
        <w:outlineLvl w:val="9"/>
        <w:rPr>
          <w:rFonts w:ascii="宋体" w:hAnsi="宋体" w:cs="宋体"/>
          <w:color w:val="000000"/>
          <w:sz w:val="28"/>
          <w:szCs w:val="28"/>
        </w:rPr>
      </w:pPr>
      <w:bookmarkStart w:id="0" w:name="_GoBack"/>
      <w:bookmarkEnd w:id="0"/>
      <w:r>
        <w:rPr>
          <w:rFonts w:hint="eastAsia" w:ascii="宋体" w:hAnsi="宋体" w:cs="宋体"/>
          <w:bCs/>
          <w:color w:val="000000"/>
          <w:sz w:val="28"/>
          <w:szCs w:val="28"/>
        </w:rPr>
        <w:t>境外所得纳税调整后所得明细表</w:t>
      </w:r>
      <w:r>
        <w:rPr>
          <w:rFonts w:hint="eastAsia" w:ascii="宋体" w:hAnsi="宋体" w:cs="宋体"/>
          <w:color w:val="000000"/>
          <w:sz w:val="28"/>
          <w:szCs w:val="28"/>
        </w:rPr>
        <w:t>（</w:t>
      </w:r>
      <w:r>
        <w:rPr>
          <w:rFonts w:ascii="宋体" w:hAnsi="宋体" w:cs="宋体"/>
          <w:color w:val="000000"/>
          <w:sz w:val="28"/>
          <w:szCs w:val="28"/>
        </w:rPr>
        <w:t>A108010</w:t>
      </w:r>
      <w:r>
        <w:rPr>
          <w:rFonts w:hint="eastAsia" w:ascii="宋体" w:hAnsi="宋体" w:cs="宋体"/>
          <w:color w:val="000000"/>
          <w:sz w:val="28"/>
          <w:szCs w:val="28"/>
        </w:rPr>
        <w:t>）</w:t>
      </w:r>
    </w:p>
    <w:tbl>
      <w:tblPr>
        <w:tblStyle w:val="2"/>
        <w:tblW w:w="14775" w:type="dxa"/>
        <w:jc w:val="center"/>
        <w:tblInd w:w="0" w:type="dxa"/>
        <w:tblLayout w:type="fixed"/>
        <w:tblCellMar>
          <w:top w:w="0" w:type="dxa"/>
          <w:left w:w="108" w:type="dxa"/>
          <w:bottom w:w="0" w:type="dxa"/>
          <w:right w:w="108" w:type="dxa"/>
        </w:tblCellMar>
      </w:tblPr>
      <w:tblGrid>
        <w:gridCol w:w="552"/>
        <w:gridCol w:w="824"/>
        <w:gridCol w:w="788"/>
        <w:gridCol w:w="788"/>
        <w:gridCol w:w="788"/>
        <w:gridCol w:w="788"/>
        <w:gridCol w:w="789"/>
        <w:gridCol w:w="788"/>
        <w:gridCol w:w="788"/>
        <w:gridCol w:w="788"/>
        <w:gridCol w:w="788"/>
        <w:gridCol w:w="789"/>
        <w:gridCol w:w="788"/>
        <w:gridCol w:w="788"/>
        <w:gridCol w:w="788"/>
        <w:gridCol w:w="789"/>
        <w:gridCol w:w="788"/>
        <w:gridCol w:w="788"/>
        <w:gridCol w:w="788"/>
      </w:tblGrid>
      <w:tr>
        <w:tblPrEx>
          <w:tblLayout w:type="fixed"/>
          <w:tblCellMar>
            <w:top w:w="0" w:type="dxa"/>
            <w:left w:w="108" w:type="dxa"/>
            <w:bottom w:w="0" w:type="dxa"/>
            <w:right w:w="108" w:type="dxa"/>
          </w:tblCellMar>
        </w:tblPrEx>
        <w:trPr>
          <w:trHeight w:val="597"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行次</w:t>
            </w:r>
          </w:p>
        </w:tc>
        <w:tc>
          <w:tcPr>
            <w:tcW w:w="824" w:type="dxa"/>
            <w:vMerge w:val="restart"/>
            <w:tcBorders>
              <w:top w:val="single" w:color="auto" w:sz="12" w:space="0"/>
              <w:left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国家（地区）</w:t>
            </w:r>
          </w:p>
        </w:tc>
        <w:tc>
          <w:tcPr>
            <w:tcW w:w="6305" w:type="dxa"/>
            <w:gridSpan w:val="8"/>
            <w:tcBorders>
              <w:top w:val="single" w:color="auto" w:sz="12"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境外税后所得</w:t>
            </w:r>
          </w:p>
        </w:tc>
        <w:tc>
          <w:tcPr>
            <w:tcW w:w="3153" w:type="dxa"/>
            <w:gridSpan w:val="4"/>
            <w:tcBorders>
              <w:top w:val="single" w:color="auto" w:sz="12"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境外所得可抵免的所得税额</w:t>
            </w:r>
          </w:p>
        </w:tc>
        <w:tc>
          <w:tcPr>
            <w:tcW w:w="788" w:type="dxa"/>
            <w:vMerge w:val="restart"/>
            <w:tcBorders>
              <w:top w:val="single" w:color="auto" w:sz="12" w:space="0"/>
              <w:left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境外税前所得</w:t>
            </w:r>
          </w:p>
        </w:tc>
        <w:tc>
          <w:tcPr>
            <w:tcW w:w="789" w:type="dxa"/>
            <w:vMerge w:val="restart"/>
            <w:tcBorders>
              <w:top w:val="single" w:color="auto" w:sz="12" w:space="0"/>
              <w:left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境外分支机构收入与支出纳税调整额</w:t>
            </w:r>
          </w:p>
        </w:tc>
        <w:tc>
          <w:tcPr>
            <w:tcW w:w="788" w:type="dxa"/>
            <w:vMerge w:val="restart"/>
            <w:tcBorders>
              <w:top w:val="single" w:color="auto" w:sz="12" w:space="0"/>
              <w:left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境外分支机构调整分摊扣除的有关成本费用</w:t>
            </w:r>
          </w:p>
        </w:tc>
        <w:tc>
          <w:tcPr>
            <w:tcW w:w="788" w:type="dxa"/>
            <w:vMerge w:val="restart"/>
            <w:tcBorders>
              <w:top w:val="single" w:color="auto" w:sz="12" w:space="0"/>
              <w:left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境外所得对应调整的相关成本费用支出</w:t>
            </w:r>
          </w:p>
        </w:tc>
        <w:tc>
          <w:tcPr>
            <w:tcW w:w="788" w:type="dxa"/>
            <w:vMerge w:val="restart"/>
            <w:tcBorders>
              <w:top w:val="single" w:color="auto" w:sz="12" w:space="0"/>
              <w:left w:val="single" w:color="auto" w:sz="6" w:space="0"/>
              <w:right w:val="single" w:color="auto" w:sz="12"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境外所得纳税调整后所得</w:t>
            </w:r>
          </w:p>
        </w:tc>
      </w:tr>
      <w:tr>
        <w:tblPrEx>
          <w:tblLayout w:type="fixed"/>
          <w:tblCellMar>
            <w:top w:w="0" w:type="dxa"/>
            <w:left w:w="108" w:type="dxa"/>
            <w:bottom w:w="0" w:type="dxa"/>
            <w:right w:w="108" w:type="dxa"/>
          </w:tblCellMar>
        </w:tblPrEx>
        <w:trPr>
          <w:trHeight w:val="1422" w:hRule="atLeast"/>
          <w:jc w:val="center"/>
        </w:trPr>
        <w:tc>
          <w:tcPr>
            <w:tcW w:w="552" w:type="dxa"/>
            <w:vMerge w:val="continue"/>
            <w:tcBorders>
              <w:left w:val="single" w:color="auto" w:sz="12"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824" w:type="dxa"/>
            <w:vMerge w:val="continue"/>
            <w:tcBorders>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分支机构营业利润所得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股息、红利等权益性投资所得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利息所得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租金所得</w:t>
            </w: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特许权使用费所得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财产转让所得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其他所得</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小计</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直接缴纳的所得税额</w:t>
            </w: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间接负担的所得税额</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享受税收饶让抵免税额</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小计</w:t>
            </w:r>
          </w:p>
        </w:tc>
        <w:tc>
          <w:tcPr>
            <w:tcW w:w="788" w:type="dxa"/>
            <w:vMerge w:val="continue"/>
            <w:tcBorders>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789" w:type="dxa"/>
            <w:vMerge w:val="continue"/>
            <w:tcBorders>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788" w:type="dxa"/>
            <w:vMerge w:val="continue"/>
            <w:tcBorders>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788" w:type="dxa"/>
            <w:vMerge w:val="continue"/>
            <w:tcBorders>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788" w:type="dxa"/>
            <w:vMerge w:val="continue"/>
            <w:tcBorders>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p>
        </w:tc>
      </w:tr>
      <w:tr>
        <w:tblPrEx>
          <w:tblLayout w:type="fixed"/>
          <w:tblCellMar>
            <w:top w:w="0" w:type="dxa"/>
            <w:left w:w="108" w:type="dxa"/>
            <w:bottom w:w="0" w:type="dxa"/>
            <w:right w:w="108" w:type="dxa"/>
          </w:tblCellMar>
        </w:tblPrEx>
        <w:trPr>
          <w:trHeight w:val="528" w:hRule="atLeast"/>
          <w:jc w:val="center"/>
        </w:trPr>
        <w:tc>
          <w:tcPr>
            <w:tcW w:w="552" w:type="dxa"/>
            <w:vMerge w:val="continue"/>
            <w:tcBorders>
              <w:left w:val="single" w:color="auto" w:sz="12" w:space="0"/>
              <w:bottom w:val="single" w:color="auto" w:sz="6" w:space="0"/>
              <w:right w:val="single" w:color="auto" w:sz="6" w:space="0"/>
            </w:tcBorders>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2</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3</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4</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5</w:t>
            </w: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6</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7</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8</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9</w:t>
            </w:r>
            <w:r>
              <w:rPr>
                <w:rFonts w:hint="eastAsia" w:ascii="宋体" w:cs="宋体"/>
                <w:color w:val="000000"/>
                <w:sz w:val="20"/>
                <w:szCs w:val="20"/>
              </w:rPr>
              <w:t>(</w:t>
            </w:r>
            <w:r>
              <w:rPr>
                <w:rFonts w:ascii="宋体" w:cs="宋体"/>
                <w:color w:val="000000"/>
                <w:sz w:val="20"/>
                <w:szCs w:val="20"/>
              </w:rPr>
              <w:t>2+</w:t>
            </w:r>
            <w:r>
              <w:rPr>
                <w:rFonts w:hint="eastAsia" w:ascii="宋体" w:cs="宋体"/>
                <w:color w:val="000000"/>
                <w:sz w:val="20"/>
                <w:szCs w:val="20"/>
              </w:rPr>
              <w:t>…</w:t>
            </w:r>
            <w:r>
              <w:rPr>
                <w:rFonts w:ascii="宋体" w:cs="宋体"/>
                <w:color w:val="000000"/>
                <w:sz w:val="20"/>
                <w:szCs w:val="20"/>
              </w:rPr>
              <w:t>+8</w:t>
            </w:r>
            <w:r>
              <w:rPr>
                <w:rFonts w:hint="eastAsia" w:ascii="宋体" w:cs="宋体"/>
                <w:color w:val="000000"/>
                <w:sz w:val="20"/>
                <w:szCs w:val="20"/>
              </w:rPr>
              <w:t>)</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10</w:t>
            </w: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11</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12</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13</w:t>
            </w:r>
            <w:r>
              <w:rPr>
                <w:rFonts w:hint="eastAsia" w:ascii="宋体" w:cs="宋体"/>
                <w:color w:val="000000"/>
                <w:sz w:val="20"/>
                <w:szCs w:val="20"/>
              </w:rPr>
              <w:t>(</w:t>
            </w:r>
            <w:r>
              <w:rPr>
                <w:rFonts w:ascii="宋体" w:cs="宋体"/>
                <w:color w:val="000000"/>
                <w:sz w:val="20"/>
                <w:szCs w:val="20"/>
              </w:rPr>
              <w:t>10+</w:t>
            </w:r>
            <w:r>
              <w:rPr>
                <w:rFonts w:ascii="宋体" w:cs="宋体"/>
                <w:color w:val="000000"/>
                <w:sz w:val="20"/>
                <w:szCs w:val="20"/>
              </w:rPr>
              <w:br w:type="textWrapping"/>
            </w:r>
            <w:r>
              <w:rPr>
                <w:rFonts w:ascii="宋体" w:cs="宋体"/>
                <w:color w:val="000000"/>
                <w:sz w:val="20"/>
                <w:szCs w:val="20"/>
              </w:rPr>
              <w:t>11+12</w:t>
            </w:r>
            <w:r>
              <w:rPr>
                <w:rFonts w:hint="eastAsia" w:ascii="宋体" w:cs="宋体"/>
                <w:color w:val="000000"/>
                <w:sz w:val="20"/>
                <w:szCs w:val="20"/>
              </w:rPr>
              <w:t>)</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14</w:t>
            </w:r>
            <w:r>
              <w:rPr>
                <w:rFonts w:hint="eastAsia" w:ascii="宋体" w:cs="宋体"/>
                <w:color w:val="000000"/>
                <w:sz w:val="20"/>
                <w:szCs w:val="20"/>
              </w:rPr>
              <w:t>(</w:t>
            </w:r>
            <w:r>
              <w:rPr>
                <w:rFonts w:ascii="宋体" w:cs="宋体"/>
                <w:color w:val="000000"/>
                <w:sz w:val="20"/>
                <w:szCs w:val="20"/>
              </w:rPr>
              <w:t>9+10+11</w:t>
            </w:r>
            <w:r>
              <w:rPr>
                <w:rFonts w:hint="eastAsia" w:ascii="宋体" w:cs="宋体"/>
                <w:color w:val="000000"/>
                <w:sz w:val="20"/>
                <w:szCs w:val="20"/>
              </w:rPr>
              <w:t>)</w:t>
            </w: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15</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16</w:t>
            </w: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17</w:t>
            </w: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18</w:t>
            </w:r>
            <w:r>
              <w:rPr>
                <w:rFonts w:hint="eastAsia" w:ascii="宋体" w:cs="宋体"/>
                <w:color w:val="000000"/>
                <w:sz w:val="20"/>
                <w:szCs w:val="20"/>
              </w:rPr>
              <w:t>(</w:t>
            </w:r>
            <w:r>
              <w:rPr>
                <w:rFonts w:ascii="宋体" w:cs="宋体"/>
                <w:color w:val="000000"/>
                <w:sz w:val="20"/>
                <w:szCs w:val="20"/>
              </w:rPr>
              <w:t>14+</w:t>
            </w:r>
            <w:r>
              <w:rPr>
                <w:rFonts w:ascii="宋体" w:cs="宋体"/>
                <w:color w:val="000000"/>
                <w:sz w:val="20"/>
                <w:szCs w:val="20"/>
              </w:rPr>
              <w:br w:type="textWrapping"/>
            </w:r>
            <w:r>
              <w:rPr>
                <w:rFonts w:ascii="宋体" w:cs="宋体"/>
                <w:color w:val="000000"/>
                <w:sz w:val="20"/>
                <w:szCs w:val="20"/>
              </w:rPr>
              <w:t>15-16-17</w:t>
            </w:r>
            <w:r>
              <w:rPr>
                <w:rFonts w:hint="eastAsia" w:ascii="宋体" w:cs="宋体"/>
                <w:color w:val="000000"/>
                <w:sz w:val="20"/>
                <w:szCs w:val="20"/>
              </w:rPr>
              <w:t>)</w:t>
            </w: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1</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2</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3</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4</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5</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6</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7</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8</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9</w:t>
            </w:r>
          </w:p>
        </w:tc>
        <w:tc>
          <w:tcPr>
            <w:tcW w:w="824"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6"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Layout w:type="fixed"/>
          <w:tblCellMar>
            <w:top w:w="0" w:type="dxa"/>
            <w:left w:w="108" w:type="dxa"/>
            <w:bottom w:w="0" w:type="dxa"/>
            <w:right w:w="108" w:type="dxa"/>
          </w:tblCellMar>
        </w:tblPrEx>
        <w:trPr>
          <w:trHeight w:val="510"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r>
              <w:rPr>
                <w:rFonts w:ascii="宋体" w:cs="宋体"/>
                <w:color w:val="000000"/>
                <w:sz w:val="20"/>
                <w:szCs w:val="20"/>
              </w:rPr>
              <w:t>10</w:t>
            </w:r>
          </w:p>
        </w:tc>
        <w:tc>
          <w:tcPr>
            <w:tcW w:w="824"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合计</w:t>
            </w: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9"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6"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88" w:type="dxa"/>
            <w:tcBorders>
              <w:top w:val="single" w:color="auto" w:sz="6" w:space="0"/>
              <w:left w:val="single" w:color="auto" w:sz="6" w:space="0"/>
              <w:bottom w:val="single" w:color="auto" w:sz="12" w:space="0"/>
              <w:right w:val="single" w:color="auto" w:sz="12" w:space="0"/>
            </w:tcBorders>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本表适用于取得境外所得的纳税人填报。纳税人应根据税法、《财政部 国家税务总局关于企业境外所得税收抵免有关问题的通知》（财税〔2009〕125号）和《国家税务总局关于发布〈企业境外所得税收抵免操作指南〉的公告》（国家税务总局公告2010年第1号）、《财政部 国家税务总局关于我国石油企业从事油（气）资源开采所得税收抵免有关问题的通知》（财税〔</w:t>
      </w:r>
      <w:r>
        <w:rPr>
          <w:rFonts w:ascii="宋体" w:hAnsi="宋体"/>
          <w:color w:val="000000"/>
        </w:rPr>
        <w:t>201</w:t>
      </w:r>
      <w:r>
        <w:rPr>
          <w:rFonts w:hint="eastAsia" w:ascii="宋体" w:hAnsi="宋体"/>
          <w:color w:val="000000"/>
        </w:rPr>
        <w:t>1〕23号）、《财政部 税务总局关于完善企业境外所得税收抵免政策问题的通知》（财税〔</w:t>
      </w:r>
      <w:r>
        <w:rPr>
          <w:rFonts w:ascii="宋体" w:hAnsi="宋体"/>
          <w:color w:val="000000"/>
        </w:rPr>
        <w:t>2017</w:t>
      </w:r>
      <w:r>
        <w:rPr>
          <w:rFonts w:hint="eastAsia" w:ascii="宋体" w:hAnsi="宋体"/>
          <w:color w:val="000000"/>
        </w:rPr>
        <w:t>〕</w:t>
      </w:r>
      <w:r>
        <w:rPr>
          <w:rFonts w:ascii="宋体" w:hAnsi="宋体"/>
          <w:color w:val="000000"/>
        </w:rPr>
        <w:t>84</w:t>
      </w:r>
      <w:r>
        <w:rPr>
          <w:rFonts w:hint="eastAsia" w:ascii="宋体" w:hAnsi="宋体"/>
          <w:color w:val="000000"/>
        </w:rPr>
        <w:t>号）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1.第1列“国家（地区）”：填报纳税人境外所得来源的国家（地区）名称，来源于同一个国家（地区）的境外所得可合并到一行填报。</w:t>
      </w:r>
    </w:p>
    <w:p>
      <w:pPr>
        <w:pStyle w:val="7"/>
        <w:ind w:firstLineChars="200"/>
        <w:rPr>
          <w:rFonts w:ascii="宋体" w:hAnsi="宋体"/>
          <w:color w:val="000000"/>
        </w:rPr>
      </w:pPr>
      <w:r>
        <w:rPr>
          <w:rFonts w:hint="eastAsia" w:ascii="宋体" w:hAnsi="宋体"/>
          <w:color w:val="000000"/>
        </w:rPr>
        <w:t>2.第</w:t>
      </w:r>
      <w:r>
        <w:rPr>
          <w:rFonts w:ascii="宋体" w:hAnsi="宋体"/>
          <w:color w:val="000000"/>
        </w:rPr>
        <w:t>2</w:t>
      </w:r>
      <w:r>
        <w:rPr>
          <w:rFonts w:hint="eastAsia" w:ascii="宋体" w:hAnsi="宋体"/>
          <w:color w:val="000000"/>
        </w:rPr>
        <w:t>列至第9列“境外税后所得”：填报纳税人取得的来源于境外的税后所得，其中：第</w:t>
      </w:r>
      <w:r>
        <w:rPr>
          <w:rFonts w:ascii="宋体" w:hAnsi="宋体"/>
          <w:color w:val="000000"/>
        </w:rPr>
        <w:t>3</w:t>
      </w:r>
      <w:r>
        <w:rPr>
          <w:rFonts w:hint="eastAsia" w:ascii="宋体" w:hAnsi="宋体"/>
          <w:color w:val="000000"/>
        </w:rPr>
        <w:t>列股息、红利等权益性投资所得包含通过《受控外国企业信息报告表》（国家税务总局公告2014年第38号附件2）计算的视同分配给企业的股息。</w:t>
      </w:r>
    </w:p>
    <w:p>
      <w:pPr>
        <w:pStyle w:val="7"/>
        <w:ind w:firstLineChars="200"/>
        <w:rPr>
          <w:rFonts w:ascii="宋体" w:hAnsi="宋体"/>
          <w:color w:val="000000"/>
        </w:rPr>
      </w:pPr>
      <w:r>
        <w:rPr>
          <w:rFonts w:hint="eastAsia" w:ascii="宋体" w:hAnsi="宋体"/>
          <w:color w:val="000000"/>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pPr>
        <w:pStyle w:val="7"/>
        <w:ind w:firstLineChars="200"/>
        <w:rPr>
          <w:rFonts w:ascii="宋体" w:hAnsi="宋体"/>
          <w:color w:val="000000"/>
        </w:rPr>
      </w:pPr>
      <w:r>
        <w:rPr>
          <w:rFonts w:hint="eastAsia" w:ascii="宋体" w:hAnsi="宋体"/>
          <w:color w:val="000000"/>
        </w:rPr>
        <w:t>4.第11列“间接负担的所得税额”：填报纳税人从其直接或者间接控制的外国企业分得的来源于中国境外的股息、红利等权益性投资收益，外国企业在境外实际缴纳的所得税额中属于该项所得负担的部分。</w:t>
      </w:r>
    </w:p>
    <w:p>
      <w:pPr>
        <w:pStyle w:val="7"/>
        <w:ind w:firstLineChars="200"/>
        <w:rPr>
          <w:rFonts w:ascii="宋体" w:hAnsi="宋体"/>
          <w:color w:val="000000"/>
        </w:rPr>
      </w:pPr>
      <w:r>
        <w:rPr>
          <w:rFonts w:hint="eastAsia" w:ascii="宋体" w:hAnsi="宋体"/>
          <w:color w:val="000000"/>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pPr>
        <w:pStyle w:val="7"/>
        <w:ind w:firstLineChars="200"/>
        <w:rPr>
          <w:rFonts w:ascii="宋体" w:hAnsi="宋体"/>
          <w:color w:val="000000"/>
        </w:rPr>
      </w:pPr>
      <w:r>
        <w:rPr>
          <w:rFonts w:hint="eastAsia" w:ascii="宋体" w:hAnsi="宋体"/>
          <w:color w:val="000000"/>
        </w:rPr>
        <w:t>6.第15列“境外分支机构收入与支出纳税调整额”：填报纳税人境外分支机构收入、支出按照税收规定计算的纳税调整额。</w:t>
      </w:r>
    </w:p>
    <w:p>
      <w:pPr>
        <w:pStyle w:val="7"/>
        <w:ind w:firstLineChars="200"/>
        <w:rPr>
          <w:rFonts w:ascii="宋体" w:hAnsi="宋体"/>
          <w:color w:val="000000"/>
        </w:rPr>
      </w:pPr>
      <w:r>
        <w:rPr>
          <w:rFonts w:hint="eastAsia" w:ascii="宋体" w:hAnsi="宋体"/>
          <w:color w:val="000000"/>
        </w:rPr>
        <w:t>7.第16列“境外分支机构调整分摊扣除的有关成本费用”：填报纳税人境外分支机构应合理分摊的总部管理费等有关成本费用，同时在《纳税调整项目明细表》（A105000）进行纳税调增。</w:t>
      </w:r>
    </w:p>
    <w:p>
      <w:pPr>
        <w:pStyle w:val="7"/>
        <w:ind w:firstLineChars="200"/>
        <w:rPr>
          <w:rFonts w:ascii="宋体" w:hAnsi="宋体"/>
          <w:color w:val="000000"/>
        </w:rPr>
      </w:pPr>
      <w:r>
        <w:rPr>
          <w:rFonts w:hint="eastAsia" w:ascii="宋体" w:hAnsi="宋体"/>
          <w:color w:val="000000"/>
        </w:rPr>
        <w:t>8.第17列“境外所得对应调整的相关成本费用支出”：填报纳税人实际发生与取得境外所得有关但未直接计入境外所得应纳税所得的成本费用支出，同时在《纳税调整项目明细表》（A105000）进行纳税调增。</w:t>
      </w:r>
    </w:p>
    <w:p>
      <w:pPr>
        <w:pStyle w:val="7"/>
        <w:ind w:firstLineChars="200"/>
        <w:rPr>
          <w:rFonts w:ascii="宋体" w:hAnsi="宋体"/>
          <w:color w:val="000000"/>
        </w:rPr>
      </w:pPr>
      <w:r>
        <w:rPr>
          <w:rFonts w:hint="eastAsia" w:ascii="宋体" w:hAnsi="宋体"/>
          <w:color w:val="000000"/>
        </w:rPr>
        <w:t>9.第18列“境外所得纳税调整后所得”：填报第14+15-16-17列的金额。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1.第9列＝第</w:t>
      </w:r>
      <w:r>
        <w:rPr>
          <w:rFonts w:ascii="宋体" w:hAnsi="宋体"/>
          <w:color w:val="000000"/>
        </w:rPr>
        <w:t>2</w:t>
      </w:r>
      <w:r>
        <w:rPr>
          <w:rFonts w:hint="eastAsia" w:ascii="宋体" w:hAnsi="宋体"/>
          <w:color w:val="000000"/>
        </w:rPr>
        <w:t>+</w:t>
      </w:r>
      <w:r>
        <w:rPr>
          <w:rFonts w:ascii="宋体" w:hAnsi="宋体"/>
          <w:color w:val="000000"/>
        </w:rPr>
        <w:t>3+…</w:t>
      </w:r>
      <w:r>
        <w:rPr>
          <w:rFonts w:hint="eastAsia" w:ascii="宋体" w:hAnsi="宋体"/>
          <w:color w:val="000000"/>
        </w:rPr>
        <w:t>+</w:t>
      </w:r>
      <w:r>
        <w:rPr>
          <w:rFonts w:ascii="宋体" w:hAnsi="宋体"/>
          <w:color w:val="000000"/>
        </w:rPr>
        <w:t>8</w:t>
      </w:r>
      <w:r>
        <w:rPr>
          <w:rFonts w:hint="eastAsia" w:ascii="宋体" w:hAnsi="宋体"/>
          <w:color w:val="000000"/>
        </w:rPr>
        <w:t>列。</w:t>
      </w:r>
    </w:p>
    <w:p>
      <w:pPr>
        <w:pStyle w:val="7"/>
        <w:ind w:firstLineChars="200"/>
        <w:rPr>
          <w:rFonts w:ascii="宋体" w:hAnsi="宋体"/>
          <w:color w:val="000000"/>
        </w:rPr>
      </w:pPr>
      <w:r>
        <w:rPr>
          <w:rFonts w:hint="eastAsia" w:ascii="宋体" w:hAnsi="宋体"/>
          <w:color w:val="000000"/>
        </w:rPr>
        <w:t>2.第</w:t>
      </w:r>
      <w:r>
        <w:rPr>
          <w:rFonts w:ascii="宋体" w:hAnsi="宋体"/>
          <w:color w:val="000000"/>
        </w:rPr>
        <w:t>1</w:t>
      </w:r>
      <w:r>
        <w:rPr>
          <w:rFonts w:hint="eastAsia" w:ascii="宋体" w:hAnsi="宋体"/>
          <w:color w:val="000000"/>
        </w:rPr>
        <w:t>3列</w:t>
      </w:r>
      <w:r>
        <w:rPr>
          <w:rFonts w:ascii="宋体" w:hAnsi="宋体"/>
          <w:color w:val="000000"/>
        </w:rPr>
        <w:t>＝</w:t>
      </w:r>
      <w:r>
        <w:rPr>
          <w:rFonts w:hint="eastAsia" w:ascii="宋体" w:hAnsi="宋体"/>
          <w:color w:val="000000"/>
        </w:rPr>
        <w:t>第10+11+12列。</w:t>
      </w:r>
    </w:p>
    <w:p>
      <w:pPr>
        <w:pStyle w:val="7"/>
        <w:ind w:firstLineChars="200"/>
        <w:rPr>
          <w:rFonts w:ascii="宋体" w:hAnsi="宋体"/>
          <w:color w:val="000000"/>
        </w:rPr>
      </w:pPr>
      <w:r>
        <w:rPr>
          <w:rFonts w:hint="eastAsia" w:ascii="宋体" w:hAnsi="宋体"/>
          <w:color w:val="000000"/>
        </w:rPr>
        <w:t>3.第</w:t>
      </w:r>
      <w:r>
        <w:rPr>
          <w:rFonts w:ascii="宋体" w:hAnsi="宋体"/>
          <w:color w:val="000000"/>
        </w:rPr>
        <w:t>1</w:t>
      </w:r>
      <w:r>
        <w:rPr>
          <w:rFonts w:hint="eastAsia" w:ascii="宋体" w:hAnsi="宋体"/>
          <w:color w:val="000000"/>
        </w:rPr>
        <w:t>4列</w:t>
      </w:r>
      <w:r>
        <w:rPr>
          <w:rFonts w:ascii="宋体" w:hAnsi="宋体"/>
          <w:color w:val="000000"/>
        </w:rPr>
        <w:t>＝</w:t>
      </w:r>
      <w:r>
        <w:rPr>
          <w:rFonts w:hint="eastAsia" w:ascii="宋体" w:hAnsi="宋体"/>
          <w:color w:val="000000"/>
        </w:rPr>
        <w:t>第9+10+11列。</w:t>
      </w:r>
    </w:p>
    <w:p>
      <w:pPr>
        <w:pStyle w:val="7"/>
        <w:ind w:firstLineChars="200"/>
        <w:rPr>
          <w:rFonts w:ascii="宋体" w:hAnsi="宋体"/>
          <w:color w:val="000000"/>
        </w:rPr>
      </w:pPr>
      <w:r>
        <w:rPr>
          <w:rFonts w:hint="eastAsia" w:ascii="宋体" w:hAnsi="宋体"/>
          <w:color w:val="000000"/>
        </w:rPr>
        <w:t>4.第</w:t>
      </w:r>
      <w:r>
        <w:rPr>
          <w:rFonts w:ascii="宋体" w:hAnsi="宋体"/>
          <w:color w:val="000000"/>
        </w:rPr>
        <w:t>1</w:t>
      </w:r>
      <w:r>
        <w:rPr>
          <w:rFonts w:hint="eastAsia" w:ascii="宋体" w:hAnsi="宋体"/>
          <w:color w:val="000000"/>
        </w:rPr>
        <w:t>8列</w:t>
      </w:r>
      <w:r>
        <w:rPr>
          <w:rFonts w:ascii="宋体" w:hAnsi="宋体"/>
          <w:color w:val="000000"/>
        </w:rPr>
        <w:t>＝</w:t>
      </w:r>
      <w:r>
        <w:rPr>
          <w:rFonts w:hint="eastAsia" w:ascii="宋体" w:hAnsi="宋体"/>
          <w:color w:val="000000"/>
        </w:rPr>
        <w:t>第14+</w:t>
      </w:r>
      <w:r>
        <w:rPr>
          <w:rFonts w:ascii="宋体" w:hAnsi="宋体"/>
          <w:color w:val="000000"/>
        </w:rPr>
        <w:t>1</w:t>
      </w:r>
      <w:r>
        <w:rPr>
          <w:rFonts w:hint="eastAsia" w:ascii="宋体" w:hAnsi="宋体"/>
          <w:color w:val="000000"/>
        </w:rPr>
        <w:t>5-16-</w:t>
      </w:r>
      <w:r>
        <w:rPr>
          <w:rFonts w:ascii="宋体" w:hAnsi="宋体"/>
          <w:color w:val="000000"/>
        </w:rPr>
        <w:t>1</w:t>
      </w:r>
      <w:r>
        <w:rPr>
          <w:rFonts w:hint="eastAsia" w:ascii="宋体" w:hAnsi="宋体"/>
          <w:color w:val="000000"/>
        </w:rPr>
        <w:t>7列。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1.若选择“分国（地区）不分项”的境外所得抵免方式，第13列各行＝表A108000第10列相应行次；若选择“不分国（地区）不分项” 的境外所得抵免方式，第13列合计＝表A108000第1行第10列。</w:t>
      </w:r>
    </w:p>
    <w:p>
      <w:pPr>
        <w:pStyle w:val="7"/>
        <w:ind w:firstLineChars="200"/>
        <w:rPr>
          <w:rFonts w:ascii="宋体" w:hAnsi="宋体"/>
          <w:color w:val="000000"/>
        </w:rPr>
      </w:pPr>
      <w:r>
        <w:rPr>
          <w:rFonts w:hint="eastAsia" w:ascii="宋体" w:hAnsi="宋体"/>
          <w:color w:val="000000"/>
        </w:rPr>
        <w:t>2.若选择“分国（地区）不分项”的境外所得抵免方式，第14列各行＝表A108000第2列相应行次；若选择“不分国（地区）不分项” 的境外所得抵免方式，第14列合计＝表A108000第1行第2列。</w:t>
      </w:r>
    </w:p>
    <w:p>
      <w:pPr>
        <w:pStyle w:val="7"/>
        <w:ind w:firstLineChars="200"/>
        <w:rPr>
          <w:rFonts w:ascii="宋体" w:hAnsi="宋体"/>
          <w:color w:val="000000"/>
        </w:rPr>
      </w:pPr>
      <w:r>
        <w:rPr>
          <w:rFonts w:hint="eastAsia" w:ascii="宋体" w:hAnsi="宋体"/>
          <w:color w:val="000000"/>
        </w:rPr>
        <w:t>3.第14列合计-第11列合计＝表A100000第14行。</w:t>
      </w:r>
    </w:p>
    <w:p>
      <w:pPr>
        <w:pStyle w:val="7"/>
        <w:ind w:firstLineChars="200"/>
        <w:rPr>
          <w:rFonts w:ascii="宋体" w:hAnsi="宋体"/>
          <w:color w:val="000000"/>
        </w:rPr>
      </w:pPr>
      <w:r>
        <w:rPr>
          <w:rFonts w:hint="eastAsia" w:ascii="宋体" w:hAnsi="宋体"/>
          <w:color w:val="000000"/>
        </w:rPr>
        <w:t>4.第16列合计+第17列合计＝表A105000第28行第3列。</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5.若选择“分国（地区）不分项”的境外所得抵免方式，第18列相应行次＝表A108000第3列相应行次；若选择“不分国（地区）不分项” 的境外所得抵免方式，第</w:t>
      </w:r>
      <w:r>
        <w:rPr>
          <w:rFonts w:ascii="宋体" w:hAnsi="宋体"/>
          <w:color w:val="000000"/>
        </w:rPr>
        <w:t>18</w:t>
      </w:r>
      <w:r>
        <w:rPr>
          <w:rFonts w:hint="eastAsia" w:ascii="宋体" w:hAnsi="宋体"/>
          <w:color w:val="000000"/>
        </w:rPr>
        <w:t>列合计＝表A108000第1行第</w:t>
      </w:r>
      <w:r>
        <w:rPr>
          <w:rFonts w:ascii="宋体" w:hAnsi="宋体"/>
          <w:color w:val="000000"/>
        </w:rPr>
        <w:t>3</w:t>
      </w:r>
      <w:r>
        <w:rPr>
          <w:rFonts w:hint="eastAsia" w:ascii="宋体" w:hAnsi="宋体"/>
          <w:color w:val="000000"/>
        </w:rPr>
        <w:t>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458DE"/>
    <w:rsid w:val="4624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2019-10-31T02:03:00Z</dcterms:created>
  <dc:creator>陈莉佳</dc:creator>
  <cp:lastModifiedBy>陈莉佳</cp:lastModifiedBy>
  <dcterms:modified xsi:type="dcterms:W3CDTF">2019-10-31T02:03:25Z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