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15" w:lineRule="auto"/>
        <w:rPr>
          <w:rFonts w:ascii="宋体" w:hAnsi="宋体" w:eastAsia="宋体"/>
        </w:rPr>
      </w:pPr>
      <w:r>
        <w:rPr>
          <w:rFonts w:ascii="宋体" w:hAnsi="宋体" w:eastAsia="宋体"/>
        </w:rPr>
        <w:t>A06593</w:t>
      </w:r>
      <w:r>
        <w:rPr>
          <w:rFonts w:hint="eastAsia" w:ascii="宋体" w:hAnsi="宋体" w:eastAsia="宋体"/>
        </w:rPr>
        <w:t>《境外所得税收抵免明细表》（</w:t>
      </w:r>
      <w:r>
        <w:rPr>
          <w:rFonts w:ascii="宋体" w:hAnsi="宋体" w:eastAsia="宋体"/>
        </w:rPr>
        <w:t>A108000</w:t>
      </w:r>
      <w:r>
        <w:rPr>
          <w:rFonts w:hint="eastAsia" w:ascii="宋体" w:hAnsi="宋体" w:eastAsia="宋体"/>
        </w:rPr>
        <w:t>）</w:t>
      </w:r>
    </w:p>
    <w:p>
      <w:pPr>
        <w:pStyle w:val="5"/>
        <w:ind w:firstLine="482" w:firstLineChars="200"/>
        <w:rPr>
          <w:rFonts w:ascii="宋体" w:hAnsi="宋体" w:eastAsia="宋体"/>
        </w:rPr>
      </w:pPr>
      <w:bookmarkStart w:id="0" w:name="_GoBack"/>
      <w:bookmarkEnd w:id="0"/>
    </w:p>
    <w:p>
      <w:pPr>
        <w:pStyle w:val="5"/>
        <w:ind w:firstLine="562"/>
        <w:jc w:val="center"/>
        <w:outlineLvl w:val="9"/>
        <w:rPr>
          <w:rFonts w:ascii="宋体" w:hAnsi="宋体" w:eastAsia="宋体"/>
          <w:color w:val="000000"/>
          <w:sz w:val="32"/>
          <w:szCs w:val="32"/>
        </w:rPr>
      </w:pPr>
      <w:r>
        <w:rPr>
          <w:rFonts w:hint="eastAsia" w:ascii="宋体" w:hAnsi="宋体" w:eastAsia="宋体"/>
          <w:color w:val="000000"/>
          <w:sz w:val="28"/>
          <w:szCs w:val="28"/>
        </w:rPr>
        <w:t>境外所得税抵免计算明细表</w:t>
      </w:r>
      <w:r>
        <w:rPr>
          <w:rFonts w:hint="eastAsia" w:ascii="宋体" w:hAnsi="宋体" w:eastAsia="宋体"/>
          <w:color w:val="000000"/>
          <w:sz w:val="32"/>
          <w:szCs w:val="32"/>
        </w:rPr>
        <w:t>（</w:t>
      </w:r>
      <w:r>
        <w:rPr>
          <w:rFonts w:ascii="宋体" w:hAnsi="宋体" w:eastAsia="宋体"/>
          <w:color w:val="000000"/>
          <w:sz w:val="32"/>
          <w:szCs w:val="32"/>
        </w:rPr>
        <w:t>A108000</w:t>
      </w:r>
      <w:r>
        <w:rPr>
          <w:rFonts w:hint="eastAsia" w:ascii="宋体" w:hAnsi="宋体" w:eastAsia="宋体"/>
          <w:color w:val="000000"/>
          <w:sz w:val="32"/>
          <w:szCs w:val="32"/>
        </w:rPr>
        <w:t>）</w:t>
      </w:r>
    </w:p>
    <w:tbl>
      <w:tblPr>
        <w:tblStyle w:val="2"/>
        <w:tblW w:w="1500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31"/>
        <w:gridCol w:w="1426"/>
        <w:gridCol w:w="631"/>
        <w:gridCol w:w="706"/>
        <w:gridCol w:w="751"/>
        <w:gridCol w:w="631"/>
        <w:gridCol w:w="631"/>
        <w:gridCol w:w="735"/>
        <w:gridCol w:w="631"/>
        <w:gridCol w:w="817"/>
        <w:gridCol w:w="631"/>
        <w:gridCol w:w="631"/>
        <w:gridCol w:w="752"/>
        <w:gridCol w:w="772"/>
        <w:gridCol w:w="734"/>
        <w:gridCol w:w="910"/>
        <w:gridCol w:w="708"/>
        <w:gridCol w:w="709"/>
        <w:gridCol w:w="714"/>
        <w:gridCol w:w="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6" w:hRule="atLeast"/>
          <w:jc w:val="center"/>
        </w:trPr>
        <w:tc>
          <w:tcPr>
            <w:tcW w:w="631" w:type="dxa"/>
            <w:vMerge w:val="restart"/>
            <w:noWrap w:val="0"/>
            <w:vAlign w:val="center"/>
          </w:tcPr>
          <w:p>
            <w:pPr>
              <w:pStyle w:val="8"/>
              <w:autoSpaceDE w:val="0"/>
              <w:autoSpaceDN w:val="0"/>
              <w:adjustRightInd w:val="0"/>
              <w:spacing w:before="260" w:after="260" w:line="415" w:lineRule="auto"/>
              <w:jc w:val="center"/>
              <w:rPr>
                <w:rFonts w:ascii="宋体" w:cs="宋体"/>
                <w:color w:val="000000"/>
                <w:sz w:val="20"/>
                <w:szCs w:val="20"/>
              </w:rPr>
            </w:pPr>
            <w:r>
              <w:rPr>
                <w:rFonts w:hint="eastAsia" w:ascii="宋体" w:cs="宋体"/>
                <w:color w:val="000000"/>
                <w:sz w:val="20"/>
                <w:szCs w:val="20"/>
              </w:rPr>
              <w:t>行次</w:t>
            </w:r>
          </w:p>
        </w:tc>
        <w:tc>
          <w:tcPr>
            <w:tcW w:w="1426" w:type="dxa"/>
            <w:vMerge w:val="restart"/>
            <w:noWrap w:val="0"/>
            <w:vAlign w:val="center"/>
          </w:tcPr>
          <w:p>
            <w:pPr>
              <w:pStyle w:val="8"/>
              <w:autoSpaceDE w:val="0"/>
              <w:autoSpaceDN w:val="0"/>
              <w:adjustRightInd w:val="0"/>
              <w:spacing w:before="260" w:after="260" w:line="415" w:lineRule="auto"/>
              <w:jc w:val="center"/>
              <w:rPr>
                <w:rFonts w:ascii="宋体" w:cs="宋体"/>
                <w:color w:val="000000"/>
                <w:sz w:val="20"/>
                <w:szCs w:val="20"/>
              </w:rPr>
            </w:pPr>
            <w:r>
              <w:rPr>
                <w:rFonts w:hint="eastAsia" w:ascii="宋体" w:cs="宋体"/>
                <w:color w:val="000000"/>
                <w:sz w:val="20"/>
                <w:szCs w:val="20"/>
              </w:rPr>
              <w:t>国家</w:t>
            </w:r>
          </w:p>
          <w:p>
            <w:pPr>
              <w:pStyle w:val="8"/>
              <w:autoSpaceDE w:val="0"/>
              <w:autoSpaceDN w:val="0"/>
              <w:adjustRightInd w:val="0"/>
              <w:spacing w:before="260" w:after="260" w:line="415" w:lineRule="auto"/>
              <w:jc w:val="center"/>
              <w:rPr>
                <w:rFonts w:ascii="宋体" w:cs="宋体"/>
                <w:color w:val="000000"/>
                <w:sz w:val="20"/>
                <w:szCs w:val="20"/>
              </w:rPr>
            </w:pPr>
            <w:r>
              <w:rPr>
                <w:rFonts w:hint="eastAsia" w:ascii="宋体" w:cs="宋体"/>
                <w:color w:val="000000"/>
                <w:sz w:val="20"/>
                <w:szCs w:val="20"/>
              </w:rPr>
              <w:t>（地区）</w:t>
            </w:r>
          </w:p>
        </w:tc>
        <w:tc>
          <w:tcPr>
            <w:tcW w:w="631" w:type="dxa"/>
            <w:vMerge w:val="restart"/>
            <w:noWrap w:val="0"/>
            <w:vAlign w:val="center"/>
          </w:tcPr>
          <w:p>
            <w:pPr>
              <w:pStyle w:val="8"/>
              <w:autoSpaceDE w:val="0"/>
              <w:autoSpaceDN w:val="0"/>
              <w:adjustRightInd w:val="0"/>
              <w:spacing w:before="260" w:after="260" w:line="415" w:lineRule="auto"/>
              <w:jc w:val="center"/>
              <w:rPr>
                <w:rFonts w:ascii="宋体" w:cs="宋体"/>
                <w:color w:val="000000"/>
                <w:sz w:val="20"/>
                <w:szCs w:val="20"/>
              </w:rPr>
            </w:pPr>
            <w:r>
              <w:rPr>
                <w:rFonts w:hint="eastAsia" w:ascii="宋体" w:cs="宋体"/>
                <w:color w:val="000000"/>
                <w:sz w:val="20"/>
                <w:szCs w:val="20"/>
              </w:rPr>
              <w:t>境外税前所得</w:t>
            </w:r>
          </w:p>
        </w:tc>
        <w:tc>
          <w:tcPr>
            <w:tcW w:w="706" w:type="dxa"/>
            <w:vMerge w:val="restart"/>
            <w:noWrap w:val="0"/>
            <w:vAlign w:val="center"/>
          </w:tcPr>
          <w:p>
            <w:pPr>
              <w:pStyle w:val="8"/>
              <w:autoSpaceDE w:val="0"/>
              <w:autoSpaceDN w:val="0"/>
              <w:adjustRightInd w:val="0"/>
              <w:spacing w:before="260" w:after="260" w:line="415" w:lineRule="auto"/>
              <w:jc w:val="center"/>
              <w:rPr>
                <w:rFonts w:ascii="宋体" w:cs="宋体"/>
                <w:color w:val="000000"/>
                <w:sz w:val="20"/>
                <w:szCs w:val="20"/>
              </w:rPr>
            </w:pPr>
            <w:r>
              <w:rPr>
                <w:rFonts w:hint="eastAsia" w:ascii="宋体" w:cs="宋体"/>
                <w:color w:val="000000"/>
                <w:sz w:val="20"/>
                <w:szCs w:val="20"/>
              </w:rPr>
              <w:t>境外所得纳税调整后所得</w:t>
            </w:r>
          </w:p>
        </w:tc>
        <w:tc>
          <w:tcPr>
            <w:tcW w:w="751" w:type="dxa"/>
            <w:vMerge w:val="restart"/>
            <w:noWrap w:val="0"/>
            <w:vAlign w:val="center"/>
          </w:tcPr>
          <w:p>
            <w:pPr>
              <w:pStyle w:val="8"/>
              <w:autoSpaceDE w:val="0"/>
              <w:autoSpaceDN w:val="0"/>
              <w:adjustRightInd w:val="0"/>
              <w:spacing w:before="260" w:after="260" w:line="415" w:lineRule="auto"/>
              <w:jc w:val="center"/>
              <w:rPr>
                <w:rFonts w:ascii="宋体" w:cs="宋体"/>
                <w:color w:val="000000"/>
                <w:sz w:val="20"/>
                <w:szCs w:val="20"/>
              </w:rPr>
            </w:pPr>
            <w:r>
              <w:rPr>
                <w:rFonts w:hint="eastAsia" w:ascii="宋体" w:cs="宋体"/>
                <w:color w:val="000000"/>
                <w:sz w:val="20"/>
                <w:szCs w:val="20"/>
              </w:rPr>
              <w:t>弥补境外以前年度亏损</w:t>
            </w:r>
          </w:p>
        </w:tc>
        <w:tc>
          <w:tcPr>
            <w:tcW w:w="631" w:type="dxa"/>
            <w:vMerge w:val="restart"/>
            <w:noWrap w:val="0"/>
            <w:vAlign w:val="center"/>
          </w:tcPr>
          <w:p>
            <w:pPr>
              <w:pStyle w:val="8"/>
              <w:autoSpaceDE w:val="0"/>
              <w:autoSpaceDN w:val="0"/>
              <w:adjustRightInd w:val="0"/>
              <w:spacing w:before="260" w:after="260" w:line="415" w:lineRule="auto"/>
              <w:jc w:val="center"/>
              <w:rPr>
                <w:rFonts w:ascii="宋体" w:cs="宋体"/>
                <w:color w:val="000000"/>
                <w:sz w:val="20"/>
                <w:szCs w:val="20"/>
              </w:rPr>
            </w:pPr>
            <w:r>
              <w:rPr>
                <w:rFonts w:hint="eastAsia" w:ascii="宋体" w:cs="宋体"/>
                <w:color w:val="000000"/>
                <w:sz w:val="20"/>
                <w:szCs w:val="20"/>
              </w:rPr>
              <w:t>境外应纳税所得额</w:t>
            </w:r>
          </w:p>
        </w:tc>
        <w:tc>
          <w:tcPr>
            <w:tcW w:w="631" w:type="dxa"/>
            <w:vMerge w:val="restart"/>
            <w:noWrap w:val="0"/>
            <w:vAlign w:val="center"/>
          </w:tcPr>
          <w:p>
            <w:pPr>
              <w:pStyle w:val="8"/>
              <w:autoSpaceDE w:val="0"/>
              <w:autoSpaceDN w:val="0"/>
              <w:adjustRightInd w:val="0"/>
              <w:spacing w:before="260" w:after="260" w:line="415" w:lineRule="auto"/>
              <w:jc w:val="center"/>
              <w:rPr>
                <w:rFonts w:ascii="宋体" w:cs="宋体"/>
                <w:color w:val="000000"/>
                <w:sz w:val="20"/>
                <w:szCs w:val="20"/>
              </w:rPr>
            </w:pPr>
            <w:r>
              <w:rPr>
                <w:rFonts w:hint="eastAsia" w:ascii="宋体" w:cs="宋体"/>
                <w:color w:val="000000"/>
                <w:sz w:val="20"/>
                <w:szCs w:val="20"/>
              </w:rPr>
              <w:t>抵减境内亏损</w:t>
            </w:r>
          </w:p>
        </w:tc>
        <w:tc>
          <w:tcPr>
            <w:tcW w:w="735" w:type="dxa"/>
            <w:vMerge w:val="restart"/>
            <w:noWrap w:val="0"/>
            <w:vAlign w:val="center"/>
          </w:tcPr>
          <w:p>
            <w:pPr>
              <w:pStyle w:val="8"/>
              <w:autoSpaceDE w:val="0"/>
              <w:autoSpaceDN w:val="0"/>
              <w:adjustRightInd w:val="0"/>
              <w:spacing w:before="260" w:after="260" w:line="415" w:lineRule="auto"/>
              <w:jc w:val="center"/>
              <w:rPr>
                <w:rFonts w:ascii="宋体" w:cs="宋体"/>
                <w:color w:val="000000"/>
                <w:sz w:val="20"/>
                <w:szCs w:val="20"/>
              </w:rPr>
            </w:pPr>
            <w:r>
              <w:rPr>
                <w:rFonts w:hint="eastAsia" w:ascii="宋体" w:cs="宋体"/>
                <w:color w:val="000000"/>
                <w:sz w:val="20"/>
                <w:szCs w:val="20"/>
              </w:rPr>
              <w:t>抵减境内亏损后的境外应纳税所得额</w:t>
            </w:r>
          </w:p>
        </w:tc>
        <w:tc>
          <w:tcPr>
            <w:tcW w:w="631" w:type="dxa"/>
            <w:vMerge w:val="restart"/>
            <w:noWrap w:val="0"/>
            <w:vAlign w:val="center"/>
          </w:tcPr>
          <w:p>
            <w:pPr>
              <w:pStyle w:val="8"/>
              <w:autoSpaceDE w:val="0"/>
              <w:autoSpaceDN w:val="0"/>
              <w:adjustRightInd w:val="0"/>
              <w:spacing w:before="260" w:after="260" w:line="415" w:lineRule="auto"/>
              <w:jc w:val="center"/>
              <w:rPr>
                <w:rFonts w:ascii="宋体" w:cs="宋体"/>
                <w:color w:val="000000"/>
                <w:sz w:val="20"/>
                <w:szCs w:val="20"/>
              </w:rPr>
            </w:pPr>
            <w:r>
              <w:rPr>
                <w:rFonts w:hint="eastAsia" w:ascii="宋体" w:cs="宋体"/>
                <w:color w:val="000000"/>
                <w:sz w:val="20"/>
                <w:szCs w:val="20"/>
              </w:rPr>
              <w:t>税率</w:t>
            </w:r>
          </w:p>
        </w:tc>
        <w:tc>
          <w:tcPr>
            <w:tcW w:w="817" w:type="dxa"/>
            <w:vMerge w:val="restart"/>
            <w:noWrap w:val="0"/>
            <w:vAlign w:val="center"/>
          </w:tcPr>
          <w:p>
            <w:pPr>
              <w:pStyle w:val="8"/>
              <w:autoSpaceDE w:val="0"/>
              <w:autoSpaceDN w:val="0"/>
              <w:adjustRightInd w:val="0"/>
              <w:spacing w:before="260" w:after="260" w:line="415" w:lineRule="auto"/>
              <w:jc w:val="center"/>
              <w:rPr>
                <w:rFonts w:ascii="宋体" w:cs="宋体"/>
                <w:color w:val="000000"/>
                <w:sz w:val="20"/>
                <w:szCs w:val="20"/>
              </w:rPr>
            </w:pPr>
            <w:r>
              <w:rPr>
                <w:rFonts w:hint="eastAsia" w:ascii="宋体" w:cs="宋体"/>
                <w:color w:val="000000"/>
                <w:sz w:val="20"/>
                <w:szCs w:val="20"/>
              </w:rPr>
              <w:t>境外所得应纳税额</w:t>
            </w:r>
          </w:p>
        </w:tc>
        <w:tc>
          <w:tcPr>
            <w:tcW w:w="631" w:type="dxa"/>
            <w:vMerge w:val="restart"/>
            <w:noWrap w:val="0"/>
            <w:vAlign w:val="center"/>
          </w:tcPr>
          <w:p>
            <w:pPr>
              <w:pStyle w:val="8"/>
              <w:autoSpaceDE w:val="0"/>
              <w:autoSpaceDN w:val="0"/>
              <w:adjustRightInd w:val="0"/>
              <w:spacing w:before="260" w:after="260" w:line="415" w:lineRule="auto"/>
              <w:jc w:val="center"/>
              <w:rPr>
                <w:rFonts w:ascii="宋体" w:cs="宋体"/>
                <w:color w:val="000000"/>
                <w:sz w:val="20"/>
                <w:szCs w:val="20"/>
              </w:rPr>
            </w:pPr>
            <w:r>
              <w:rPr>
                <w:rFonts w:hint="eastAsia" w:ascii="宋体" w:cs="宋体"/>
                <w:color w:val="000000"/>
                <w:sz w:val="20"/>
                <w:szCs w:val="20"/>
              </w:rPr>
              <w:t>境外所得可抵免税额</w:t>
            </w:r>
          </w:p>
        </w:tc>
        <w:tc>
          <w:tcPr>
            <w:tcW w:w="631" w:type="dxa"/>
            <w:vMerge w:val="restart"/>
            <w:noWrap w:val="0"/>
            <w:vAlign w:val="center"/>
          </w:tcPr>
          <w:p>
            <w:pPr>
              <w:pStyle w:val="8"/>
              <w:autoSpaceDE w:val="0"/>
              <w:autoSpaceDN w:val="0"/>
              <w:adjustRightInd w:val="0"/>
              <w:spacing w:before="260" w:after="260" w:line="415" w:lineRule="auto"/>
              <w:jc w:val="center"/>
              <w:rPr>
                <w:rFonts w:ascii="宋体" w:cs="宋体"/>
                <w:color w:val="000000"/>
                <w:sz w:val="20"/>
                <w:szCs w:val="20"/>
              </w:rPr>
            </w:pPr>
            <w:r>
              <w:rPr>
                <w:rFonts w:hint="eastAsia" w:ascii="宋体" w:cs="宋体"/>
                <w:color w:val="000000"/>
                <w:sz w:val="20"/>
                <w:szCs w:val="20"/>
              </w:rPr>
              <w:t>境外所得抵免限额</w:t>
            </w:r>
          </w:p>
        </w:tc>
        <w:tc>
          <w:tcPr>
            <w:tcW w:w="752" w:type="dxa"/>
            <w:vMerge w:val="restart"/>
            <w:noWrap w:val="0"/>
            <w:vAlign w:val="center"/>
          </w:tcPr>
          <w:p>
            <w:pPr>
              <w:pStyle w:val="8"/>
              <w:autoSpaceDE w:val="0"/>
              <w:autoSpaceDN w:val="0"/>
              <w:adjustRightInd w:val="0"/>
              <w:spacing w:before="260" w:after="260" w:line="415" w:lineRule="auto"/>
              <w:jc w:val="center"/>
              <w:rPr>
                <w:rFonts w:ascii="宋体" w:cs="宋体"/>
                <w:color w:val="000000"/>
                <w:sz w:val="20"/>
                <w:szCs w:val="20"/>
              </w:rPr>
            </w:pPr>
            <w:r>
              <w:rPr>
                <w:rFonts w:hint="eastAsia" w:ascii="宋体" w:cs="宋体"/>
                <w:color w:val="000000"/>
                <w:sz w:val="20"/>
                <w:szCs w:val="20"/>
              </w:rPr>
              <w:t>本年可抵免境外所得税额</w:t>
            </w:r>
          </w:p>
        </w:tc>
        <w:tc>
          <w:tcPr>
            <w:tcW w:w="772" w:type="dxa"/>
            <w:vMerge w:val="restart"/>
            <w:noWrap w:val="0"/>
            <w:vAlign w:val="center"/>
          </w:tcPr>
          <w:p>
            <w:pPr>
              <w:pStyle w:val="8"/>
              <w:autoSpaceDE w:val="0"/>
              <w:autoSpaceDN w:val="0"/>
              <w:adjustRightInd w:val="0"/>
              <w:spacing w:before="260" w:after="260" w:line="415" w:lineRule="auto"/>
              <w:jc w:val="center"/>
              <w:rPr>
                <w:rFonts w:ascii="宋体" w:cs="宋体"/>
                <w:color w:val="000000"/>
                <w:sz w:val="20"/>
                <w:szCs w:val="20"/>
              </w:rPr>
            </w:pPr>
            <w:r>
              <w:rPr>
                <w:rFonts w:hint="eastAsia" w:ascii="宋体" w:cs="宋体"/>
                <w:color w:val="000000"/>
                <w:sz w:val="20"/>
                <w:szCs w:val="20"/>
              </w:rPr>
              <w:t>未超过境外所得税抵免限额的余额</w:t>
            </w:r>
          </w:p>
        </w:tc>
        <w:tc>
          <w:tcPr>
            <w:tcW w:w="734" w:type="dxa"/>
            <w:vMerge w:val="restart"/>
            <w:noWrap w:val="0"/>
            <w:vAlign w:val="center"/>
          </w:tcPr>
          <w:p>
            <w:pPr>
              <w:pStyle w:val="8"/>
              <w:autoSpaceDE w:val="0"/>
              <w:autoSpaceDN w:val="0"/>
              <w:adjustRightInd w:val="0"/>
              <w:spacing w:before="260" w:after="260" w:line="415" w:lineRule="auto"/>
              <w:jc w:val="center"/>
              <w:rPr>
                <w:rFonts w:ascii="宋体" w:cs="宋体"/>
                <w:color w:val="000000"/>
                <w:sz w:val="20"/>
                <w:szCs w:val="20"/>
              </w:rPr>
            </w:pPr>
            <w:r>
              <w:rPr>
                <w:rFonts w:hint="eastAsia" w:ascii="宋体" w:cs="宋体"/>
                <w:color w:val="000000"/>
                <w:sz w:val="20"/>
                <w:szCs w:val="20"/>
              </w:rPr>
              <w:t>本年可抵免以前年度未抵免境外所得税额</w:t>
            </w:r>
          </w:p>
        </w:tc>
        <w:tc>
          <w:tcPr>
            <w:tcW w:w="3041" w:type="dxa"/>
            <w:gridSpan w:val="4"/>
            <w:noWrap w:val="0"/>
            <w:vAlign w:val="center"/>
          </w:tcPr>
          <w:p>
            <w:pPr>
              <w:pStyle w:val="8"/>
              <w:autoSpaceDE w:val="0"/>
              <w:autoSpaceDN w:val="0"/>
              <w:adjustRightInd w:val="0"/>
              <w:spacing w:before="260" w:after="260" w:line="415" w:lineRule="auto"/>
              <w:jc w:val="center"/>
              <w:rPr>
                <w:rFonts w:ascii="宋体" w:cs="宋体"/>
                <w:color w:val="000000"/>
                <w:sz w:val="20"/>
                <w:szCs w:val="20"/>
              </w:rPr>
            </w:pPr>
            <w:r>
              <w:rPr>
                <w:rFonts w:hint="eastAsia" w:ascii="宋体" w:cs="宋体"/>
                <w:color w:val="000000"/>
                <w:sz w:val="20"/>
                <w:szCs w:val="20"/>
              </w:rPr>
              <w:t>按简易办法计算</w:t>
            </w:r>
          </w:p>
        </w:tc>
        <w:tc>
          <w:tcPr>
            <w:tcW w:w="851" w:type="dxa"/>
            <w:vMerge w:val="restart"/>
            <w:noWrap w:val="0"/>
            <w:vAlign w:val="center"/>
          </w:tcPr>
          <w:p>
            <w:pPr>
              <w:pStyle w:val="8"/>
              <w:autoSpaceDE w:val="0"/>
              <w:autoSpaceDN w:val="0"/>
              <w:adjustRightInd w:val="0"/>
              <w:spacing w:before="260" w:after="260" w:line="415" w:lineRule="auto"/>
              <w:jc w:val="center"/>
              <w:rPr>
                <w:rFonts w:ascii="宋体" w:cs="宋体"/>
                <w:color w:val="000000"/>
                <w:sz w:val="20"/>
                <w:szCs w:val="20"/>
              </w:rPr>
            </w:pPr>
            <w:r>
              <w:rPr>
                <w:rFonts w:hint="eastAsia" w:ascii="宋体" w:cs="宋体"/>
                <w:color w:val="000000"/>
                <w:sz w:val="20"/>
                <w:szCs w:val="20"/>
              </w:rPr>
              <w:t>境外所得抵免所得税额合计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47" w:hRule="atLeast"/>
          <w:jc w:val="center"/>
        </w:trPr>
        <w:tc>
          <w:tcPr>
            <w:tcW w:w="631" w:type="dxa"/>
            <w:vMerge w:val="continue"/>
            <w:noWrap w:val="0"/>
            <w:vAlign w:val="center"/>
          </w:tcPr>
          <w:p>
            <w:pPr>
              <w:pStyle w:val="8"/>
              <w:autoSpaceDE w:val="0"/>
              <w:autoSpaceDN w:val="0"/>
              <w:adjustRightInd w:val="0"/>
              <w:spacing w:before="260" w:after="260" w:line="415" w:lineRule="auto"/>
              <w:jc w:val="center"/>
              <w:rPr>
                <w:rFonts w:ascii="宋体" w:cs="宋体"/>
                <w:color w:val="000000"/>
                <w:sz w:val="20"/>
                <w:szCs w:val="20"/>
              </w:rPr>
            </w:pPr>
          </w:p>
        </w:tc>
        <w:tc>
          <w:tcPr>
            <w:tcW w:w="1426" w:type="dxa"/>
            <w:vMerge w:val="continue"/>
            <w:noWrap w:val="0"/>
            <w:vAlign w:val="center"/>
          </w:tcPr>
          <w:p>
            <w:pPr>
              <w:pStyle w:val="8"/>
              <w:autoSpaceDE w:val="0"/>
              <w:autoSpaceDN w:val="0"/>
              <w:adjustRightInd w:val="0"/>
              <w:spacing w:before="260" w:after="260" w:line="415" w:lineRule="auto"/>
              <w:jc w:val="center"/>
              <w:rPr>
                <w:rFonts w:ascii="宋体" w:cs="宋体"/>
                <w:color w:val="000000"/>
                <w:sz w:val="20"/>
                <w:szCs w:val="20"/>
              </w:rPr>
            </w:pPr>
          </w:p>
        </w:tc>
        <w:tc>
          <w:tcPr>
            <w:tcW w:w="631" w:type="dxa"/>
            <w:vMerge w:val="continue"/>
            <w:noWrap w:val="0"/>
            <w:vAlign w:val="center"/>
          </w:tcPr>
          <w:p>
            <w:pPr>
              <w:pStyle w:val="8"/>
              <w:autoSpaceDE w:val="0"/>
              <w:autoSpaceDN w:val="0"/>
              <w:adjustRightInd w:val="0"/>
              <w:spacing w:before="260" w:after="260" w:line="415" w:lineRule="auto"/>
              <w:jc w:val="center"/>
              <w:rPr>
                <w:rFonts w:ascii="宋体" w:cs="宋体"/>
                <w:color w:val="000000"/>
                <w:sz w:val="20"/>
                <w:szCs w:val="20"/>
              </w:rPr>
            </w:pPr>
          </w:p>
        </w:tc>
        <w:tc>
          <w:tcPr>
            <w:tcW w:w="706" w:type="dxa"/>
            <w:vMerge w:val="continue"/>
            <w:noWrap w:val="0"/>
            <w:vAlign w:val="center"/>
          </w:tcPr>
          <w:p>
            <w:pPr>
              <w:pStyle w:val="8"/>
              <w:autoSpaceDE w:val="0"/>
              <w:autoSpaceDN w:val="0"/>
              <w:adjustRightInd w:val="0"/>
              <w:spacing w:before="260" w:after="260" w:line="415" w:lineRule="auto"/>
              <w:jc w:val="center"/>
              <w:rPr>
                <w:rFonts w:ascii="宋体" w:cs="宋体"/>
                <w:color w:val="000000"/>
                <w:sz w:val="20"/>
                <w:szCs w:val="20"/>
              </w:rPr>
            </w:pPr>
          </w:p>
        </w:tc>
        <w:tc>
          <w:tcPr>
            <w:tcW w:w="751" w:type="dxa"/>
            <w:vMerge w:val="continue"/>
            <w:noWrap w:val="0"/>
            <w:vAlign w:val="center"/>
          </w:tcPr>
          <w:p>
            <w:pPr>
              <w:pStyle w:val="8"/>
              <w:autoSpaceDE w:val="0"/>
              <w:autoSpaceDN w:val="0"/>
              <w:adjustRightInd w:val="0"/>
              <w:spacing w:before="260" w:after="260" w:line="415" w:lineRule="auto"/>
              <w:jc w:val="center"/>
              <w:rPr>
                <w:rFonts w:ascii="宋体" w:cs="宋体"/>
                <w:color w:val="000000"/>
                <w:sz w:val="20"/>
                <w:szCs w:val="20"/>
              </w:rPr>
            </w:pPr>
          </w:p>
        </w:tc>
        <w:tc>
          <w:tcPr>
            <w:tcW w:w="631" w:type="dxa"/>
            <w:vMerge w:val="continue"/>
            <w:noWrap w:val="0"/>
            <w:vAlign w:val="center"/>
          </w:tcPr>
          <w:p>
            <w:pPr>
              <w:pStyle w:val="8"/>
              <w:autoSpaceDE w:val="0"/>
              <w:autoSpaceDN w:val="0"/>
              <w:adjustRightInd w:val="0"/>
              <w:spacing w:before="260" w:after="260" w:line="415" w:lineRule="auto"/>
              <w:jc w:val="center"/>
              <w:rPr>
                <w:rFonts w:ascii="宋体" w:cs="宋体"/>
                <w:color w:val="000000"/>
                <w:sz w:val="20"/>
                <w:szCs w:val="20"/>
              </w:rPr>
            </w:pPr>
          </w:p>
        </w:tc>
        <w:tc>
          <w:tcPr>
            <w:tcW w:w="631" w:type="dxa"/>
            <w:vMerge w:val="continue"/>
            <w:noWrap w:val="0"/>
            <w:vAlign w:val="center"/>
          </w:tcPr>
          <w:p>
            <w:pPr>
              <w:pStyle w:val="8"/>
              <w:autoSpaceDE w:val="0"/>
              <w:autoSpaceDN w:val="0"/>
              <w:adjustRightInd w:val="0"/>
              <w:spacing w:before="260" w:after="260" w:line="415" w:lineRule="auto"/>
              <w:jc w:val="center"/>
              <w:rPr>
                <w:rFonts w:ascii="宋体" w:cs="宋体"/>
                <w:color w:val="000000"/>
                <w:sz w:val="20"/>
                <w:szCs w:val="20"/>
              </w:rPr>
            </w:pPr>
          </w:p>
        </w:tc>
        <w:tc>
          <w:tcPr>
            <w:tcW w:w="735" w:type="dxa"/>
            <w:vMerge w:val="continue"/>
            <w:noWrap w:val="0"/>
            <w:vAlign w:val="center"/>
          </w:tcPr>
          <w:p>
            <w:pPr>
              <w:pStyle w:val="8"/>
              <w:autoSpaceDE w:val="0"/>
              <w:autoSpaceDN w:val="0"/>
              <w:adjustRightInd w:val="0"/>
              <w:spacing w:before="260" w:after="260" w:line="415" w:lineRule="auto"/>
              <w:jc w:val="center"/>
              <w:rPr>
                <w:rFonts w:ascii="宋体" w:cs="宋体"/>
                <w:color w:val="000000"/>
                <w:sz w:val="20"/>
                <w:szCs w:val="20"/>
              </w:rPr>
            </w:pPr>
          </w:p>
        </w:tc>
        <w:tc>
          <w:tcPr>
            <w:tcW w:w="631" w:type="dxa"/>
            <w:vMerge w:val="continue"/>
            <w:noWrap w:val="0"/>
            <w:vAlign w:val="center"/>
          </w:tcPr>
          <w:p>
            <w:pPr>
              <w:pStyle w:val="8"/>
              <w:autoSpaceDE w:val="0"/>
              <w:autoSpaceDN w:val="0"/>
              <w:adjustRightInd w:val="0"/>
              <w:spacing w:before="260" w:after="260" w:line="415" w:lineRule="auto"/>
              <w:jc w:val="center"/>
              <w:rPr>
                <w:rFonts w:ascii="宋体" w:cs="宋体"/>
                <w:color w:val="000000"/>
                <w:sz w:val="20"/>
                <w:szCs w:val="20"/>
              </w:rPr>
            </w:pPr>
          </w:p>
        </w:tc>
        <w:tc>
          <w:tcPr>
            <w:tcW w:w="817" w:type="dxa"/>
            <w:vMerge w:val="continue"/>
            <w:noWrap w:val="0"/>
            <w:vAlign w:val="center"/>
          </w:tcPr>
          <w:p>
            <w:pPr>
              <w:pStyle w:val="8"/>
              <w:autoSpaceDE w:val="0"/>
              <w:autoSpaceDN w:val="0"/>
              <w:adjustRightInd w:val="0"/>
              <w:spacing w:before="260" w:after="260" w:line="415" w:lineRule="auto"/>
              <w:jc w:val="center"/>
              <w:rPr>
                <w:rFonts w:ascii="宋体" w:cs="宋体"/>
                <w:color w:val="000000"/>
                <w:sz w:val="20"/>
                <w:szCs w:val="20"/>
              </w:rPr>
            </w:pPr>
          </w:p>
        </w:tc>
        <w:tc>
          <w:tcPr>
            <w:tcW w:w="631" w:type="dxa"/>
            <w:vMerge w:val="continue"/>
            <w:noWrap w:val="0"/>
            <w:vAlign w:val="center"/>
          </w:tcPr>
          <w:p>
            <w:pPr>
              <w:pStyle w:val="8"/>
              <w:autoSpaceDE w:val="0"/>
              <w:autoSpaceDN w:val="0"/>
              <w:adjustRightInd w:val="0"/>
              <w:spacing w:before="260" w:after="260" w:line="415" w:lineRule="auto"/>
              <w:jc w:val="center"/>
              <w:rPr>
                <w:rFonts w:ascii="宋体" w:cs="宋体"/>
                <w:color w:val="000000"/>
                <w:sz w:val="20"/>
                <w:szCs w:val="20"/>
              </w:rPr>
            </w:pPr>
          </w:p>
        </w:tc>
        <w:tc>
          <w:tcPr>
            <w:tcW w:w="631" w:type="dxa"/>
            <w:vMerge w:val="continue"/>
            <w:noWrap w:val="0"/>
            <w:vAlign w:val="center"/>
          </w:tcPr>
          <w:p>
            <w:pPr>
              <w:pStyle w:val="8"/>
              <w:autoSpaceDE w:val="0"/>
              <w:autoSpaceDN w:val="0"/>
              <w:adjustRightInd w:val="0"/>
              <w:spacing w:before="260" w:after="260" w:line="415" w:lineRule="auto"/>
              <w:jc w:val="center"/>
              <w:rPr>
                <w:rFonts w:ascii="宋体" w:cs="宋体"/>
                <w:color w:val="000000"/>
                <w:sz w:val="20"/>
                <w:szCs w:val="20"/>
              </w:rPr>
            </w:pPr>
          </w:p>
        </w:tc>
        <w:tc>
          <w:tcPr>
            <w:tcW w:w="752" w:type="dxa"/>
            <w:vMerge w:val="continue"/>
            <w:noWrap w:val="0"/>
            <w:vAlign w:val="center"/>
          </w:tcPr>
          <w:p>
            <w:pPr>
              <w:pStyle w:val="8"/>
              <w:autoSpaceDE w:val="0"/>
              <w:autoSpaceDN w:val="0"/>
              <w:adjustRightInd w:val="0"/>
              <w:spacing w:before="260" w:after="260" w:line="415" w:lineRule="auto"/>
              <w:jc w:val="center"/>
              <w:rPr>
                <w:rFonts w:ascii="宋体" w:cs="宋体"/>
                <w:color w:val="000000"/>
                <w:sz w:val="20"/>
                <w:szCs w:val="20"/>
              </w:rPr>
            </w:pPr>
          </w:p>
        </w:tc>
        <w:tc>
          <w:tcPr>
            <w:tcW w:w="772" w:type="dxa"/>
            <w:vMerge w:val="continue"/>
            <w:noWrap w:val="0"/>
            <w:vAlign w:val="center"/>
          </w:tcPr>
          <w:p>
            <w:pPr>
              <w:pStyle w:val="8"/>
              <w:autoSpaceDE w:val="0"/>
              <w:autoSpaceDN w:val="0"/>
              <w:adjustRightInd w:val="0"/>
              <w:spacing w:before="260" w:after="260" w:line="415" w:lineRule="auto"/>
              <w:jc w:val="center"/>
              <w:rPr>
                <w:rFonts w:ascii="宋体" w:cs="宋体"/>
                <w:color w:val="000000"/>
                <w:sz w:val="20"/>
                <w:szCs w:val="20"/>
              </w:rPr>
            </w:pPr>
          </w:p>
        </w:tc>
        <w:tc>
          <w:tcPr>
            <w:tcW w:w="734" w:type="dxa"/>
            <w:vMerge w:val="continue"/>
            <w:noWrap w:val="0"/>
            <w:vAlign w:val="center"/>
          </w:tcPr>
          <w:p>
            <w:pPr>
              <w:pStyle w:val="8"/>
              <w:autoSpaceDE w:val="0"/>
              <w:autoSpaceDN w:val="0"/>
              <w:adjustRightInd w:val="0"/>
              <w:spacing w:before="260" w:after="260" w:line="415" w:lineRule="auto"/>
              <w:jc w:val="center"/>
              <w:rPr>
                <w:rFonts w:ascii="宋体" w:cs="宋体"/>
                <w:color w:val="000000"/>
                <w:sz w:val="20"/>
                <w:szCs w:val="20"/>
              </w:rPr>
            </w:pPr>
          </w:p>
        </w:tc>
        <w:tc>
          <w:tcPr>
            <w:tcW w:w="910" w:type="dxa"/>
            <w:noWrap w:val="0"/>
            <w:vAlign w:val="center"/>
          </w:tcPr>
          <w:p>
            <w:pPr>
              <w:pStyle w:val="8"/>
              <w:autoSpaceDE w:val="0"/>
              <w:autoSpaceDN w:val="0"/>
              <w:adjustRightInd w:val="0"/>
              <w:spacing w:before="260" w:after="260" w:line="415" w:lineRule="auto"/>
              <w:jc w:val="center"/>
              <w:rPr>
                <w:rFonts w:ascii="宋体" w:cs="宋体"/>
                <w:color w:val="000000"/>
                <w:sz w:val="20"/>
                <w:szCs w:val="20"/>
              </w:rPr>
            </w:pPr>
            <w:r>
              <w:rPr>
                <w:rFonts w:hint="eastAsia" w:ascii="宋体" w:cs="宋体"/>
                <w:color w:val="000000"/>
                <w:sz w:val="20"/>
                <w:szCs w:val="20"/>
              </w:rPr>
              <w:t>按低于</w:t>
            </w:r>
            <w:r>
              <w:rPr>
                <w:rFonts w:ascii="宋体" w:cs="宋体"/>
                <w:color w:val="000000"/>
                <w:sz w:val="20"/>
                <w:szCs w:val="20"/>
              </w:rPr>
              <w:t>12.5%</w:t>
            </w:r>
            <w:r>
              <w:rPr>
                <w:rFonts w:hint="eastAsia" w:ascii="宋体" w:cs="宋体"/>
                <w:color w:val="000000"/>
                <w:sz w:val="20"/>
                <w:szCs w:val="20"/>
              </w:rPr>
              <w:t>的实际税率计算的抵免额</w:t>
            </w:r>
          </w:p>
        </w:tc>
        <w:tc>
          <w:tcPr>
            <w:tcW w:w="708" w:type="dxa"/>
            <w:noWrap w:val="0"/>
            <w:vAlign w:val="center"/>
          </w:tcPr>
          <w:p>
            <w:pPr>
              <w:pStyle w:val="8"/>
              <w:autoSpaceDE w:val="0"/>
              <w:autoSpaceDN w:val="0"/>
              <w:adjustRightInd w:val="0"/>
              <w:spacing w:before="260" w:after="260" w:line="415" w:lineRule="auto"/>
              <w:jc w:val="center"/>
              <w:rPr>
                <w:rFonts w:ascii="宋体" w:cs="宋体"/>
                <w:color w:val="000000"/>
                <w:sz w:val="20"/>
                <w:szCs w:val="20"/>
              </w:rPr>
            </w:pPr>
            <w:r>
              <w:rPr>
                <w:rFonts w:hint="eastAsia" w:ascii="宋体" w:cs="宋体"/>
                <w:color w:val="000000"/>
                <w:sz w:val="20"/>
                <w:szCs w:val="20"/>
              </w:rPr>
              <w:t>按</w:t>
            </w:r>
            <w:r>
              <w:rPr>
                <w:rFonts w:ascii="宋体" w:cs="宋体"/>
                <w:color w:val="000000"/>
                <w:sz w:val="20"/>
                <w:szCs w:val="20"/>
              </w:rPr>
              <w:t>12.5%</w:t>
            </w:r>
            <w:r>
              <w:rPr>
                <w:rFonts w:hint="eastAsia" w:ascii="宋体" w:cs="宋体"/>
                <w:color w:val="000000"/>
                <w:sz w:val="20"/>
                <w:szCs w:val="20"/>
              </w:rPr>
              <w:t>计算的抵免额</w:t>
            </w:r>
          </w:p>
        </w:tc>
        <w:tc>
          <w:tcPr>
            <w:tcW w:w="709" w:type="dxa"/>
            <w:noWrap w:val="0"/>
            <w:vAlign w:val="center"/>
          </w:tcPr>
          <w:p>
            <w:pPr>
              <w:pStyle w:val="8"/>
              <w:autoSpaceDE w:val="0"/>
              <w:autoSpaceDN w:val="0"/>
              <w:adjustRightInd w:val="0"/>
              <w:spacing w:before="260" w:after="260" w:line="415" w:lineRule="auto"/>
              <w:jc w:val="center"/>
              <w:rPr>
                <w:rFonts w:ascii="宋体" w:cs="宋体"/>
                <w:color w:val="000000"/>
                <w:sz w:val="20"/>
                <w:szCs w:val="20"/>
              </w:rPr>
            </w:pPr>
            <w:r>
              <w:rPr>
                <w:rFonts w:hint="eastAsia" w:ascii="宋体" w:cs="宋体"/>
                <w:color w:val="000000"/>
                <w:sz w:val="20"/>
                <w:szCs w:val="20"/>
              </w:rPr>
              <w:t>按</w:t>
            </w:r>
            <w:r>
              <w:rPr>
                <w:rFonts w:ascii="宋体" w:cs="宋体"/>
                <w:color w:val="000000"/>
                <w:sz w:val="20"/>
                <w:szCs w:val="20"/>
              </w:rPr>
              <w:t>25%</w:t>
            </w:r>
            <w:r>
              <w:rPr>
                <w:rFonts w:hint="eastAsia" w:ascii="宋体" w:cs="宋体"/>
                <w:color w:val="000000"/>
                <w:sz w:val="20"/>
                <w:szCs w:val="20"/>
              </w:rPr>
              <w:t>计算的抵免额</w:t>
            </w:r>
          </w:p>
        </w:tc>
        <w:tc>
          <w:tcPr>
            <w:tcW w:w="714" w:type="dxa"/>
            <w:noWrap w:val="0"/>
            <w:vAlign w:val="center"/>
          </w:tcPr>
          <w:p>
            <w:pPr>
              <w:pStyle w:val="8"/>
              <w:autoSpaceDE w:val="0"/>
              <w:autoSpaceDN w:val="0"/>
              <w:adjustRightInd w:val="0"/>
              <w:spacing w:before="260" w:after="260" w:line="415" w:lineRule="auto"/>
              <w:jc w:val="center"/>
              <w:rPr>
                <w:rFonts w:ascii="宋体" w:cs="宋体"/>
                <w:color w:val="000000"/>
                <w:sz w:val="20"/>
                <w:szCs w:val="20"/>
              </w:rPr>
            </w:pPr>
            <w:r>
              <w:rPr>
                <w:rFonts w:hint="eastAsia" w:ascii="宋体" w:cs="宋体"/>
                <w:color w:val="000000"/>
                <w:sz w:val="20"/>
                <w:szCs w:val="20"/>
              </w:rPr>
              <w:t>小计</w:t>
            </w:r>
          </w:p>
        </w:tc>
        <w:tc>
          <w:tcPr>
            <w:tcW w:w="851" w:type="dxa"/>
            <w:vMerge w:val="continue"/>
            <w:noWrap w:val="0"/>
            <w:vAlign w:val="top"/>
          </w:tcPr>
          <w:p>
            <w:pPr>
              <w:pStyle w:val="8"/>
              <w:autoSpaceDE w:val="0"/>
              <w:autoSpaceDN w:val="0"/>
              <w:adjustRightInd w:val="0"/>
              <w:spacing w:before="260" w:after="260" w:line="415" w:lineRule="auto"/>
              <w:jc w:val="center"/>
              <w:rPr>
                <w:rFonts w:ascii="宋体" w:cs="宋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8" w:hRule="atLeast"/>
          <w:jc w:val="center"/>
        </w:trPr>
        <w:tc>
          <w:tcPr>
            <w:tcW w:w="631" w:type="dxa"/>
            <w:vMerge w:val="continue"/>
            <w:noWrap w:val="0"/>
            <w:vAlign w:val="top"/>
          </w:tcPr>
          <w:p>
            <w:pPr>
              <w:pStyle w:val="8"/>
              <w:autoSpaceDE w:val="0"/>
              <w:autoSpaceDN w:val="0"/>
              <w:adjustRightInd w:val="0"/>
              <w:spacing w:before="260" w:after="260" w:line="415" w:lineRule="auto"/>
              <w:jc w:val="center"/>
              <w:rPr>
                <w:rFonts w:ascii="宋体" w:cs="宋体"/>
                <w:color w:val="000000"/>
                <w:sz w:val="20"/>
                <w:szCs w:val="20"/>
              </w:rPr>
            </w:pPr>
          </w:p>
        </w:tc>
        <w:tc>
          <w:tcPr>
            <w:tcW w:w="1426" w:type="dxa"/>
            <w:noWrap w:val="0"/>
            <w:vAlign w:val="top"/>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ascii="宋体" w:cs="宋体"/>
                <w:color w:val="000000"/>
                <w:sz w:val="20"/>
                <w:szCs w:val="20"/>
              </w:rPr>
              <w:t>1</w:t>
            </w:r>
          </w:p>
        </w:tc>
        <w:tc>
          <w:tcPr>
            <w:tcW w:w="631" w:type="dxa"/>
            <w:noWrap w:val="0"/>
            <w:vAlign w:val="top"/>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ascii="宋体" w:cs="宋体"/>
                <w:color w:val="000000"/>
                <w:sz w:val="20"/>
                <w:szCs w:val="20"/>
              </w:rPr>
              <w:t>2</w:t>
            </w:r>
          </w:p>
        </w:tc>
        <w:tc>
          <w:tcPr>
            <w:tcW w:w="706" w:type="dxa"/>
            <w:noWrap w:val="0"/>
            <w:vAlign w:val="top"/>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ascii="宋体" w:cs="宋体"/>
                <w:color w:val="000000"/>
                <w:sz w:val="20"/>
                <w:szCs w:val="20"/>
              </w:rPr>
              <w:t>3</w:t>
            </w:r>
          </w:p>
        </w:tc>
        <w:tc>
          <w:tcPr>
            <w:tcW w:w="751" w:type="dxa"/>
            <w:noWrap w:val="0"/>
            <w:vAlign w:val="top"/>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ascii="宋体" w:cs="宋体"/>
                <w:color w:val="000000"/>
                <w:sz w:val="20"/>
                <w:szCs w:val="20"/>
              </w:rPr>
              <w:t>4</w:t>
            </w:r>
          </w:p>
        </w:tc>
        <w:tc>
          <w:tcPr>
            <w:tcW w:w="631" w:type="dxa"/>
            <w:noWrap w:val="0"/>
            <w:vAlign w:val="top"/>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ascii="宋体" w:cs="宋体"/>
                <w:color w:val="000000"/>
                <w:sz w:val="20"/>
                <w:szCs w:val="20"/>
              </w:rPr>
              <w:t>5</w:t>
            </w:r>
          </w:p>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ascii="宋体" w:cs="宋体"/>
                <w:color w:val="000000"/>
                <w:sz w:val="20"/>
                <w:szCs w:val="20"/>
              </w:rPr>
              <w:t>(3-4</w:t>
            </w:r>
            <w:r>
              <w:rPr>
                <w:rFonts w:hint="eastAsia" w:ascii="宋体" w:cs="宋体"/>
                <w:color w:val="000000"/>
                <w:sz w:val="20"/>
                <w:szCs w:val="20"/>
              </w:rPr>
              <w:t>)</w:t>
            </w:r>
          </w:p>
        </w:tc>
        <w:tc>
          <w:tcPr>
            <w:tcW w:w="631" w:type="dxa"/>
            <w:noWrap w:val="0"/>
            <w:vAlign w:val="top"/>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ascii="宋体" w:cs="宋体"/>
                <w:color w:val="000000"/>
                <w:sz w:val="20"/>
                <w:szCs w:val="20"/>
              </w:rPr>
              <w:t>6</w:t>
            </w:r>
          </w:p>
        </w:tc>
        <w:tc>
          <w:tcPr>
            <w:tcW w:w="735" w:type="dxa"/>
            <w:noWrap w:val="0"/>
            <w:vAlign w:val="top"/>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ascii="宋体" w:cs="宋体"/>
                <w:color w:val="000000"/>
                <w:sz w:val="20"/>
                <w:szCs w:val="20"/>
              </w:rPr>
              <w:t>7</w:t>
            </w:r>
          </w:p>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hint="eastAsia" w:ascii="宋体" w:cs="宋体"/>
                <w:color w:val="000000"/>
                <w:sz w:val="20"/>
                <w:szCs w:val="20"/>
              </w:rPr>
              <w:t>(</w:t>
            </w:r>
            <w:r>
              <w:rPr>
                <w:rFonts w:ascii="宋体" w:cs="宋体"/>
                <w:color w:val="000000"/>
                <w:sz w:val="20"/>
                <w:szCs w:val="20"/>
              </w:rPr>
              <w:t>5-6</w:t>
            </w:r>
            <w:r>
              <w:rPr>
                <w:rFonts w:hint="eastAsia" w:ascii="宋体" w:cs="宋体"/>
                <w:color w:val="000000"/>
                <w:sz w:val="20"/>
                <w:szCs w:val="20"/>
              </w:rPr>
              <w:t>)</w:t>
            </w:r>
          </w:p>
        </w:tc>
        <w:tc>
          <w:tcPr>
            <w:tcW w:w="631" w:type="dxa"/>
            <w:noWrap w:val="0"/>
            <w:vAlign w:val="top"/>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ascii="宋体" w:cs="宋体"/>
                <w:color w:val="000000"/>
                <w:sz w:val="20"/>
                <w:szCs w:val="20"/>
              </w:rPr>
              <w:t>8</w:t>
            </w:r>
          </w:p>
        </w:tc>
        <w:tc>
          <w:tcPr>
            <w:tcW w:w="817" w:type="dxa"/>
            <w:noWrap w:val="0"/>
            <w:vAlign w:val="top"/>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ascii="宋体" w:cs="宋体"/>
                <w:color w:val="000000"/>
                <w:sz w:val="20"/>
                <w:szCs w:val="20"/>
              </w:rPr>
              <w:t>9</w:t>
            </w:r>
          </w:p>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hint="eastAsia" w:ascii="宋体" w:cs="宋体"/>
                <w:color w:val="000000"/>
                <w:sz w:val="20"/>
                <w:szCs w:val="20"/>
              </w:rPr>
              <w:t>(</w:t>
            </w:r>
            <w:r>
              <w:rPr>
                <w:rFonts w:ascii="宋体" w:cs="宋体"/>
                <w:color w:val="000000"/>
                <w:sz w:val="20"/>
                <w:szCs w:val="20"/>
              </w:rPr>
              <w:t>7</w:t>
            </w:r>
            <w:r>
              <w:rPr>
                <w:rFonts w:hint="eastAsia" w:ascii="宋体" w:cs="宋体"/>
                <w:color w:val="000000"/>
                <w:sz w:val="20"/>
                <w:szCs w:val="20"/>
              </w:rPr>
              <w:t>×</w:t>
            </w:r>
            <w:r>
              <w:rPr>
                <w:rFonts w:ascii="宋体" w:cs="宋体"/>
                <w:color w:val="000000"/>
                <w:sz w:val="20"/>
                <w:szCs w:val="20"/>
              </w:rPr>
              <w:t>8</w:t>
            </w:r>
            <w:r>
              <w:rPr>
                <w:rFonts w:hint="eastAsia" w:ascii="宋体" w:cs="宋体"/>
                <w:color w:val="000000"/>
                <w:sz w:val="20"/>
                <w:szCs w:val="20"/>
              </w:rPr>
              <w:t>)</w:t>
            </w:r>
          </w:p>
        </w:tc>
        <w:tc>
          <w:tcPr>
            <w:tcW w:w="631" w:type="dxa"/>
            <w:noWrap w:val="0"/>
            <w:vAlign w:val="top"/>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ascii="宋体" w:cs="宋体"/>
                <w:color w:val="000000"/>
                <w:sz w:val="20"/>
                <w:szCs w:val="20"/>
              </w:rPr>
              <w:t>10</w:t>
            </w:r>
          </w:p>
        </w:tc>
        <w:tc>
          <w:tcPr>
            <w:tcW w:w="631" w:type="dxa"/>
            <w:noWrap w:val="0"/>
            <w:vAlign w:val="top"/>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ascii="宋体" w:cs="宋体"/>
                <w:color w:val="000000"/>
                <w:sz w:val="20"/>
                <w:szCs w:val="20"/>
              </w:rPr>
              <w:t>11</w:t>
            </w:r>
          </w:p>
        </w:tc>
        <w:tc>
          <w:tcPr>
            <w:tcW w:w="752" w:type="dxa"/>
            <w:noWrap w:val="0"/>
            <w:vAlign w:val="top"/>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ascii="宋体" w:cs="宋体"/>
                <w:color w:val="000000"/>
                <w:sz w:val="20"/>
                <w:szCs w:val="20"/>
              </w:rPr>
              <w:t>12</w:t>
            </w:r>
          </w:p>
        </w:tc>
        <w:tc>
          <w:tcPr>
            <w:tcW w:w="772" w:type="dxa"/>
            <w:noWrap w:val="0"/>
            <w:vAlign w:val="top"/>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ascii="宋体" w:cs="宋体"/>
                <w:color w:val="000000"/>
                <w:sz w:val="20"/>
                <w:szCs w:val="20"/>
              </w:rPr>
              <w:t>13</w:t>
            </w:r>
          </w:p>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hint="eastAsia" w:ascii="宋体" w:cs="宋体"/>
                <w:color w:val="000000"/>
                <w:sz w:val="20"/>
                <w:szCs w:val="20"/>
              </w:rPr>
              <w:t>(</w:t>
            </w:r>
            <w:r>
              <w:rPr>
                <w:rFonts w:ascii="宋体" w:cs="宋体"/>
                <w:color w:val="000000"/>
                <w:sz w:val="20"/>
                <w:szCs w:val="20"/>
              </w:rPr>
              <w:t>11-12</w:t>
            </w:r>
            <w:r>
              <w:rPr>
                <w:rFonts w:hint="eastAsia" w:ascii="宋体" w:cs="宋体"/>
                <w:color w:val="000000"/>
                <w:sz w:val="20"/>
                <w:szCs w:val="20"/>
              </w:rPr>
              <w:t>)</w:t>
            </w:r>
          </w:p>
        </w:tc>
        <w:tc>
          <w:tcPr>
            <w:tcW w:w="734" w:type="dxa"/>
            <w:noWrap w:val="0"/>
            <w:vAlign w:val="top"/>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ascii="宋体" w:cs="宋体"/>
                <w:color w:val="000000"/>
                <w:sz w:val="20"/>
                <w:szCs w:val="20"/>
              </w:rPr>
              <w:t>14</w:t>
            </w:r>
          </w:p>
        </w:tc>
        <w:tc>
          <w:tcPr>
            <w:tcW w:w="910" w:type="dxa"/>
            <w:noWrap w:val="0"/>
            <w:vAlign w:val="top"/>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ascii="宋体" w:cs="宋体"/>
                <w:color w:val="000000"/>
                <w:sz w:val="20"/>
                <w:szCs w:val="20"/>
              </w:rPr>
              <w:t>15</w:t>
            </w:r>
          </w:p>
        </w:tc>
        <w:tc>
          <w:tcPr>
            <w:tcW w:w="708" w:type="dxa"/>
            <w:noWrap w:val="0"/>
            <w:vAlign w:val="top"/>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ascii="宋体" w:cs="宋体"/>
                <w:color w:val="000000"/>
                <w:sz w:val="20"/>
                <w:szCs w:val="20"/>
              </w:rPr>
              <w:t>16</w:t>
            </w:r>
          </w:p>
        </w:tc>
        <w:tc>
          <w:tcPr>
            <w:tcW w:w="709" w:type="dxa"/>
            <w:noWrap w:val="0"/>
            <w:vAlign w:val="top"/>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ascii="宋体" w:cs="宋体"/>
                <w:color w:val="000000"/>
                <w:sz w:val="20"/>
                <w:szCs w:val="20"/>
              </w:rPr>
              <w:t>17</w:t>
            </w:r>
          </w:p>
        </w:tc>
        <w:tc>
          <w:tcPr>
            <w:tcW w:w="714" w:type="dxa"/>
            <w:noWrap w:val="0"/>
            <w:vAlign w:val="top"/>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ascii="宋体" w:cs="宋体"/>
                <w:color w:val="000000"/>
                <w:sz w:val="20"/>
                <w:szCs w:val="20"/>
              </w:rPr>
              <w:t>18</w:t>
            </w:r>
            <w:r>
              <w:rPr>
                <w:rFonts w:hint="eastAsia" w:ascii="宋体" w:cs="宋体"/>
                <w:color w:val="000000"/>
                <w:sz w:val="20"/>
                <w:szCs w:val="20"/>
              </w:rPr>
              <w:t>(</w:t>
            </w:r>
            <w:r>
              <w:rPr>
                <w:rFonts w:ascii="宋体" w:cs="宋体"/>
                <w:color w:val="000000"/>
                <w:sz w:val="20"/>
                <w:szCs w:val="20"/>
              </w:rPr>
              <w:t>15+</w:t>
            </w:r>
            <w:r>
              <w:rPr>
                <w:rFonts w:ascii="宋体" w:cs="宋体"/>
                <w:color w:val="000000"/>
                <w:sz w:val="20"/>
                <w:szCs w:val="20"/>
              </w:rPr>
              <w:br w:type="textWrapping"/>
            </w:r>
            <w:r>
              <w:rPr>
                <w:rFonts w:ascii="宋体" w:cs="宋体"/>
                <w:color w:val="000000"/>
                <w:sz w:val="20"/>
                <w:szCs w:val="20"/>
              </w:rPr>
              <w:t>16+17</w:t>
            </w:r>
            <w:r>
              <w:rPr>
                <w:rFonts w:hint="eastAsia" w:ascii="宋体" w:cs="宋体"/>
                <w:color w:val="000000"/>
                <w:sz w:val="20"/>
                <w:szCs w:val="20"/>
              </w:rPr>
              <w:t>)</w:t>
            </w:r>
          </w:p>
        </w:tc>
        <w:tc>
          <w:tcPr>
            <w:tcW w:w="851" w:type="dxa"/>
            <w:noWrap w:val="0"/>
            <w:vAlign w:val="top"/>
          </w:tcPr>
          <w:p>
            <w:pPr>
              <w:pStyle w:val="8"/>
              <w:autoSpaceDE w:val="0"/>
              <w:autoSpaceDN w:val="0"/>
              <w:adjustRightInd w:val="0"/>
              <w:spacing w:before="260" w:after="260" w:line="415" w:lineRule="auto"/>
              <w:ind w:left="-105" w:right="-105"/>
              <w:jc w:val="center"/>
              <w:rPr>
                <w:rFonts w:ascii="宋体" w:cs="宋体"/>
                <w:color w:val="000000"/>
                <w:sz w:val="20"/>
                <w:szCs w:val="20"/>
              </w:rPr>
            </w:pPr>
            <w:r>
              <w:rPr>
                <w:rFonts w:ascii="宋体" w:cs="宋体"/>
                <w:color w:val="000000"/>
                <w:sz w:val="20"/>
                <w:szCs w:val="20"/>
              </w:rPr>
              <w:t>19</w:t>
            </w:r>
            <w:r>
              <w:rPr>
                <w:rFonts w:hint="eastAsia" w:ascii="宋体" w:cs="宋体"/>
                <w:color w:val="000000"/>
                <w:sz w:val="20"/>
                <w:szCs w:val="20"/>
              </w:rPr>
              <w:t>(</w:t>
            </w:r>
            <w:r>
              <w:rPr>
                <w:rFonts w:ascii="宋体" w:cs="宋体"/>
                <w:color w:val="000000"/>
                <w:sz w:val="20"/>
                <w:szCs w:val="20"/>
              </w:rPr>
              <w:t>12+14+18</w:t>
            </w:r>
            <w:r>
              <w:rPr>
                <w:rFonts w:hint="eastAsia" w:ascii="宋体" w:cs="宋体"/>
                <w:color w:val="00000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31" w:type="dxa"/>
            <w:noWrap w:val="0"/>
            <w:vAlign w:val="center"/>
          </w:tcPr>
          <w:p>
            <w:pPr>
              <w:pStyle w:val="8"/>
              <w:autoSpaceDE w:val="0"/>
              <w:autoSpaceDN w:val="0"/>
              <w:adjustRightInd w:val="0"/>
              <w:spacing w:before="260" w:after="260" w:line="415" w:lineRule="auto"/>
              <w:jc w:val="center"/>
              <w:rPr>
                <w:rFonts w:ascii="宋体" w:cs="宋体"/>
                <w:color w:val="000000"/>
                <w:sz w:val="20"/>
                <w:szCs w:val="20"/>
              </w:rPr>
            </w:pPr>
            <w:r>
              <w:rPr>
                <w:rFonts w:ascii="宋体" w:cs="宋体"/>
                <w:color w:val="000000"/>
                <w:sz w:val="20"/>
                <w:szCs w:val="20"/>
              </w:rPr>
              <w:t>1</w:t>
            </w:r>
          </w:p>
        </w:tc>
        <w:tc>
          <w:tcPr>
            <w:tcW w:w="1426" w:type="dxa"/>
            <w:noWrap w:val="0"/>
            <w:vAlign w:val="center"/>
          </w:tcPr>
          <w:p>
            <w:pPr>
              <w:pStyle w:val="8"/>
              <w:autoSpaceDE w:val="0"/>
              <w:autoSpaceDN w:val="0"/>
              <w:adjustRightInd w:val="0"/>
              <w:spacing w:before="260" w:after="260" w:line="415" w:lineRule="auto"/>
              <w:jc w:val="center"/>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06"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5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35"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817"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52"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72"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34"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910"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08"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09"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14"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85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31" w:type="dxa"/>
            <w:noWrap w:val="0"/>
            <w:vAlign w:val="center"/>
          </w:tcPr>
          <w:p>
            <w:pPr>
              <w:pStyle w:val="8"/>
              <w:autoSpaceDE w:val="0"/>
              <w:autoSpaceDN w:val="0"/>
              <w:adjustRightInd w:val="0"/>
              <w:spacing w:before="260" w:after="260" w:line="415" w:lineRule="auto"/>
              <w:jc w:val="center"/>
              <w:rPr>
                <w:rFonts w:ascii="宋体" w:cs="宋体"/>
                <w:color w:val="000000"/>
                <w:sz w:val="20"/>
                <w:szCs w:val="20"/>
              </w:rPr>
            </w:pPr>
            <w:r>
              <w:rPr>
                <w:rFonts w:ascii="宋体" w:cs="宋体"/>
                <w:color w:val="000000"/>
                <w:sz w:val="20"/>
                <w:szCs w:val="20"/>
              </w:rPr>
              <w:t>2</w:t>
            </w:r>
          </w:p>
        </w:tc>
        <w:tc>
          <w:tcPr>
            <w:tcW w:w="1426" w:type="dxa"/>
            <w:noWrap w:val="0"/>
            <w:vAlign w:val="center"/>
          </w:tcPr>
          <w:p>
            <w:pPr>
              <w:pStyle w:val="8"/>
              <w:autoSpaceDE w:val="0"/>
              <w:autoSpaceDN w:val="0"/>
              <w:adjustRightInd w:val="0"/>
              <w:spacing w:before="260" w:after="260" w:line="415" w:lineRule="auto"/>
              <w:jc w:val="center"/>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06"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5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35"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817"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52"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72"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34"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910"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08"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09"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14"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85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31" w:type="dxa"/>
            <w:noWrap w:val="0"/>
            <w:vAlign w:val="center"/>
          </w:tcPr>
          <w:p>
            <w:pPr>
              <w:pStyle w:val="8"/>
              <w:autoSpaceDE w:val="0"/>
              <w:autoSpaceDN w:val="0"/>
              <w:adjustRightInd w:val="0"/>
              <w:spacing w:before="260" w:after="260" w:line="415" w:lineRule="auto"/>
              <w:jc w:val="center"/>
              <w:rPr>
                <w:rFonts w:ascii="宋体" w:cs="宋体"/>
                <w:color w:val="000000"/>
                <w:sz w:val="20"/>
                <w:szCs w:val="20"/>
              </w:rPr>
            </w:pPr>
            <w:r>
              <w:rPr>
                <w:rFonts w:ascii="宋体" w:cs="宋体"/>
                <w:color w:val="000000"/>
                <w:sz w:val="20"/>
                <w:szCs w:val="20"/>
              </w:rPr>
              <w:t>3</w:t>
            </w:r>
          </w:p>
        </w:tc>
        <w:tc>
          <w:tcPr>
            <w:tcW w:w="1426" w:type="dxa"/>
            <w:noWrap w:val="0"/>
            <w:vAlign w:val="center"/>
          </w:tcPr>
          <w:p>
            <w:pPr>
              <w:pStyle w:val="8"/>
              <w:autoSpaceDE w:val="0"/>
              <w:autoSpaceDN w:val="0"/>
              <w:adjustRightInd w:val="0"/>
              <w:spacing w:before="260" w:after="260" w:line="415" w:lineRule="auto"/>
              <w:jc w:val="center"/>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06"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5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35"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817"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52"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72"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34"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910"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08"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09"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14"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85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31" w:type="dxa"/>
            <w:noWrap w:val="0"/>
            <w:vAlign w:val="center"/>
          </w:tcPr>
          <w:p>
            <w:pPr>
              <w:pStyle w:val="8"/>
              <w:autoSpaceDE w:val="0"/>
              <w:autoSpaceDN w:val="0"/>
              <w:adjustRightInd w:val="0"/>
              <w:spacing w:before="260" w:after="260" w:line="415" w:lineRule="auto"/>
              <w:jc w:val="center"/>
              <w:rPr>
                <w:rFonts w:ascii="宋体" w:cs="宋体"/>
                <w:color w:val="000000"/>
                <w:sz w:val="20"/>
                <w:szCs w:val="20"/>
              </w:rPr>
            </w:pPr>
            <w:r>
              <w:rPr>
                <w:rFonts w:ascii="宋体" w:cs="宋体"/>
                <w:color w:val="000000"/>
                <w:sz w:val="20"/>
                <w:szCs w:val="20"/>
              </w:rPr>
              <w:t>4</w:t>
            </w:r>
          </w:p>
        </w:tc>
        <w:tc>
          <w:tcPr>
            <w:tcW w:w="1426" w:type="dxa"/>
            <w:noWrap w:val="0"/>
            <w:vAlign w:val="center"/>
          </w:tcPr>
          <w:p>
            <w:pPr>
              <w:pStyle w:val="8"/>
              <w:autoSpaceDE w:val="0"/>
              <w:autoSpaceDN w:val="0"/>
              <w:adjustRightInd w:val="0"/>
              <w:spacing w:before="260" w:after="260" w:line="415" w:lineRule="auto"/>
              <w:jc w:val="center"/>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06"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5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35"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817"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52"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72"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34"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910"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08"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09"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14"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85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31" w:type="dxa"/>
            <w:noWrap w:val="0"/>
            <w:vAlign w:val="center"/>
          </w:tcPr>
          <w:p>
            <w:pPr>
              <w:pStyle w:val="8"/>
              <w:autoSpaceDE w:val="0"/>
              <w:autoSpaceDN w:val="0"/>
              <w:adjustRightInd w:val="0"/>
              <w:spacing w:before="260" w:after="260" w:line="415" w:lineRule="auto"/>
              <w:jc w:val="center"/>
              <w:rPr>
                <w:rFonts w:ascii="宋体" w:cs="宋体"/>
                <w:color w:val="000000"/>
                <w:sz w:val="20"/>
                <w:szCs w:val="20"/>
              </w:rPr>
            </w:pPr>
            <w:r>
              <w:rPr>
                <w:rFonts w:ascii="宋体" w:cs="宋体"/>
                <w:color w:val="000000"/>
                <w:sz w:val="20"/>
                <w:szCs w:val="20"/>
              </w:rPr>
              <w:t>5</w:t>
            </w:r>
          </w:p>
        </w:tc>
        <w:tc>
          <w:tcPr>
            <w:tcW w:w="1426" w:type="dxa"/>
            <w:noWrap w:val="0"/>
            <w:vAlign w:val="center"/>
          </w:tcPr>
          <w:p>
            <w:pPr>
              <w:pStyle w:val="8"/>
              <w:autoSpaceDE w:val="0"/>
              <w:autoSpaceDN w:val="0"/>
              <w:adjustRightInd w:val="0"/>
              <w:spacing w:before="260" w:after="260" w:line="415" w:lineRule="auto"/>
              <w:jc w:val="center"/>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06"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5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35"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817"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52"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72"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34"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910"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08"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09"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14"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85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31" w:type="dxa"/>
            <w:noWrap w:val="0"/>
            <w:vAlign w:val="center"/>
          </w:tcPr>
          <w:p>
            <w:pPr>
              <w:pStyle w:val="8"/>
              <w:autoSpaceDE w:val="0"/>
              <w:autoSpaceDN w:val="0"/>
              <w:adjustRightInd w:val="0"/>
              <w:spacing w:before="260" w:after="260" w:line="415" w:lineRule="auto"/>
              <w:jc w:val="center"/>
              <w:rPr>
                <w:rFonts w:ascii="宋体" w:cs="宋体"/>
                <w:color w:val="000000"/>
                <w:sz w:val="20"/>
                <w:szCs w:val="20"/>
              </w:rPr>
            </w:pPr>
            <w:r>
              <w:rPr>
                <w:rFonts w:ascii="宋体" w:cs="宋体"/>
                <w:color w:val="000000"/>
                <w:sz w:val="20"/>
                <w:szCs w:val="20"/>
              </w:rPr>
              <w:t>6</w:t>
            </w:r>
          </w:p>
        </w:tc>
        <w:tc>
          <w:tcPr>
            <w:tcW w:w="1426" w:type="dxa"/>
            <w:noWrap w:val="0"/>
            <w:vAlign w:val="center"/>
          </w:tcPr>
          <w:p>
            <w:pPr>
              <w:pStyle w:val="8"/>
              <w:autoSpaceDE w:val="0"/>
              <w:autoSpaceDN w:val="0"/>
              <w:adjustRightInd w:val="0"/>
              <w:spacing w:before="260" w:after="260" w:line="415" w:lineRule="auto"/>
              <w:jc w:val="center"/>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06"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5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35"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817"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52"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72"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34"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910"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08"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09"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14"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85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31" w:type="dxa"/>
            <w:noWrap w:val="0"/>
            <w:vAlign w:val="center"/>
          </w:tcPr>
          <w:p>
            <w:pPr>
              <w:pStyle w:val="8"/>
              <w:autoSpaceDE w:val="0"/>
              <w:autoSpaceDN w:val="0"/>
              <w:adjustRightInd w:val="0"/>
              <w:spacing w:before="260" w:after="260" w:line="415" w:lineRule="auto"/>
              <w:jc w:val="center"/>
              <w:rPr>
                <w:rFonts w:ascii="宋体" w:cs="宋体"/>
                <w:color w:val="000000"/>
                <w:sz w:val="20"/>
                <w:szCs w:val="20"/>
              </w:rPr>
            </w:pPr>
            <w:r>
              <w:rPr>
                <w:rFonts w:ascii="宋体" w:cs="宋体"/>
                <w:color w:val="000000"/>
                <w:sz w:val="20"/>
                <w:szCs w:val="20"/>
              </w:rPr>
              <w:t>7</w:t>
            </w:r>
          </w:p>
        </w:tc>
        <w:tc>
          <w:tcPr>
            <w:tcW w:w="1426" w:type="dxa"/>
            <w:noWrap w:val="0"/>
            <w:vAlign w:val="center"/>
          </w:tcPr>
          <w:p>
            <w:pPr>
              <w:pStyle w:val="8"/>
              <w:autoSpaceDE w:val="0"/>
              <w:autoSpaceDN w:val="0"/>
              <w:adjustRightInd w:val="0"/>
              <w:spacing w:before="260" w:after="260" w:line="415" w:lineRule="auto"/>
              <w:jc w:val="center"/>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06"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5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35"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817"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52"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72"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34"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910"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08"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09"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14"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85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31" w:type="dxa"/>
            <w:noWrap w:val="0"/>
            <w:vAlign w:val="center"/>
          </w:tcPr>
          <w:p>
            <w:pPr>
              <w:pStyle w:val="8"/>
              <w:autoSpaceDE w:val="0"/>
              <w:autoSpaceDN w:val="0"/>
              <w:adjustRightInd w:val="0"/>
              <w:spacing w:before="260" w:after="260" w:line="415" w:lineRule="auto"/>
              <w:jc w:val="center"/>
              <w:rPr>
                <w:rFonts w:ascii="宋体" w:cs="宋体"/>
                <w:color w:val="000000"/>
                <w:sz w:val="20"/>
                <w:szCs w:val="20"/>
              </w:rPr>
            </w:pPr>
            <w:r>
              <w:rPr>
                <w:rFonts w:ascii="宋体" w:cs="宋体"/>
                <w:color w:val="000000"/>
                <w:sz w:val="20"/>
                <w:szCs w:val="20"/>
              </w:rPr>
              <w:t>8</w:t>
            </w:r>
          </w:p>
        </w:tc>
        <w:tc>
          <w:tcPr>
            <w:tcW w:w="1426" w:type="dxa"/>
            <w:noWrap w:val="0"/>
            <w:vAlign w:val="center"/>
          </w:tcPr>
          <w:p>
            <w:pPr>
              <w:pStyle w:val="8"/>
              <w:autoSpaceDE w:val="0"/>
              <w:autoSpaceDN w:val="0"/>
              <w:adjustRightInd w:val="0"/>
              <w:spacing w:before="260" w:after="260" w:line="415" w:lineRule="auto"/>
              <w:jc w:val="center"/>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06"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5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35"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817"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52"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72"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34"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910"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08"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09"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14"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85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31" w:type="dxa"/>
            <w:noWrap w:val="0"/>
            <w:vAlign w:val="center"/>
          </w:tcPr>
          <w:p>
            <w:pPr>
              <w:pStyle w:val="8"/>
              <w:autoSpaceDE w:val="0"/>
              <w:autoSpaceDN w:val="0"/>
              <w:adjustRightInd w:val="0"/>
              <w:spacing w:before="260" w:after="260" w:line="415" w:lineRule="auto"/>
              <w:jc w:val="center"/>
              <w:rPr>
                <w:rFonts w:ascii="宋体" w:cs="宋体"/>
                <w:color w:val="000000"/>
                <w:sz w:val="20"/>
                <w:szCs w:val="20"/>
              </w:rPr>
            </w:pPr>
            <w:r>
              <w:rPr>
                <w:rFonts w:ascii="宋体" w:cs="宋体"/>
                <w:color w:val="000000"/>
                <w:sz w:val="20"/>
                <w:szCs w:val="20"/>
              </w:rPr>
              <w:t>9</w:t>
            </w:r>
          </w:p>
        </w:tc>
        <w:tc>
          <w:tcPr>
            <w:tcW w:w="1426" w:type="dxa"/>
            <w:noWrap w:val="0"/>
            <w:vAlign w:val="center"/>
          </w:tcPr>
          <w:p>
            <w:pPr>
              <w:pStyle w:val="8"/>
              <w:autoSpaceDE w:val="0"/>
              <w:autoSpaceDN w:val="0"/>
              <w:adjustRightInd w:val="0"/>
              <w:spacing w:before="260" w:after="260" w:line="415" w:lineRule="auto"/>
              <w:jc w:val="center"/>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06"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5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35"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817"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52"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72"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34"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910"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08"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09"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14"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85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31" w:type="dxa"/>
            <w:noWrap w:val="0"/>
            <w:vAlign w:val="center"/>
          </w:tcPr>
          <w:p>
            <w:pPr>
              <w:pStyle w:val="8"/>
              <w:autoSpaceDE w:val="0"/>
              <w:autoSpaceDN w:val="0"/>
              <w:adjustRightInd w:val="0"/>
              <w:spacing w:before="260" w:after="260" w:line="415" w:lineRule="auto"/>
              <w:jc w:val="center"/>
              <w:rPr>
                <w:rFonts w:ascii="宋体" w:cs="宋体"/>
                <w:color w:val="000000"/>
                <w:sz w:val="20"/>
                <w:szCs w:val="20"/>
              </w:rPr>
            </w:pPr>
            <w:r>
              <w:rPr>
                <w:rFonts w:ascii="宋体" w:cs="宋体"/>
                <w:color w:val="000000"/>
                <w:sz w:val="20"/>
                <w:szCs w:val="20"/>
              </w:rPr>
              <w:t>10</w:t>
            </w:r>
          </w:p>
        </w:tc>
        <w:tc>
          <w:tcPr>
            <w:tcW w:w="1426" w:type="dxa"/>
            <w:noWrap w:val="0"/>
            <w:vAlign w:val="center"/>
          </w:tcPr>
          <w:p>
            <w:pPr>
              <w:pStyle w:val="8"/>
              <w:autoSpaceDE w:val="0"/>
              <w:autoSpaceDN w:val="0"/>
              <w:adjustRightInd w:val="0"/>
              <w:spacing w:before="260" w:after="260" w:line="415" w:lineRule="auto"/>
              <w:jc w:val="center"/>
              <w:rPr>
                <w:rFonts w:ascii="宋体" w:cs="宋体"/>
                <w:color w:val="000000"/>
                <w:sz w:val="20"/>
                <w:szCs w:val="20"/>
              </w:rPr>
            </w:pPr>
            <w:r>
              <w:rPr>
                <w:rFonts w:hint="eastAsia" w:ascii="宋体" w:cs="宋体"/>
                <w:color w:val="000000"/>
                <w:sz w:val="20"/>
                <w:szCs w:val="20"/>
              </w:rPr>
              <w:t>合计</w:t>
            </w: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06"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5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35"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817"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63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52"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72"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34"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910"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08"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09"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714"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c>
          <w:tcPr>
            <w:tcW w:w="851" w:type="dxa"/>
            <w:noWrap w:val="0"/>
            <w:vAlign w:val="center"/>
          </w:tcPr>
          <w:p>
            <w:pPr>
              <w:pStyle w:val="8"/>
              <w:autoSpaceDE w:val="0"/>
              <w:autoSpaceDN w:val="0"/>
              <w:adjustRightInd w:val="0"/>
              <w:spacing w:before="260" w:after="260" w:line="415" w:lineRule="auto"/>
              <w:jc w:val="right"/>
              <w:rPr>
                <w:rFonts w:ascii="宋体" w:cs="宋体"/>
                <w:color w:val="000000"/>
                <w:sz w:val="20"/>
                <w:szCs w:val="20"/>
              </w:rPr>
            </w:pPr>
          </w:p>
        </w:tc>
      </w:tr>
    </w:tbl>
    <w:p>
      <w:pPr>
        <w:pStyle w:val="5"/>
        <w:ind w:firstLine="482" w:firstLineChars="200"/>
        <w:rPr>
          <w:rFonts w:ascii="宋体" w:hAnsi="宋体" w:eastAsia="宋体"/>
        </w:rPr>
      </w:pPr>
      <w:r>
        <w:rPr>
          <w:rFonts w:hint="eastAsia" w:ascii="宋体" w:hAnsi="宋体" w:eastAsia="宋体"/>
        </w:rPr>
        <w:t>【表单说明】</w:t>
      </w:r>
    </w:p>
    <w:p>
      <w:pPr>
        <w:pStyle w:val="7"/>
        <w:ind w:firstLineChars="200"/>
        <w:rPr>
          <w:rFonts w:ascii="宋体" w:hAnsi="宋体"/>
          <w:color w:val="000000"/>
        </w:rPr>
      </w:pPr>
      <w:r>
        <w:rPr>
          <w:rFonts w:hint="eastAsia" w:ascii="宋体" w:hAnsi="宋体"/>
          <w:color w:val="000000"/>
        </w:rPr>
        <w:t>本表适用于取得境外所得的纳税人填报。纳税人应根据税法、《财政部 国家税务总局关于企业境外所得税收抵免有关问题的通知》（财税〔2009〕125号）、《国家税务总局关于发布〈企业境外所得税收抵免操作指南〉的公告》（国家税务总局公告2010年第1号）、《财政部 国家税务总局关于我国石油企业从事油（气）资源开采所得税收抵免有关问题的通知》（财税〔</w:t>
      </w:r>
      <w:r>
        <w:rPr>
          <w:rFonts w:ascii="宋体" w:hAnsi="宋体"/>
          <w:color w:val="000000"/>
        </w:rPr>
        <w:t>201</w:t>
      </w:r>
      <w:r>
        <w:rPr>
          <w:rFonts w:hint="eastAsia" w:ascii="宋体" w:hAnsi="宋体"/>
          <w:color w:val="000000"/>
        </w:rPr>
        <w:t>1〕23号）、《财政部 税务总局关于完善企业境外所得税收抵免政策问题的通知》（财税〔</w:t>
      </w:r>
      <w:r>
        <w:rPr>
          <w:rFonts w:ascii="宋体" w:hAnsi="宋体"/>
          <w:color w:val="000000"/>
        </w:rPr>
        <w:t>2017</w:t>
      </w:r>
      <w:r>
        <w:rPr>
          <w:rFonts w:hint="eastAsia" w:ascii="宋体" w:hAnsi="宋体"/>
          <w:color w:val="000000"/>
        </w:rPr>
        <w:t>〕</w:t>
      </w:r>
      <w:r>
        <w:rPr>
          <w:rFonts w:ascii="宋体" w:hAnsi="宋体"/>
          <w:color w:val="000000"/>
        </w:rPr>
        <w:t>84</w:t>
      </w:r>
      <w:r>
        <w:rPr>
          <w:rFonts w:hint="eastAsia" w:ascii="宋体" w:hAnsi="宋体"/>
          <w:color w:val="000000"/>
        </w:rPr>
        <w:t>号）等规定，填报本年来源于或发生于其他国家、地区的所得按照税收规定计算应缴纳和应抵免的企业所得税。</w:t>
      </w:r>
    </w:p>
    <w:p>
      <w:pPr>
        <w:pStyle w:val="7"/>
        <w:ind w:firstLineChars="200"/>
        <w:rPr>
          <w:rFonts w:ascii="宋体" w:hAnsi="宋体"/>
          <w:color w:val="000000"/>
        </w:rPr>
      </w:pPr>
      <w:r>
        <w:rPr>
          <w:rFonts w:hint="eastAsia" w:ascii="宋体" w:hAnsi="宋体"/>
          <w:color w:val="000000"/>
        </w:rPr>
        <w:t>一、有关项目填报说明</w:t>
      </w:r>
    </w:p>
    <w:p>
      <w:pPr>
        <w:pStyle w:val="7"/>
        <w:ind w:firstLineChars="200"/>
        <w:rPr>
          <w:rFonts w:ascii="宋体" w:hAnsi="宋体"/>
          <w:color w:val="000000"/>
        </w:rPr>
      </w:pPr>
      <w:r>
        <w:rPr>
          <w:rFonts w:hint="eastAsia" w:ascii="宋体" w:hAnsi="宋体"/>
          <w:color w:val="000000"/>
        </w:rPr>
        <w:t>（一）行次填报</w:t>
      </w:r>
    </w:p>
    <w:p>
      <w:pPr>
        <w:pStyle w:val="7"/>
        <w:ind w:firstLineChars="200"/>
        <w:rPr>
          <w:rFonts w:ascii="宋体" w:hAnsi="宋体"/>
          <w:color w:val="000000"/>
        </w:rPr>
      </w:pPr>
      <w:r>
        <w:rPr>
          <w:rFonts w:hint="eastAsia" w:ascii="宋体" w:hAnsi="宋体"/>
          <w:color w:val="000000"/>
        </w:rPr>
        <w:t>纳税人若选择“分国（地区）不分项”的境外所得抵免方式，应根据《境外所得纳税调整后所得明细表》（</w:t>
      </w:r>
      <w:r>
        <w:rPr>
          <w:rFonts w:ascii="宋体" w:hAnsi="宋体"/>
          <w:color w:val="000000"/>
        </w:rPr>
        <w:t>A108010</w:t>
      </w:r>
      <w:r>
        <w:rPr>
          <w:rFonts w:hint="eastAsia" w:ascii="宋体" w:hAnsi="宋体"/>
          <w:color w:val="000000"/>
        </w:rPr>
        <w:t>）、《境外分支机构弥补亏损明细表》（</w:t>
      </w:r>
      <w:r>
        <w:rPr>
          <w:rFonts w:ascii="宋体" w:hAnsi="宋体"/>
          <w:color w:val="000000"/>
        </w:rPr>
        <w:t>A108020</w:t>
      </w:r>
      <w:r>
        <w:rPr>
          <w:rFonts w:hint="eastAsia" w:ascii="宋体" w:hAnsi="宋体"/>
          <w:color w:val="000000"/>
        </w:rPr>
        <w:t>）、《跨年度结转抵免境外所得税明细表》（</w:t>
      </w:r>
      <w:r>
        <w:rPr>
          <w:rFonts w:ascii="宋体" w:hAnsi="宋体"/>
          <w:color w:val="000000"/>
        </w:rPr>
        <w:t>A108030</w:t>
      </w:r>
      <w:r>
        <w:rPr>
          <w:rFonts w:hint="eastAsia" w:ascii="宋体" w:hAnsi="宋体"/>
          <w:color w:val="000000"/>
        </w:rPr>
        <w:t>）分国（地区）别逐行填报本表；纳税人若选择“不分国（地区）不分项”的境外所得抵免方式，应按照税收规定计算可抵免境外所得税税额和抵免限额，并根据表</w:t>
      </w:r>
      <w:r>
        <w:rPr>
          <w:rFonts w:ascii="宋体" w:hAnsi="宋体"/>
          <w:color w:val="000000"/>
        </w:rPr>
        <w:t>A108010</w:t>
      </w:r>
      <w:r>
        <w:rPr>
          <w:rFonts w:hint="eastAsia" w:ascii="宋体" w:hAnsi="宋体"/>
          <w:color w:val="000000"/>
        </w:rPr>
        <w:t>、表</w:t>
      </w:r>
      <w:r>
        <w:rPr>
          <w:rFonts w:ascii="宋体" w:hAnsi="宋体"/>
          <w:color w:val="000000"/>
        </w:rPr>
        <w:t>A108020</w:t>
      </w:r>
      <w:r>
        <w:rPr>
          <w:rFonts w:hint="eastAsia" w:ascii="宋体" w:hAnsi="宋体"/>
          <w:color w:val="000000"/>
        </w:rPr>
        <w:t>、表</w:t>
      </w:r>
      <w:r>
        <w:rPr>
          <w:rFonts w:ascii="宋体" w:hAnsi="宋体"/>
          <w:color w:val="000000"/>
        </w:rPr>
        <w:t>A108030</w:t>
      </w:r>
      <w:r>
        <w:rPr>
          <w:rFonts w:hint="eastAsia" w:ascii="宋体" w:hAnsi="宋体"/>
          <w:color w:val="000000"/>
        </w:rPr>
        <w:t>的合计金额填报本表第1行。</w:t>
      </w:r>
    </w:p>
    <w:p>
      <w:pPr>
        <w:pStyle w:val="7"/>
        <w:ind w:firstLineChars="200"/>
        <w:rPr>
          <w:rFonts w:ascii="宋体" w:hAnsi="宋体"/>
          <w:color w:val="000000"/>
        </w:rPr>
      </w:pPr>
      <w:r>
        <w:rPr>
          <w:rFonts w:hint="eastAsia" w:ascii="宋体" w:hAnsi="宋体"/>
          <w:color w:val="000000"/>
        </w:rPr>
        <w:t>（二）列次填报</w:t>
      </w:r>
    </w:p>
    <w:p>
      <w:pPr>
        <w:pStyle w:val="7"/>
        <w:ind w:firstLineChars="200"/>
        <w:rPr>
          <w:rFonts w:ascii="宋体" w:hAnsi="宋体"/>
          <w:color w:val="000000"/>
        </w:rPr>
      </w:pPr>
      <w:r>
        <w:rPr>
          <w:rFonts w:hint="eastAsia" w:ascii="宋体" w:hAnsi="宋体"/>
          <w:color w:val="000000"/>
        </w:rPr>
        <w:t>1.第1列“国家（地区）”：纳税人若选择“分国（地区）不分项”的境外所得抵免方式，填报纳税人境外所得来源的国家（地区）名称，来源于同一国家（地区）的境外所得合并到一行填报；纳税人若选择“不分国（地区）不分项”的境外所得抵免方式，无需填报。</w:t>
      </w:r>
    </w:p>
    <w:p>
      <w:pPr>
        <w:pStyle w:val="7"/>
        <w:ind w:firstLineChars="200"/>
        <w:rPr>
          <w:rFonts w:ascii="宋体" w:hAnsi="宋体"/>
          <w:color w:val="000000"/>
        </w:rPr>
      </w:pPr>
      <w:r>
        <w:rPr>
          <w:rFonts w:hint="eastAsia" w:ascii="宋体" w:hAnsi="宋体"/>
          <w:color w:val="000000"/>
        </w:rPr>
        <w:t>2.第2列“境外税前所得”：填报表A108010第14列的金额。</w:t>
      </w:r>
    </w:p>
    <w:p>
      <w:pPr>
        <w:pStyle w:val="7"/>
        <w:ind w:firstLineChars="200"/>
        <w:rPr>
          <w:rFonts w:ascii="宋体" w:hAnsi="宋体"/>
          <w:color w:val="000000"/>
        </w:rPr>
      </w:pPr>
      <w:r>
        <w:rPr>
          <w:rFonts w:hint="eastAsia" w:ascii="宋体" w:hAnsi="宋体"/>
          <w:color w:val="000000"/>
        </w:rPr>
        <w:t>3.第3列“境外所得纳税调整后所得”：填报表A108010第18列的金额。</w:t>
      </w:r>
    </w:p>
    <w:p>
      <w:pPr>
        <w:pStyle w:val="7"/>
        <w:ind w:firstLineChars="200"/>
        <w:rPr>
          <w:rFonts w:ascii="宋体" w:hAnsi="宋体"/>
          <w:color w:val="000000"/>
        </w:rPr>
      </w:pPr>
      <w:r>
        <w:rPr>
          <w:rFonts w:hint="eastAsia" w:ascii="宋体" w:hAnsi="宋体"/>
          <w:color w:val="000000"/>
        </w:rPr>
        <w:t>4.第4列“弥补境外以前年度亏损”：填报表A108020第4+</w:t>
      </w:r>
      <w:r>
        <w:rPr>
          <w:rFonts w:ascii="宋体" w:hAnsi="宋体"/>
          <w:color w:val="000000"/>
        </w:rPr>
        <w:t>8</w:t>
      </w:r>
      <w:r>
        <w:rPr>
          <w:rFonts w:hint="eastAsia" w:ascii="宋体" w:hAnsi="宋体"/>
          <w:color w:val="000000"/>
        </w:rPr>
        <w:t>列的合计金额。</w:t>
      </w:r>
    </w:p>
    <w:p>
      <w:pPr>
        <w:pStyle w:val="7"/>
        <w:ind w:firstLineChars="200"/>
        <w:rPr>
          <w:rFonts w:ascii="宋体" w:hAnsi="宋体"/>
          <w:color w:val="000000"/>
        </w:rPr>
      </w:pPr>
      <w:r>
        <w:rPr>
          <w:rFonts w:hint="eastAsia" w:ascii="宋体" w:hAnsi="宋体"/>
          <w:color w:val="000000"/>
        </w:rPr>
        <w:t>5.第5列“境外应纳税所得额”：填报第3-4列的余额。当第3-4列＜0时，本列填报0。</w:t>
      </w:r>
    </w:p>
    <w:p>
      <w:pPr>
        <w:pStyle w:val="7"/>
        <w:ind w:firstLineChars="200"/>
        <w:rPr>
          <w:rFonts w:ascii="宋体" w:hAnsi="宋体"/>
          <w:color w:val="000000"/>
        </w:rPr>
      </w:pPr>
      <w:r>
        <w:rPr>
          <w:rFonts w:hint="eastAsia" w:ascii="宋体" w:hAnsi="宋体"/>
          <w:color w:val="000000"/>
        </w:rPr>
        <w:t>6.第6列“抵减境内亏损”：当纳税人选择用境外所得抵减弥补境内亏损时，填报纳税人境外所得按照税收规定抵减境内的亏损额（包括抵减的当年度境内亏损额和弥补的以前年度境内亏损额）；当纳税人选择不用境外所得抵减弥补境内亏损时，填报0。</w:t>
      </w:r>
    </w:p>
    <w:p>
      <w:pPr>
        <w:pStyle w:val="7"/>
        <w:ind w:firstLineChars="200"/>
        <w:rPr>
          <w:rFonts w:ascii="宋体" w:hAnsi="宋体"/>
          <w:color w:val="000000"/>
        </w:rPr>
      </w:pPr>
      <w:r>
        <w:rPr>
          <w:rFonts w:hint="eastAsia" w:ascii="宋体" w:hAnsi="宋体"/>
          <w:color w:val="000000"/>
        </w:rPr>
        <w:t>7.第7列“抵减境内亏损后的境外应纳税所得额”：填报第5-6列金额。</w:t>
      </w:r>
    </w:p>
    <w:p>
      <w:pPr>
        <w:pStyle w:val="7"/>
        <w:ind w:firstLineChars="200"/>
        <w:rPr>
          <w:rFonts w:ascii="宋体" w:hAnsi="宋体"/>
          <w:color w:val="000000"/>
        </w:rPr>
      </w:pPr>
      <w:r>
        <w:rPr>
          <w:rFonts w:hint="eastAsia" w:ascii="宋体" w:hAnsi="宋体"/>
          <w:color w:val="000000"/>
        </w:rPr>
        <w:t>8.第8列“税率”：填报法定税率25%。符合《财政部 国家税务总局关于高新技术企业境外所得适用税率及税收抵免问题的通知》（财税〔2011〕47号）第一条规定的高新技术企业填报15%。</w:t>
      </w:r>
    </w:p>
    <w:p>
      <w:pPr>
        <w:pStyle w:val="7"/>
        <w:ind w:firstLineChars="200"/>
        <w:rPr>
          <w:rFonts w:ascii="宋体" w:hAnsi="宋体"/>
          <w:color w:val="000000"/>
        </w:rPr>
      </w:pPr>
      <w:r>
        <w:rPr>
          <w:rFonts w:hint="eastAsia" w:ascii="宋体" w:hAnsi="宋体"/>
          <w:color w:val="000000"/>
        </w:rPr>
        <w:t>9.第9列“境外所得应纳税额”：填报第7×8列金额。</w:t>
      </w:r>
    </w:p>
    <w:p>
      <w:pPr>
        <w:pStyle w:val="7"/>
        <w:ind w:firstLineChars="200"/>
        <w:rPr>
          <w:rFonts w:ascii="宋体" w:hAnsi="宋体"/>
          <w:color w:val="000000"/>
        </w:rPr>
      </w:pPr>
      <w:r>
        <w:rPr>
          <w:rFonts w:hint="eastAsia" w:ascii="宋体" w:hAnsi="宋体"/>
          <w:color w:val="000000"/>
        </w:rPr>
        <w:t>10.第10列“境外所得可抵免税额”：填报表A108010第13列金额。</w:t>
      </w:r>
    </w:p>
    <w:p>
      <w:pPr>
        <w:pStyle w:val="7"/>
        <w:ind w:firstLineChars="200"/>
        <w:rPr>
          <w:rFonts w:ascii="宋体" w:hAnsi="宋体"/>
          <w:color w:val="000000"/>
        </w:rPr>
      </w:pPr>
      <w:r>
        <w:rPr>
          <w:rFonts w:hint="eastAsia" w:ascii="宋体" w:hAnsi="宋体"/>
          <w:color w:val="000000"/>
        </w:rPr>
        <w:t>11.第11列“境外所得抵免限额”：境外所得抵免限额按以下公式计算：</w:t>
      </w:r>
    </w:p>
    <w:p>
      <w:pPr>
        <w:pStyle w:val="7"/>
        <w:ind w:firstLineChars="200"/>
        <w:rPr>
          <w:rFonts w:ascii="宋体" w:hAnsi="宋体"/>
          <w:color w:val="000000"/>
        </w:rPr>
      </w:pPr>
      <w:r>
        <w:rPr>
          <w:rFonts w:hint="eastAsia" w:ascii="宋体" w:hAnsi="宋体"/>
          <w:color w:val="000000"/>
        </w:rPr>
        <w:t>抵免限额＝中国境内、境外所得依照企业所得税法和条例的规定计算的应纳税总额×来源于某国（地区）的应纳税所得额÷中国境内、境外应纳税所得总额。</w:t>
      </w:r>
    </w:p>
    <w:p>
      <w:pPr>
        <w:pStyle w:val="7"/>
        <w:ind w:firstLineChars="200"/>
        <w:rPr>
          <w:rFonts w:ascii="宋体" w:hAnsi="宋体"/>
          <w:color w:val="000000"/>
        </w:rPr>
      </w:pPr>
      <w:r>
        <w:rPr>
          <w:rFonts w:hint="eastAsia" w:ascii="宋体" w:hAnsi="宋体"/>
          <w:color w:val="000000"/>
        </w:rPr>
        <w:t>12.第12列“本年可抵免境外所得税额”：填报纳税人本年来源于境外的所得已缴纳所得税在本年度允许抵免的金额。按第10列、第11列孰小值填报。</w:t>
      </w:r>
    </w:p>
    <w:p>
      <w:pPr>
        <w:pStyle w:val="7"/>
        <w:ind w:firstLineChars="200"/>
        <w:rPr>
          <w:rFonts w:ascii="宋体" w:hAnsi="宋体"/>
          <w:color w:val="000000"/>
        </w:rPr>
      </w:pPr>
      <w:r>
        <w:rPr>
          <w:rFonts w:hint="eastAsia" w:ascii="宋体" w:hAnsi="宋体"/>
          <w:color w:val="000000"/>
        </w:rPr>
        <w:t>13.第13列“未超过境外所得税抵免限额的余额”：填报纳税人本年在抵免限额内抵免完境外所得税后有余额的，可用于抵免以前年度结转的待抵免的所得税额。按第11-12列金额填报。</w:t>
      </w:r>
    </w:p>
    <w:p>
      <w:pPr>
        <w:pStyle w:val="7"/>
        <w:ind w:firstLineChars="200"/>
        <w:rPr>
          <w:rFonts w:ascii="宋体" w:hAnsi="宋体"/>
          <w:color w:val="000000"/>
        </w:rPr>
      </w:pPr>
      <w:r>
        <w:rPr>
          <w:rFonts w:hint="eastAsia" w:ascii="宋体" w:hAnsi="宋体"/>
          <w:color w:val="000000"/>
        </w:rPr>
        <w:t>14.第14列“本年可抵免以前年度未抵免境外所得税额”：填报纳税人本年可抵免以前年度未抵免、结转到本年度抵免的境外所得税额，按表A108030第13列金额填报。</w:t>
      </w:r>
    </w:p>
    <w:p>
      <w:pPr>
        <w:pStyle w:val="7"/>
        <w:ind w:firstLineChars="200"/>
        <w:rPr>
          <w:rFonts w:ascii="宋体" w:hAnsi="宋体"/>
          <w:color w:val="000000"/>
        </w:rPr>
      </w:pPr>
      <w:r>
        <w:rPr>
          <w:rFonts w:hint="eastAsia" w:ascii="宋体" w:hAnsi="宋体"/>
          <w:color w:val="000000"/>
        </w:rPr>
        <w:t>15.第15列至第18列由选择简易办法计算抵免额的纳税人填报。</w:t>
      </w:r>
    </w:p>
    <w:p>
      <w:pPr>
        <w:pStyle w:val="7"/>
        <w:ind w:firstLineChars="200"/>
        <w:rPr>
          <w:rFonts w:ascii="宋体" w:hAnsi="宋体"/>
          <w:color w:val="000000"/>
        </w:rPr>
      </w:pPr>
      <w:r>
        <w:rPr>
          <w:rFonts w:hint="eastAsia" w:ascii="宋体" w:hAnsi="宋体"/>
          <w:color w:val="000000"/>
        </w:rPr>
        <w:t>（1）第15列“按低于12.5%的实际税率计算的抵免额”：纳税人从境外取得营业利润所得以及符合境外税额间接抵免条件的股息所得，所得来源国（地区）的实际有效税率低于12.5%的，填报按照实际有效税率计算的抵免额。</w:t>
      </w:r>
    </w:p>
    <w:p>
      <w:pPr>
        <w:pStyle w:val="7"/>
        <w:ind w:firstLineChars="200"/>
        <w:rPr>
          <w:rFonts w:ascii="宋体" w:hAnsi="宋体"/>
          <w:color w:val="000000"/>
        </w:rPr>
      </w:pPr>
      <w:r>
        <w:rPr>
          <w:rFonts w:hint="eastAsia" w:ascii="宋体" w:hAnsi="宋体"/>
          <w:color w:val="000000"/>
        </w:rPr>
        <w:t>（2）第16列“按12.5%计算的抵免额”：纳税人从境外取得营业利润所得以及符合境外税额间接抵免条件的股息所得，除第15列情形外，填报按照12.5%计算的抵免额。</w:t>
      </w:r>
    </w:p>
    <w:p>
      <w:pPr>
        <w:pStyle w:val="7"/>
        <w:ind w:firstLineChars="200"/>
        <w:rPr>
          <w:rFonts w:ascii="宋体" w:hAnsi="宋体"/>
          <w:color w:val="000000"/>
        </w:rPr>
      </w:pPr>
      <w:r>
        <w:rPr>
          <w:rFonts w:hint="eastAsia" w:ascii="宋体" w:hAnsi="宋体"/>
          <w:color w:val="000000"/>
        </w:rPr>
        <w:t>（3）第17列“按25%计算的抵免额”：纳税人从境外取得营业利润所得以及符合境外税额间接抵免条件的股息所得，所得来源国（地区）的实际有效税率高于25%的，填报按照25%计算的抵免额。</w:t>
      </w:r>
    </w:p>
    <w:p>
      <w:pPr>
        <w:pStyle w:val="7"/>
        <w:ind w:firstLineChars="200"/>
        <w:rPr>
          <w:rFonts w:ascii="宋体" w:hAnsi="宋体"/>
          <w:color w:val="000000"/>
        </w:rPr>
      </w:pPr>
      <w:r>
        <w:rPr>
          <w:rFonts w:hint="eastAsia" w:ascii="宋体" w:hAnsi="宋体"/>
          <w:color w:val="000000"/>
        </w:rPr>
        <w:t>16.第19列“境外所得抵免所得税额合计”：填报第12+14+18列金额。</w:t>
      </w:r>
    </w:p>
    <w:p>
      <w:pPr>
        <w:pStyle w:val="7"/>
        <w:ind w:firstLineChars="200"/>
        <w:rPr>
          <w:rFonts w:ascii="宋体" w:hAnsi="宋体"/>
          <w:color w:val="000000"/>
        </w:rPr>
      </w:pPr>
      <w:r>
        <w:rPr>
          <w:rFonts w:hint="eastAsia" w:ascii="宋体" w:hAnsi="宋体"/>
          <w:color w:val="000000"/>
        </w:rPr>
        <w:t>二、表内、表间关系</w:t>
      </w:r>
    </w:p>
    <w:p>
      <w:pPr>
        <w:pStyle w:val="7"/>
        <w:ind w:firstLineChars="200"/>
        <w:rPr>
          <w:rFonts w:ascii="宋体" w:hAnsi="宋体"/>
          <w:color w:val="000000"/>
        </w:rPr>
      </w:pPr>
      <w:r>
        <w:rPr>
          <w:rFonts w:hint="eastAsia" w:ascii="宋体" w:hAnsi="宋体"/>
          <w:color w:val="000000"/>
        </w:rPr>
        <w:t>（一）表内关系</w:t>
      </w:r>
    </w:p>
    <w:p>
      <w:pPr>
        <w:pStyle w:val="7"/>
        <w:ind w:firstLineChars="200"/>
        <w:rPr>
          <w:rFonts w:ascii="宋体" w:hAnsi="宋体"/>
          <w:color w:val="000000"/>
        </w:rPr>
      </w:pPr>
      <w:r>
        <w:rPr>
          <w:rFonts w:hint="eastAsia" w:ascii="宋体" w:hAnsi="宋体"/>
          <w:color w:val="000000"/>
        </w:rPr>
        <w:t>1.第5列＝第3-4列，当第3-4列＜0时，本列＝0。</w:t>
      </w:r>
    </w:p>
    <w:p>
      <w:pPr>
        <w:pStyle w:val="7"/>
        <w:ind w:firstLineChars="200"/>
        <w:rPr>
          <w:rFonts w:ascii="宋体" w:hAnsi="宋体"/>
          <w:color w:val="000000"/>
        </w:rPr>
      </w:pPr>
      <w:r>
        <w:rPr>
          <w:rFonts w:hint="eastAsia" w:ascii="宋体" w:hAnsi="宋体"/>
          <w:color w:val="000000"/>
        </w:rPr>
        <w:t>2.第6列≤第5列。</w:t>
      </w:r>
    </w:p>
    <w:p>
      <w:pPr>
        <w:pStyle w:val="7"/>
        <w:ind w:firstLineChars="200"/>
        <w:rPr>
          <w:rFonts w:ascii="宋体" w:hAnsi="宋体"/>
          <w:color w:val="000000"/>
        </w:rPr>
      </w:pPr>
      <w:r>
        <w:rPr>
          <w:rFonts w:hint="eastAsia" w:ascii="宋体" w:hAnsi="宋体"/>
          <w:color w:val="000000"/>
        </w:rPr>
        <w:t>3.第7列＝第5-6列。</w:t>
      </w:r>
    </w:p>
    <w:p>
      <w:pPr>
        <w:pStyle w:val="7"/>
        <w:ind w:firstLineChars="200"/>
        <w:rPr>
          <w:rFonts w:ascii="宋体" w:hAnsi="宋体"/>
          <w:color w:val="000000"/>
        </w:rPr>
      </w:pPr>
      <w:r>
        <w:rPr>
          <w:rFonts w:hint="eastAsia" w:ascii="宋体" w:hAnsi="宋体"/>
          <w:color w:val="000000"/>
        </w:rPr>
        <w:t>4.第9列＝第7×8列。</w:t>
      </w:r>
    </w:p>
    <w:p>
      <w:pPr>
        <w:pStyle w:val="7"/>
        <w:ind w:firstLineChars="200"/>
        <w:rPr>
          <w:rFonts w:ascii="宋体" w:hAnsi="宋体"/>
          <w:color w:val="000000"/>
        </w:rPr>
      </w:pPr>
      <w:r>
        <w:rPr>
          <w:rFonts w:hint="eastAsia" w:ascii="宋体" w:hAnsi="宋体"/>
          <w:color w:val="000000"/>
        </w:rPr>
        <w:t>5.第12列＝第10列、第11列孰小值。</w:t>
      </w:r>
    </w:p>
    <w:p>
      <w:pPr>
        <w:pStyle w:val="7"/>
        <w:ind w:firstLineChars="200"/>
        <w:rPr>
          <w:rFonts w:ascii="宋体" w:hAnsi="宋体"/>
          <w:color w:val="000000"/>
        </w:rPr>
      </w:pPr>
      <w:r>
        <w:rPr>
          <w:rFonts w:hint="eastAsia" w:ascii="宋体" w:hAnsi="宋体"/>
          <w:color w:val="000000"/>
        </w:rPr>
        <w:t>6.第13列＝第11-12列。</w:t>
      </w:r>
    </w:p>
    <w:p>
      <w:pPr>
        <w:pStyle w:val="7"/>
        <w:ind w:firstLineChars="200"/>
        <w:rPr>
          <w:rFonts w:ascii="宋体" w:hAnsi="宋体"/>
          <w:color w:val="000000"/>
        </w:rPr>
      </w:pPr>
      <w:r>
        <w:rPr>
          <w:rFonts w:hint="eastAsia" w:ascii="宋体" w:hAnsi="宋体"/>
          <w:color w:val="000000"/>
        </w:rPr>
        <w:t>7.第14列≤第13列。</w:t>
      </w:r>
    </w:p>
    <w:p>
      <w:pPr>
        <w:pStyle w:val="7"/>
        <w:ind w:firstLineChars="200"/>
        <w:rPr>
          <w:rFonts w:ascii="宋体" w:hAnsi="宋体"/>
          <w:color w:val="000000"/>
        </w:rPr>
      </w:pPr>
      <w:r>
        <w:rPr>
          <w:rFonts w:hint="eastAsia" w:ascii="宋体" w:hAnsi="宋体"/>
          <w:color w:val="000000"/>
        </w:rPr>
        <w:t>8.第18列＝第15+16+17列。</w:t>
      </w:r>
    </w:p>
    <w:p>
      <w:pPr>
        <w:pStyle w:val="7"/>
        <w:ind w:firstLineChars="200"/>
        <w:rPr>
          <w:rFonts w:ascii="宋体" w:hAnsi="宋体"/>
          <w:color w:val="000000"/>
        </w:rPr>
      </w:pPr>
      <w:r>
        <w:rPr>
          <w:rFonts w:hint="eastAsia" w:ascii="宋体" w:hAnsi="宋体"/>
          <w:color w:val="000000"/>
        </w:rPr>
        <w:t>9.第19列＝第12+14+18列。</w:t>
      </w:r>
    </w:p>
    <w:p>
      <w:pPr>
        <w:pStyle w:val="7"/>
        <w:ind w:firstLineChars="200"/>
        <w:rPr>
          <w:rFonts w:ascii="宋体" w:hAnsi="宋体"/>
          <w:color w:val="000000"/>
        </w:rPr>
      </w:pPr>
      <w:r>
        <w:rPr>
          <w:rFonts w:hint="eastAsia" w:ascii="宋体" w:hAnsi="宋体"/>
          <w:color w:val="000000"/>
        </w:rPr>
        <w:t>（二）表间关系</w:t>
      </w:r>
    </w:p>
    <w:p>
      <w:pPr>
        <w:pStyle w:val="7"/>
        <w:ind w:firstLineChars="200"/>
        <w:rPr>
          <w:rFonts w:ascii="宋体" w:hAnsi="宋体"/>
          <w:color w:val="000000"/>
        </w:rPr>
      </w:pPr>
      <w:r>
        <w:rPr>
          <w:rFonts w:hint="eastAsia" w:ascii="宋体" w:hAnsi="宋体"/>
          <w:color w:val="000000"/>
        </w:rPr>
        <w:t>1.若选择“分国（地区）不分项”的境外所得抵免方式，第2列各行＝表A108010第14列相应行次；若选择“不分国（地区）不分项” 的境外所得抵免方式，第1行第2列＝表A108010第14列合计。</w:t>
      </w:r>
    </w:p>
    <w:p>
      <w:pPr>
        <w:pStyle w:val="7"/>
        <w:ind w:firstLineChars="200"/>
        <w:rPr>
          <w:rFonts w:ascii="宋体" w:hAnsi="宋体"/>
          <w:color w:val="000000"/>
        </w:rPr>
      </w:pPr>
      <w:r>
        <w:rPr>
          <w:rFonts w:hint="eastAsia" w:ascii="宋体" w:hAnsi="宋体"/>
          <w:color w:val="000000"/>
        </w:rPr>
        <w:t>2.若选择“分国（地区）不分项”的境外所得抵免方式，第3列各行＝表A108010第18列相应行次；若选择“不分国（地区）不分项” 的境外所得抵免方式，第1行第</w:t>
      </w:r>
      <w:r>
        <w:rPr>
          <w:rFonts w:ascii="宋体" w:hAnsi="宋体"/>
          <w:color w:val="000000"/>
        </w:rPr>
        <w:t>3</w:t>
      </w:r>
      <w:r>
        <w:rPr>
          <w:rFonts w:hint="eastAsia" w:ascii="宋体" w:hAnsi="宋体"/>
          <w:color w:val="000000"/>
        </w:rPr>
        <w:t>列＝表</w:t>
      </w:r>
      <w:r>
        <w:rPr>
          <w:rFonts w:ascii="宋体" w:hAnsi="宋体"/>
          <w:color w:val="000000"/>
        </w:rPr>
        <w:t>A108010</w:t>
      </w:r>
      <w:r>
        <w:rPr>
          <w:rFonts w:hint="eastAsia" w:ascii="宋体" w:hAnsi="宋体"/>
          <w:color w:val="000000"/>
        </w:rPr>
        <w:t>第</w:t>
      </w:r>
      <w:r>
        <w:rPr>
          <w:rFonts w:ascii="宋体" w:hAnsi="宋体"/>
          <w:color w:val="000000"/>
        </w:rPr>
        <w:t>18</w:t>
      </w:r>
      <w:r>
        <w:rPr>
          <w:rFonts w:hint="eastAsia" w:ascii="宋体" w:hAnsi="宋体"/>
          <w:color w:val="000000"/>
        </w:rPr>
        <w:t>列合计。</w:t>
      </w:r>
    </w:p>
    <w:p>
      <w:pPr>
        <w:pStyle w:val="7"/>
        <w:ind w:firstLineChars="200"/>
        <w:rPr>
          <w:rFonts w:ascii="宋体" w:hAnsi="宋体"/>
          <w:color w:val="000000"/>
        </w:rPr>
      </w:pPr>
      <w:r>
        <w:rPr>
          <w:rFonts w:hint="eastAsia" w:ascii="宋体" w:hAnsi="宋体"/>
          <w:color w:val="000000"/>
        </w:rPr>
        <w:t>3.若选择“分国（地区）不分项”的境外所得抵免方式，第4列各行＝表A108020第4列相应行次+第</w:t>
      </w:r>
      <w:r>
        <w:rPr>
          <w:rFonts w:ascii="宋体" w:hAnsi="宋体"/>
          <w:color w:val="000000"/>
        </w:rPr>
        <w:t>8</w:t>
      </w:r>
      <w:r>
        <w:rPr>
          <w:rFonts w:hint="eastAsia" w:ascii="宋体" w:hAnsi="宋体"/>
          <w:color w:val="000000"/>
        </w:rPr>
        <w:t>列相应行次；若选择“不分国（地区）不分项” 的境外所得抵免方式，第1行第</w:t>
      </w:r>
      <w:r>
        <w:rPr>
          <w:rFonts w:ascii="宋体" w:hAnsi="宋体"/>
          <w:color w:val="000000"/>
        </w:rPr>
        <w:t>4</w:t>
      </w:r>
      <w:r>
        <w:rPr>
          <w:rFonts w:hint="eastAsia" w:ascii="宋体" w:hAnsi="宋体"/>
          <w:color w:val="000000"/>
        </w:rPr>
        <w:t>列＝表A108020第4列合计+第</w:t>
      </w:r>
      <w:r>
        <w:rPr>
          <w:rFonts w:ascii="宋体" w:hAnsi="宋体"/>
          <w:color w:val="000000"/>
        </w:rPr>
        <w:t>8</w:t>
      </w:r>
      <w:r>
        <w:rPr>
          <w:rFonts w:hint="eastAsia" w:ascii="宋体" w:hAnsi="宋体"/>
          <w:color w:val="000000"/>
        </w:rPr>
        <w:t>列合计。</w:t>
      </w:r>
    </w:p>
    <w:p>
      <w:pPr>
        <w:pStyle w:val="7"/>
        <w:ind w:firstLineChars="200"/>
        <w:rPr>
          <w:rFonts w:ascii="宋体" w:hAnsi="宋体"/>
          <w:color w:val="000000"/>
        </w:rPr>
      </w:pPr>
      <w:r>
        <w:rPr>
          <w:rFonts w:hint="eastAsia" w:ascii="宋体" w:hAnsi="宋体"/>
          <w:color w:val="000000"/>
        </w:rPr>
        <w:t>4.若选择“分国（地区）不分项”的境外所得抵免方式，第6列合计≤第5列合计、表A106000第</w:t>
      </w:r>
      <w:r>
        <w:rPr>
          <w:rFonts w:ascii="宋体" w:hAnsi="宋体"/>
          <w:color w:val="000000"/>
        </w:rPr>
        <w:t>8</w:t>
      </w:r>
      <w:r>
        <w:rPr>
          <w:rFonts w:hint="eastAsia" w:ascii="宋体" w:hAnsi="宋体"/>
          <w:color w:val="000000"/>
        </w:rPr>
        <w:t>列第</w:t>
      </w:r>
      <w:r>
        <w:rPr>
          <w:rFonts w:ascii="宋体" w:hAnsi="宋体"/>
          <w:color w:val="000000"/>
        </w:rPr>
        <w:t>1</w:t>
      </w:r>
      <w:r>
        <w:rPr>
          <w:rFonts w:hint="eastAsia" w:ascii="宋体" w:hAnsi="宋体"/>
          <w:color w:val="000000"/>
        </w:rPr>
        <w:t>行至第10行合计+表A100000第18行的孰小值；若选择“不分国（地区）不分项” 的境外所得抵免方式，第1行第6列≤第1行第5列、表A106000第</w:t>
      </w:r>
      <w:r>
        <w:rPr>
          <w:rFonts w:ascii="宋体" w:hAnsi="宋体"/>
          <w:color w:val="000000"/>
        </w:rPr>
        <w:t>8</w:t>
      </w:r>
      <w:r>
        <w:rPr>
          <w:rFonts w:hint="eastAsia" w:ascii="宋体" w:hAnsi="宋体"/>
          <w:color w:val="000000"/>
        </w:rPr>
        <w:t>列第</w:t>
      </w:r>
      <w:r>
        <w:rPr>
          <w:rFonts w:ascii="宋体" w:hAnsi="宋体"/>
          <w:color w:val="000000"/>
        </w:rPr>
        <w:t>1</w:t>
      </w:r>
      <w:r>
        <w:rPr>
          <w:rFonts w:hint="eastAsia" w:ascii="宋体" w:hAnsi="宋体"/>
          <w:color w:val="000000"/>
        </w:rPr>
        <w:t>行至第10行合计+表A100000第18行的孰小值。</w:t>
      </w:r>
    </w:p>
    <w:p>
      <w:pPr>
        <w:pStyle w:val="7"/>
        <w:ind w:firstLineChars="200"/>
        <w:rPr>
          <w:rFonts w:ascii="宋体" w:hAnsi="宋体"/>
          <w:color w:val="000000"/>
        </w:rPr>
      </w:pPr>
      <w:r>
        <w:rPr>
          <w:rFonts w:hint="eastAsia" w:ascii="宋体" w:hAnsi="宋体"/>
          <w:color w:val="000000"/>
        </w:rPr>
        <w:t>5.第9列合计＝表A100000第29行。</w:t>
      </w:r>
    </w:p>
    <w:p>
      <w:pPr>
        <w:pStyle w:val="7"/>
        <w:ind w:firstLineChars="200"/>
        <w:rPr>
          <w:rFonts w:ascii="宋体" w:hAnsi="宋体"/>
          <w:color w:val="000000"/>
        </w:rPr>
      </w:pPr>
      <w:r>
        <w:rPr>
          <w:rFonts w:hint="eastAsia" w:ascii="宋体" w:hAnsi="宋体"/>
          <w:color w:val="000000"/>
        </w:rPr>
        <w:t>6.若选择“分国（地区）不分项”的境外所得抵免方式，第10列各行＝表A108010第13列相应行次；若选择“不分国（地区）不分项” 的境外所得抵免方式，第1行第10列＝表A108010第13列合计。</w:t>
      </w:r>
    </w:p>
    <w:p>
      <w:pPr>
        <w:pStyle w:val="7"/>
        <w:ind w:firstLineChars="200"/>
        <w:rPr>
          <w:rFonts w:ascii="宋体" w:hAnsi="宋体"/>
          <w:color w:val="000000"/>
        </w:rPr>
      </w:pPr>
      <w:r>
        <w:rPr>
          <w:rFonts w:hint="eastAsia" w:ascii="宋体" w:hAnsi="宋体"/>
          <w:color w:val="000000"/>
        </w:rPr>
        <w:t>7.若选择“分国（地区）不分项”的境外所得抵免方式，第14列各行＝表A108030第13列相应行次；若选择“不分国（地区）不分项” 的境外所得抵免方式，第1行第14列＝表A108030第13列合计。</w:t>
      </w:r>
    </w:p>
    <w:p>
      <w:pPr>
        <w:pStyle w:val="7"/>
        <w:ind w:firstLineChars="200"/>
        <w:rPr>
          <w:rFonts w:ascii="宋体" w:hAnsi="宋体"/>
          <w:color w:val="000000"/>
        </w:rPr>
        <w:sectPr>
          <w:pgSz w:w="16838" w:h="11906" w:orient="landscape"/>
          <w:pgMar w:top="1800" w:right="1440" w:bottom="1800" w:left="1440" w:header="851" w:footer="992" w:gutter="0"/>
          <w:cols w:space="720" w:num="1"/>
          <w:docGrid w:type="lines" w:linePitch="312" w:charSpace="0"/>
        </w:sectPr>
      </w:pPr>
      <w:r>
        <w:rPr>
          <w:rFonts w:hint="eastAsia" w:ascii="宋体" w:hAnsi="宋体"/>
          <w:color w:val="000000"/>
        </w:rPr>
        <w:t>8.第19列合计＝表A100000第30行。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B454F4"/>
    <w:rsid w:val="44B45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2019-10-31T02:02:00Z</dcterms:created>
  <dc:creator>陈莉佳</dc:creator>
  <cp:lastModifiedBy>陈莉佳</cp:lastModifiedBy>
  <dcterms:modified xsi:type="dcterms:W3CDTF">2019-10-31T02:02:49Z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