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A06592</w:t>
      </w:r>
      <w:r>
        <w:rPr>
          <w:rFonts w:hint="eastAsia" w:ascii="宋体" w:hAnsi="宋体" w:eastAsia="宋体"/>
        </w:rPr>
        <w:t>《税额抵免优惠明细表》（</w:t>
      </w:r>
      <w:r>
        <w:rPr>
          <w:rFonts w:ascii="宋体" w:hAnsi="宋体" w:eastAsia="宋体"/>
        </w:rPr>
        <w:t>A107050</w:t>
      </w:r>
      <w:r>
        <w:rPr>
          <w:rFonts w:hint="eastAsia" w:ascii="宋体" w:hAnsi="宋体" w:eastAsia="宋体"/>
        </w:rPr>
        <w:t>）</w:t>
      </w:r>
    </w:p>
    <w:p>
      <w:pPr>
        <w:pStyle w:val="8"/>
        <w:jc w:val="center"/>
        <w:rPr>
          <w:b/>
          <w:color w:val="000000"/>
          <w:sz w:val="32"/>
          <w:szCs w:val="32"/>
        </w:rPr>
      </w:pPr>
      <w:bookmarkStart w:id="0" w:name="_GoBack"/>
      <w:bookmarkEnd w:id="0"/>
      <w:r>
        <w:rPr>
          <w:rFonts w:hint="eastAsia" w:ascii="宋体" w:hAnsi="宋体" w:cs="宋体"/>
          <w:b/>
          <w:bCs/>
          <w:color w:val="000000"/>
          <w:sz w:val="28"/>
          <w:szCs w:val="28"/>
        </w:rPr>
        <w:t>税额抵免优惠明细表</w:t>
      </w:r>
      <w:r>
        <w:rPr>
          <w:rFonts w:hint="eastAsia"/>
          <w:b/>
          <w:color w:val="000000"/>
          <w:sz w:val="32"/>
          <w:szCs w:val="32"/>
        </w:rPr>
        <w:t>（</w:t>
      </w:r>
      <w:r>
        <w:rPr>
          <w:b/>
          <w:color w:val="000000"/>
          <w:sz w:val="32"/>
          <w:szCs w:val="32"/>
        </w:rPr>
        <w:t>A107050</w:t>
      </w:r>
      <w:r>
        <w:rPr>
          <w:rFonts w:hint="eastAsia"/>
          <w:b/>
          <w:color w:val="000000"/>
          <w:sz w:val="32"/>
          <w:szCs w:val="32"/>
        </w:rPr>
        <w:t>）</w:t>
      </w:r>
    </w:p>
    <w:tbl>
      <w:tblPr>
        <w:tblStyle w:val="2"/>
        <w:tblW w:w="133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1060"/>
        <w:gridCol w:w="1060"/>
        <w:gridCol w:w="1060"/>
        <w:gridCol w:w="1060"/>
        <w:gridCol w:w="1060"/>
        <w:gridCol w:w="688"/>
        <w:gridCol w:w="674"/>
        <w:gridCol w:w="807"/>
        <w:gridCol w:w="681"/>
        <w:gridCol w:w="84"/>
        <w:gridCol w:w="773"/>
        <w:gridCol w:w="1216"/>
        <w:gridCol w:w="1171"/>
        <w:gridCol w:w="1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640" w:type="dxa"/>
            <w:vMerge w:val="restart"/>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行次</w:t>
            </w:r>
          </w:p>
        </w:tc>
        <w:tc>
          <w:tcPr>
            <w:tcW w:w="1060" w:type="dxa"/>
            <w:vMerge w:val="restart"/>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项目</w:t>
            </w:r>
          </w:p>
        </w:tc>
        <w:tc>
          <w:tcPr>
            <w:tcW w:w="1060" w:type="dxa"/>
            <w:vMerge w:val="restart"/>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年度</w:t>
            </w:r>
          </w:p>
        </w:tc>
        <w:tc>
          <w:tcPr>
            <w:tcW w:w="1060" w:type="dxa"/>
            <w:vMerge w:val="restart"/>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本年抵免前应纳税额</w:t>
            </w:r>
          </w:p>
        </w:tc>
        <w:tc>
          <w:tcPr>
            <w:tcW w:w="1060" w:type="dxa"/>
            <w:vMerge w:val="restart"/>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本年允许抵免的专用设备投资额</w:t>
            </w:r>
          </w:p>
        </w:tc>
        <w:tc>
          <w:tcPr>
            <w:tcW w:w="1060" w:type="dxa"/>
            <w:vMerge w:val="restart"/>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本年可抵免税额</w:t>
            </w:r>
          </w:p>
        </w:tc>
        <w:tc>
          <w:tcPr>
            <w:tcW w:w="4923" w:type="dxa"/>
            <w:gridSpan w:val="7"/>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以前年度已抵免额</w:t>
            </w:r>
          </w:p>
        </w:tc>
        <w:tc>
          <w:tcPr>
            <w:tcW w:w="117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本年实际抵免的各年度税额</w:t>
            </w:r>
          </w:p>
        </w:tc>
        <w:tc>
          <w:tcPr>
            <w:tcW w:w="13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可结转以后年度抵免的税额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640" w:type="dxa"/>
            <w:vMerge w:val="continue"/>
            <w:noWrap w:val="0"/>
            <w:vAlign w:val="center"/>
          </w:tcPr>
          <w:p>
            <w:pPr>
              <w:pStyle w:val="9"/>
              <w:spacing w:before="260" w:after="260" w:line="415" w:lineRule="auto"/>
              <w:rPr>
                <w:rFonts w:ascii="宋体" w:hAnsi="宋体" w:cs="宋体"/>
                <w:sz w:val="20"/>
                <w:szCs w:val="20"/>
              </w:rPr>
            </w:pPr>
          </w:p>
        </w:tc>
        <w:tc>
          <w:tcPr>
            <w:tcW w:w="1060" w:type="dxa"/>
            <w:vMerge w:val="continue"/>
            <w:noWrap w:val="0"/>
            <w:vAlign w:val="center"/>
          </w:tcPr>
          <w:p>
            <w:pPr>
              <w:pStyle w:val="9"/>
              <w:spacing w:before="260" w:after="260" w:line="415" w:lineRule="auto"/>
              <w:rPr>
                <w:rFonts w:ascii="宋体" w:hAnsi="宋体" w:cs="宋体"/>
                <w:sz w:val="20"/>
                <w:szCs w:val="20"/>
              </w:rPr>
            </w:pPr>
          </w:p>
        </w:tc>
        <w:tc>
          <w:tcPr>
            <w:tcW w:w="1060" w:type="dxa"/>
            <w:vMerge w:val="continue"/>
            <w:noWrap w:val="0"/>
            <w:vAlign w:val="center"/>
          </w:tcPr>
          <w:p>
            <w:pPr>
              <w:pStyle w:val="9"/>
              <w:spacing w:before="260" w:after="260" w:line="415" w:lineRule="auto"/>
              <w:rPr>
                <w:rFonts w:ascii="宋体" w:hAnsi="宋体" w:cs="宋体"/>
                <w:sz w:val="20"/>
                <w:szCs w:val="20"/>
              </w:rPr>
            </w:pPr>
          </w:p>
        </w:tc>
        <w:tc>
          <w:tcPr>
            <w:tcW w:w="1060" w:type="dxa"/>
            <w:vMerge w:val="continue"/>
            <w:noWrap w:val="0"/>
            <w:vAlign w:val="center"/>
          </w:tcPr>
          <w:p>
            <w:pPr>
              <w:pStyle w:val="9"/>
              <w:spacing w:before="260" w:after="260" w:line="415" w:lineRule="auto"/>
              <w:rPr>
                <w:rFonts w:ascii="宋体" w:hAnsi="宋体" w:cs="宋体"/>
                <w:sz w:val="20"/>
                <w:szCs w:val="20"/>
              </w:rPr>
            </w:pPr>
          </w:p>
        </w:tc>
        <w:tc>
          <w:tcPr>
            <w:tcW w:w="1060" w:type="dxa"/>
            <w:vMerge w:val="continue"/>
            <w:noWrap w:val="0"/>
            <w:vAlign w:val="center"/>
          </w:tcPr>
          <w:p>
            <w:pPr>
              <w:pStyle w:val="9"/>
              <w:spacing w:before="260" w:after="260" w:line="415" w:lineRule="auto"/>
              <w:rPr>
                <w:rFonts w:ascii="宋体" w:hAnsi="宋体" w:cs="宋体"/>
                <w:sz w:val="20"/>
                <w:szCs w:val="20"/>
              </w:rPr>
            </w:pPr>
          </w:p>
        </w:tc>
        <w:tc>
          <w:tcPr>
            <w:tcW w:w="1060" w:type="dxa"/>
            <w:vMerge w:val="continue"/>
            <w:noWrap w:val="0"/>
            <w:vAlign w:val="center"/>
          </w:tcPr>
          <w:p>
            <w:pPr>
              <w:pStyle w:val="9"/>
              <w:spacing w:before="260" w:after="260" w:line="415" w:lineRule="auto"/>
              <w:rPr>
                <w:rFonts w:ascii="宋体" w:hAnsi="宋体" w:cs="宋体"/>
                <w:sz w:val="20"/>
                <w:szCs w:val="20"/>
              </w:rPr>
            </w:pPr>
          </w:p>
        </w:tc>
        <w:tc>
          <w:tcPr>
            <w:tcW w:w="68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前五年度</w:t>
            </w:r>
          </w:p>
        </w:tc>
        <w:tc>
          <w:tcPr>
            <w:tcW w:w="674"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前四年度</w:t>
            </w:r>
          </w:p>
        </w:tc>
        <w:tc>
          <w:tcPr>
            <w:tcW w:w="807"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前三年度</w:t>
            </w:r>
          </w:p>
        </w:tc>
        <w:tc>
          <w:tcPr>
            <w:tcW w:w="68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前二年度</w:t>
            </w:r>
          </w:p>
        </w:tc>
        <w:tc>
          <w:tcPr>
            <w:tcW w:w="857" w:type="dxa"/>
            <w:gridSpan w:val="2"/>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前一年度</w:t>
            </w:r>
          </w:p>
        </w:tc>
        <w:tc>
          <w:tcPr>
            <w:tcW w:w="12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小计</w:t>
            </w:r>
          </w:p>
        </w:tc>
        <w:tc>
          <w:tcPr>
            <w:tcW w:w="1171" w:type="dxa"/>
            <w:noWrap w:val="0"/>
            <w:vAlign w:val="center"/>
          </w:tcPr>
          <w:p>
            <w:pPr>
              <w:pStyle w:val="9"/>
              <w:spacing w:before="260" w:after="260" w:line="415" w:lineRule="auto"/>
              <w:rPr>
                <w:rFonts w:ascii="宋体" w:hAnsi="宋体" w:cs="宋体"/>
                <w:sz w:val="20"/>
                <w:szCs w:val="20"/>
              </w:rPr>
            </w:pPr>
          </w:p>
        </w:tc>
        <w:tc>
          <w:tcPr>
            <w:tcW w:w="1316" w:type="dxa"/>
            <w:noWrap w:val="0"/>
            <w:vAlign w:val="center"/>
          </w:tcPr>
          <w:p>
            <w:pPr>
              <w:pStyle w:val="9"/>
              <w:spacing w:before="260" w:after="260" w:line="415" w:lineRule="auto"/>
              <w:rPr>
                <w:rFonts w:ascii="宋体" w:hAnsi="宋体" w:cs="宋体"/>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640" w:type="dxa"/>
            <w:vMerge w:val="continue"/>
            <w:noWrap w:val="0"/>
            <w:vAlign w:val="center"/>
          </w:tcPr>
          <w:p>
            <w:pPr>
              <w:pStyle w:val="9"/>
              <w:spacing w:before="260" w:after="260" w:line="415" w:lineRule="auto"/>
              <w:rPr>
                <w:rFonts w:ascii="宋体" w:hAnsi="宋体" w:cs="宋体"/>
                <w:sz w:val="20"/>
                <w:szCs w:val="20"/>
              </w:rPr>
            </w:pPr>
          </w:p>
        </w:tc>
        <w:tc>
          <w:tcPr>
            <w:tcW w:w="1060" w:type="dxa"/>
            <w:vMerge w:val="continue"/>
            <w:noWrap w:val="0"/>
            <w:vAlign w:val="center"/>
          </w:tcPr>
          <w:p>
            <w:pPr>
              <w:pStyle w:val="9"/>
              <w:spacing w:before="260" w:after="260" w:line="415" w:lineRule="auto"/>
              <w:rPr>
                <w:rFonts w:ascii="宋体" w:hAnsi="宋体" w:cs="宋体"/>
                <w:sz w:val="20"/>
                <w:szCs w:val="20"/>
              </w:rPr>
            </w:pP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2</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3</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4（3×10%）</w:t>
            </w:r>
          </w:p>
        </w:tc>
        <w:tc>
          <w:tcPr>
            <w:tcW w:w="68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5</w:t>
            </w:r>
          </w:p>
        </w:tc>
        <w:tc>
          <w:tcPr>
            <w:tcW w:w="674"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6</w:t>
            </w:r>
          </w:p>
        </w:tc>
        <w:tc>
          <w:tcPr>
            <w:tcW w:w="807"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7</w:t>
            </w:r>
          </w:p>
        </w:tc>
        <w:tc>
          <w:tcPr>
            <w:tcW w:w="68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8</w:t>
            </w:r>
          </w:p>
        </w:tc>
        <w:tc>
          <w:tcPr>
            <w:tcW w:w="857" w:type="dxa"/>
            <w:gridSpan w:val="2"/>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9</w:t>
            </w:r>
          </w:p>
        </w:tc>
        <w:tc>
          <w:tcPr>
            <w:tcW w:w="12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10（5+…+9）</w:t>
            </w:r>
          </w:p>
        </w:tc>
        <w:tc>
          <w:tcPr>
            <w:tcW w:w="117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11</w:t>
            </w:r>
          </w:p>
        </w:tc>
        <w:tc>
          <w:tcPr>
            <w:tcW w:w="13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12（4-10-11）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前五年度</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68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674"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807"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68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857" w:type="dxa"/>
            <w:gridSpan w:val="2"/>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2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171"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3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2</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前四年度</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68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674"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807"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68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857" w:type="dxa"/>
            <w:gridSpan w:val="2"/>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2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171"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3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3</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前三年度</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68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674"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807"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68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857" w:type="dxa"/>
            <w:gridSpan w:val="2"/>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2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171"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3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4</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前二年度</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68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674"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807"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68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857" w:type="dxa"/>
            <w:gridSpan w:val="2"/>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2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171"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3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5</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前一年度</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68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674"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807"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68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857" w:type="dxa"/>
            <w:gridSpan w:val="2"/>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2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171"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3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6</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本年度</w:t>
            </w:r>
          </w:p>
        </w:tc>
        <w:tc>
          <w:tcPr>
            <w:tcW w:w="106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060"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68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674"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807"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681"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857" w:type="dxa"/>
            <w:gridSpan w:val="2"/>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12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c>
          <w:tcPr>
            <w:tcW w:w="1171"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c>
          <w:tcPr>
            <w:tcW w:w="13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7</w:t>
            </w:r>
          </w:p>
        </w:tc>
        <w:tc>
          <w:tcPr>
            <w:tcW w:w="10223" w:type="dxa"/>
            <w:gridSpan w:val="12"/>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本年实际抵免税额合计</w:t>
            </w:r>
          </w:p>
        </w:tc>
        <w:tc>
          <w:tcPr>
            <w:tcW w:w="1171" w:type="dxa"/>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　</w:t>
            </w:r>
          </w:p>
        </w:tc>
        <w:tc>
          <w:tcPr>
            <w:tcW w:w="13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8</w:t>
            </w:r>
          </w:p>
        </w:tc>
        <w:tc>
          <w:tcPr>
            <w:tcW w:w="11394" w:type="dxa"/>
            <w:gridSpan w:val="13"/>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可结转以后年度抵免的税额合计</w:t>
            </w:r>
          </w:p>
        </w:tc>
        <w:tc>
          <w:tcPr>
            <w:tcW w:w="1316" w:type="dxa"/>
            <w:noWrap w:val="0"/>
            <w:vAlign w:val="center"/>
          </w:tcPr>
          <w:p>
            <w:pPr>
              <w:pStyle w:val="9"/>
              <w:spacing w:before="260" w:after="260" w:line="415" w:lineRule="auto"/>
              <w:jc w:val="right"/>
              <w:rPr>
                <w:rFonts w:ascii="宋体" w:hAnsi="宋体" w:cs="宋体"/>
                <w:sz w:val="20"/>
                <w:szCs w:val="20"/>
              </w:rPr>
            </w:pPr>
            <w:r>
              <w:rPr>
                <w:rFonts w:hint="eastAsia" w:ascii="宋体" w:hAnsi="宋体" w:cs="宋体"/>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9</w:t>
            </w:r>
          </w:p>
        </w:tc>
        <w:tc>
          <w:tcPr>
            <w:tcW w:w="1060" w:type="dxa"/>
            <w:vMerge w:val="restart"/>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专用设备</w:t>
            </w:r>
            <w:r>
              <w:rPr>
                <w:rFonts w:hint="eastAsia" w:ascii="宋体" w:hAnsi="宋体" w:cs="宋体"/>
                <w:sz w:val="20"/>
                <w:szCs w:val="20"/>
              </w:rPr>
              <w:br w:type="textWrapping"/>
            </w:r>
            <w:r>
              <w:rPr>
                <w:rFonts w:hint="eastAsia" w:ascii="宋体" w:hAnsi="宋体" w:cs="宋体"/>
                <w:sz w:val="20"/>
                <w:szCs w:val="20"/>
              </w:rPr>
              <w:t>投资情况</w:t>
            </w:r>
          </w:p>
        </w:tc>
        <w:tc>
          <w:tcPr>
            <w:tcW w:w="7174" w:type="dxa"/>
            <w:gridSpan w:val="9"/>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本年允许抵免的环境保护专用设备投资额</w:t>
            </w:r>
          </w:p>
        </w:tc>
        <w:tc>
          <w:tcPr>
            <w:tcW w:w="4476" w:type="dxa"/>
            <w:gridSpan w:val="4"/>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10</w:t>
            </w:r>
          </w:p>
        </w:tc>
        <w:tc>
          <w:tcPr>
            <w:tcW w:w="1060" w:type="dxa"/>
            <w:vMerge w:val="continue"/>
            <w:noWrap w:val="0"/>
            <w:vAlign w:val="center"/>
          </w:tcPr>
          <w:p>
            <w:pPr>
              <w:pStyle w:val="9"/>
              <w:spacing w:before="260" w:after="260" w:line="415" w:lineRule="auto"/>
              <w:rPr>
                <w:rFonts w:ascii="宋体" w:hAnsi="宋体" w:cs="宋体"/>
                <w:sz w:val="20"/>
                <w:szCs w:val="20"/>
              </w:rPr>
            </w:pPr>
          </w:p>
        </w:tc>
        <w:tc>
          <w:tcPr>
            <w:tcW w:w="7174" w:type="dxa"/>
            <w:gridSpan w:val="9"/>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本年允许抵免节能节水的专用设备投资额</w:t>
            </w:r>
          </w:p>
        </w:tc>
        <w:tc>
          <w:tcPr>
            <w:tcW w:w="4476" w:type="dxa"/>
            <w:gridSpan w:val="4"/>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640"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11</w:t>
            </w:r>
          </w:p>
        </w:tc>
        <w:tc>
          <w:tcPr>
            <w:tcW w:w="1060" w:type="dxa"/>
            <w:vMerge w:val="continue"/>
            <w:noWrap w:val="0"/>
            <w:vAlign w:val="center"/>
          </w:tcPr>
          <w:p>
            <w:pPr>
              <w:pStyle w:val="9"/>
              <w:spacing w:before="260" w:after="260" w:line="415" w:lineRule="auto"/>
              <w:rPr>
                <w:rFonts w:ascii="宋体" w:hAnsi="宋体" w:cs="宋体"/>
                <w:sz w:val="20"/>
                <w:szCs w:val="20"/>
              </w:rPr>
            </w:pPr>
          </w:p>
        </w:tc>
        <w:tc>
          <w:tcPr>
            <w:tcW w:w="7174" w:type="dxa"/>
            <w:gridSpan w:val="9"/>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本年允许抵免的安全生产专用设备投资额</w:t>
            </w:r>
          </w:p>
        </w:tc>
        <w:tc>
          <w:tcPr>
            <w:tcW w:w="4476" w:type="dxa"/>
            <w:gridSpan w:val="4"/>
            <w:noWrap w:val="0"/>
            <w:vAlign w:val="center"/>
          </w:tcPr>
          <w:p>
            <w:pPr>
              <w:pStyle w:val="9"/>
              <w:spacing w:before="260" w:after="260" w:line="415" w:lineRule="auto"/>
              <w:rPr>
                <w:rFonts w:ascii="宋体" w:hAnsi="宋体" w:cs="宋体"/>
                <w:sz w:val="20"/>
                <w:szCs w:val="20"/>
              </w:rPr>
            </w:pPr>
            <w:r>
              <w:rPr>
                <w:rFonts w:hint="eastAsia" w:ascii="宋体" w:hAnsi="宋体" w:cs="宋体"/>
                <w:sz w:val="20"/>
                <w:szCs w:val="20"/>
              </w:rPr>
              <w:t>　</w:t>
            </w: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本表适用于享受专用设备投资额抵免优惠（含结转）的纳税人填报。纳税人根据税法、《</w:t>
      </w:r>
      <w:r>
        <w:rPr>
          <w:rFonts w:ascii="宋体" w:hAnsi="宋体"/>
          <w:color w:val="000000"/>
        </w:rPr>
        <w:t>财政部　国家税务总局关于执行环境保护专用设备企业所得税优惠目录、节能节水专用设备企业所得税优惠目录和安全生产专用设备企业所得税优惠目录有关问题的通知</w:t>
      </w:r>
      <w:r>
        <w:rPr>
          <w:rFonts w:hint="eastAsia" w:ascii="宋体" w:hAnsi="宋体"/>
          <w:color w:val="000000"/>
        </w:rPr>
        <w:t>》（财税〔</w:t>
      </w:r>
      <w:r>
        <w:rPr>
          <w:rFonts w:ascii="宋体" w:hAnsi="宋体"/>
          <w:color w:val="000000"/>
        </w:rPr>
        <w:t>2008〕48号</w:t>
      </w:r>
      <w:r>
        <w:rPr>
          <w:rFonts w:hint="eastAsia" w:ascii="宋体" w:hAnsi="宋体"/>
          <w:color w:val="000000"/>
        </w:rPr>
        <w:t>）、《财政部　国家税务总局　国家发展改革委关于公布节能节水专用设备企业所得税优惠目录（2008年版）和环境保护专用设备企业所得税优惠目录（2008年版）的通知》（财税〔</w:t>
      </w:r>
      <w:r>
        <w:rPr>
          <w:rFonts w:ascii="宋体" w:hAnsi="宋体"/>
          <w:color w:val="000000"/>
        </w:rPr>
        <w:t>2008〕115号</w:t>
      </w:r>
      <w:r>
        <w:rPr>
          <w:rFonts w:hint="eastAsia" w:ascii="宋体" w:hAnsi="宋体"/>
          <w:color w:val="000000"/>
        </w:rPr>
        <w:t>）、《财政部　国家税务总局　安全监管总局关于公布〈安全生产专用设备企业所得税优惠目录（2008年版）〉的通知》（财税〔</w:t>
      </w:r>
      <w:r>
        <w:rPr>
          <w:rFonts w:ascii="宋体" w:hAnsi="宋体"/>
          <w:color w:val="000000"/>
        </w:rPr>
        <w:t>2008〕118号</w:t>
      </w:r>
      <w:r>
        <w:rPr>
          <w:rFonts w:hint="eastAsia" w:ascii="宋体" w:hAnsi="宋体"/>
          <w:color w:val="000000"/>
        </w:rPr>
        <w:t>）、《财政部　国家税务总局关于执行企业所得税优惠政策若干问题的通知》（财税〔</w:t>
      </w:r>
      <w:r>
        <w:rPr>
          <w:rFonts w:ascii="宋体" w:hAnsi="宋体"/>
          <w:color w:val="000000"/>
        </w:rPr>
        <w:t>2009〕69号</w:t>
      </w:r>
      <w:r>
        <w:rPr>
          <w:rFonts w:hint="eastAsia" w:ascii="宋体" w:hAnsi="宋体"/>
          <w:color w:val="000000"/>
        </w:rPr>
        <w:t>）、《国家税务总局关于环境保护、节能节水、安全生产等专用设备投资抵免企业所得税有关问题的通知》（国税函〔</w:t>
      </w:r>
      <w:r>
        <w:rPr>
          <w:rFonts w:ascii="宋体" w:hAnsi="宋体"/>
          <w:color w:val="000000"/>
        </w:rPr>
        <w:t>2010〕256号</w:t>
      </w:r>
      <w:r>
        <w:rPr>
          <w:rFonts w:hint="eastAsia" w:ascii="宋体" w:hAnsi="宋体"/>
          <w:color w:val="000000"/>
        </w:rPr>
        <w:t>）、《财政部 税务总局 国家发展改革委 工业和信息化部 环境保护部关于印发节能节水和环境保护专用设备企业所得税优惠目录（2017年版）的通知》（财税〔</w:t>
      </w:r>
      <w:r>
        <w:rPr>
          <w:rFonts w:ascii="宋体" w:hAnsi="宋体"/>
          <w:color w:val="000000"/>
        </w:rPr>
        <w:t>20</w:t>
      </w:r>
      <w:r>
        <w:rPr>
          <w:rFonts w:hint="eastAsia" w:ascii="宋体" w:hAnsi="宋体"/>
          <w:color w:val="000000"/>
        </w:rPr>
        <w:t>17</w:t>
      </w:r>
      <w:r>
        <w:rPr>
          <w:rFonts w:ascii="宋体" w:hAnsi="宋体"/>
          <w:color w:val="000000"/>
        </w:rPr>
        <w:t>〕</w:t>
      </w:r>
      <w:r>
        <w:rPr>
          <w:rFonts w:hint="eastAsia" w:ascii="宋体" w:hAnsi="宋体"/>
          <w:color w:val="000000"/>
        </w:rPr>
        <w:t>71</w:t>
      </w:r>
      <w:r>
        <w:rPr>
          <w:rFonts w:ascii="宋体" w:hAnsi="宋体"/>
          <w:color w:val="000000"/>
        </w:rPr>
        <w:t>号</w:t>
      </w:r>
      <w:r>
        <w:rPr>
          <w:rFonts w:hint="eastAsia" w:ascii="宋体" w:hAnsi="宋体"/>
          <w:color w:val="000000"/>
        </w:rPr>
        <w:t>）等相关税收政策规定，填报本年发生的专用设备投资额抵免优惠（含结转）情况。</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1.第1列“年度”：填报公历年份。第6行为本年，</w:t>
      </w:r>
      <w:r>
        <w:rPr>
          <w:rFonts w:ascii="宋体" w:hAnsi="宋体"/>
          <w:color w:val="000000"/>
        </w:rPr>
        <w:t>第5</w:t>
      </w:r>
      <w:r>
        <w:rPr>
          <w:rFonts w:hint="eastAsia" w:ascii="宋体" w:hAnsi="宋体"/>
          <w:color w:val="000000"/>
        </w:rPr>
        <w:t>行</w:t>
      </w:r>
      <w:r>
        <w:rPr>
          <w:rFonts w:ascii="宋体" w:hAnsi="宋体"/>
          <w:color w:val="000000"/>
        </w:rPr>
        <w:t>至第1行依次</w:t>
      </w:r>
      <w:r>
        <w:rPr>
          <w:rFonts w:hint="eastAsia" w:ascii="宋体" w:hAnsi="宋体"/>
          <w:color w:val="000000"/>
        </w:rPr>
        <w:t>填报。</w:t>
      </w:r>
    </w:p>
    <w:p>
      <w:pPr>
        <w:pStyle w:val="7"/>
        <w:ind w:firstLineChars="200"/>
        <w:rPr>
          <w:rFonts w:ascii="宋体" w:hAnsi="宋体"/>
          <w:color w:val="000000"/>
        </w:rPr>
      </w:pPr>
      <w:r>
        <w:rPr>
          <w:rFonts w:hint="eastAsia" w:ascii="宋体" w:hAnsi="宋体"/>
          <w:color w:val="000000"/>
        </w:rPr>
        <w:t>2.第2列“本年抵免前应纳税额”：填报纳税人《中华人民共和国企业所得税年度纳税申报表（A类）》（表</w:t>
      </w:r>
      <w:r>
        <w:rPr>
          <w:rFonts w:ascii="宋体" w:hAnsi="宋体"/>
          <w:color w:val="000000"/>
        </w:rPr>
        <w:t>A100000</w:t>
      </w:r>
      <w:r>
        <w:rPr>
          <w:rFonts w:hint="eastAsia" w:ascii="宋体" w:hAnsi="宋体"/>
          <w:color w:val="000000"/>
        </w:rPr>
        <w:t>）第25行“应纳所得税额”减第26行“减免所得税额”后的额。</w:t>
      </w:r>
      <w:r>
        <w:rPr>
          <w:rFonts w:ascii="宋体" w:hAnsi="宋体"/>
          <w:color w:val="000000"/>
        </w:rPr>
        <w:t>2012</w:t>
      </w:r>
      <w:r>
        <w:rPr>
          <w:rFonts w:hint="eastAsia" w:ascii="宋体" w:hAnsi="宋体"/>
          <w:color w:val="000000"/>
        </w:rPr>
        <w:t>和</w:t>
      </w:r>
      <w:r>
        <w:rPr>
          <w:rFonts w:ascii="宋体" w:hAnsi="宋体"/>
          <w:color w:val="000000"/>
        </w:rPr>
        <w:t>2013年度</w:t>
      </w:r>
      <w:r>
        <w:rPr>
          <w:rFonts w:hint="eastAsia" w:ascii="宋体" w:hAnsi="宋体"/>
          <w:color w:val="000000"/>
        </w:rPr>
        <w:t>的</w:t>
      </w:r>
      <w:r>
        <w:rPr>
          <w:rFonts w:ascii="宋体" w:hAnsi="宋体"/>
          <w:color w:val="000000"/>
        </w:rPr>
        <w:t>“当年抵免前应纳税额”：填报</w:t>
      </w:r>
      <w:r>
        <w:rPr>
          <w:rFonts w:hint="eastAsia" w:ascii="宋体" w:hAnsi="宋体"/>
          <w:color w:val="000000"/>
        </w:rPr>
        <w:t>《企业所得税年度纳税申报表（A类）》（2008年版）</w:t>
      </w:r>
      <w:r>
        <w:rPr>
          <w:rFonts w:ascii="宋体" w:hAnsi="宋体"/>
          <w:color w:val="000000"/>
        </w:rPr>
        <w:t>第27行“应纳所得税额”减第28行“减免所得税额”后的</w:t>
      </w:r>
      <w:r>
        <w:rPr>
          <w:rFonts w:hint="eastAsia" w:ascii="宋体" w:hAnsi="宋体"/>
          <w:color w:val="000000"/>
        </w:rPr>
        <w:t>余</w:t>
      </w:r>
      <w:r>
        <w:rPr>
          <w:rFonts w:ascii="宋体" w:hAnsi="宋体"/>
          <w:color w:val="000000"/>
        </w:rPr>
        <w:t>额。</w:t>
      </w:r>
      <w:r>
        <w:rPr>
          <w:rFonts w:hint="eastAsia" w:ascii="宋体" w:hAnsi="宋体"/>
          <w:color w:val="000000"/>
        </w:rPr>
        <w:t>2014、2015和2016年度的</w:t>
      </w:r>
      <w:r>
        <w:rPr>
          <w:rFonts w:ascii="宋体" w:hAnsi="宋体"/>
          <w:color w:val="000000"/>
        </w:rPr>
        <w:t>“当年抵免前应纳税额”：</w:t>
      </w:r>
      <w:r>
        <w:rPr>
          <w:rFonts w:hint="eastAsia" w:ascii="宋体" w:hAnsi="宋体"/>
          <w:color w:val="000000"/>
        </w:rPr>
        <w:t>填报纳税人《中华人民共和国企业所得税年度纳税申报表（A类）》（2014年版）第25行“应纳所得税额”减第26行“减免所得税额”后的余额。</w:t>
      </w:r>
    </w:p>
    <w:p>
      <w:pPr>
        <w:pStyle w:val="7"/>
        <w:ind w:firstLineChars="200"/>
        <w:rPr>
          <w:rFonts w:ascii="宋体" w:hAnsi="宋体"/>
          <w:color w:val="000000"/>
        </w:rPr>
      </w:pPr>
      <w:r>
        <w:rPr>
          <w:rFonts w:hint="eastAsia" w:ascii="宋体" w:hAnsi="宋体"/>
          <w:color w:val="000000"/>
        </w:rPr>
        <w:t>3.第3列“本年允许抵免的专用设备投资额”：填报纳税人本年购置并实际使用《环境保护专用设备企业所得税优惠目录》《节能节水专用设备企业所得税优惠目录》和《安全生产专用设备企业所得税优惠目录》规定的环境保护、节能节水、安全生产等专用设备的发票价税合计金额，但不包括</w:t>
      </w:r>
      <w:r>
        <w:rPr>
          <w:rFonts w:ascii="宋体" w:hAnsi="宋体"/>
          <w:color w:val="000000"/>
        </w:rPr>
        <w:t>允许抵扣的增值税进项税额、</w:t>
      </w:r>
      <w:r>
        <w:rPr>
          <w:rFonts w:hint="eastAsia" w:ascii="宋体" w:hAnsi="宋体"/>
          <w:color w:val="000000"/>
        </w:rPr>
        <w:t>按有关规定退还的增值税税款以及设备运输、安装和调试等费用。</w:t>
      </w:r>
    </w:p>
    <w:p>
      <w:pPr>
        <w:pStyle w:val="7"/>
        <w:ind w:firstLineChars="200"/>
        <w:rPr>
          <w:rFonts w:ascii="宋体" w:hAnsi="宋体"/>
          <w:color w:val="000000"/>
        </w:rPr>
      </w:pPr>
      <w:r>
        <w:rPr>
          <w:rFonts w:hint="eastAsia" w:ascii="宋体" w:hAnsi="宋体"/>
          <w:color w:val="000000"/>
        </w:rPr>
        <w:t>4第4列“本年可抵免税额”：填报第3列×10%的金额。</w:t>
      </w:r>
    </w:p>
    <w:p>
      <w:pPr>
        <w:pStyle w:val="7"/>
        <w:ind w:firstLineChars="200"/>
        <w:rPr>
          <w:rFonts w:ascii="宋体" w:hAnsi="宋体"/>
          <w:color w:val="000000"/>
        </w:rPr>
      </w:pPr>
      <w:r>
        <w:rPr>
          <w:rFonts w:hint="eastAsia" w:ascii="宋体" w:hAnsi="宋体"/>
          <w:color w:val="000000"/>
        </w:rPr>
        <w:t>5.第5列至第9列“以前年度已抵免额”：填报纳税人以前年度已抵免税额，其中前五年度、前四年度、前三年度、前二年度、前一年度与“项目”列中的前五年度、前四年度、前三年度、前二年度、前一年度相对应。</w:t>
      </w:r>
    </w:p>
    <w:p>
      <w:pPr>
        <w:pStyle w:val="7"/>
        <w:ind w:firstLineChars="200"/>
        <w:rPr>
          <w:rFonts w:ascii="宋体" w:hAnsi="宋体"/>
          <w:color w:val="000000"/>
        </w:rPr>
      </w:pPr>
      <w:r>
        <w:rPr>
          <w:rFonts w:hint="eastAsia" w:ascii="宋体" w:hAnsi="宋体"/>
          <w:color w:val="000000"/>
        </w:rPr>
        <w:t>6.第10列“以前年度已抵免额—小计”：填报第5+6+7+8+9列的合计金额。</w:t>
      </w:r>
    </w:p>
    <w:p>
      <w:pPr>
        <w:pStyle w:val="7"/>
        <w:ind w:firstLineChars="200"/>
        <w:rPr>
          <w:rFonts w:ascii="宋体" w:hAnsi="宋体"/>
          <w:color w:val="000000"/>
        </w:rPr>
      </w:pPr>
      <w:r>
        <w:rPr>
          <w:rFonts w:hint="eastAsia" w:ascii="宋体" w:hAnsi="宋体"/>
          <w:color w:val="000000"/>
        </w:rPr>
        <w:t>7.第11列“本年实际抵免的各年度税额”：第1行至第6行填报纳税人用于依次抵免前5个年度及本年尚未抵免的税额，第11列小于等于第4-10列，且第11列第1行至第6行合计金额不得大于第6行第2列的金额。</w:t>
      </w:r>
    </w:p>
    <w:p>
      <w:pPr>
        <w:pStyle w:val="7"/>
        <w:ind w:firstLineChars="200"/>
        <w:rPr>
          <w:rFonts w:ascii="宋体" w:hAnsi="宋体"/>
          <w:color w:val="000000"/>
        </w:rPr>
      </w:pPr>
      <w:r>
        <w:rPr>
          <w:rFonts w:hint="eastAsia" w:ascii="宋体" w:hAnsi="宋体"/>
          <w:color w:val="000000"/>
        </w:rPr>
        <w:t>8.第12列“可结转以后年度抵免的税额”：填报第4-10-11列的余额。</w:t>
      </w:r>
    </w:p>
    <w:p>
      <w:pPr>
        <w:pStyle w:val="7"/>
        <w:ind w:firstLineChars="200"/>
        <w:rPr>
          <w:rFonts w:ascii="宋体" w:hAnsi="宋体"/>
          <w:color w:val="000000"/>
        </w:rPr>
      </w:pPr>
      <w:r>
        <w:rPr>
          <w:rFonts w:hint="eastAsia" w:ascii="宋体" w:hAnsi="宋体"/>
          <w:color w:val="000000"/>
        </w:rPr>
        <w:t>9.第7行第11列“本年实际抵免税额合计”：填报</w:t>
      </w:r>
      <w:r>
        <w:rPr>
          <w:rFonts w:ascii="宋体" w:hAnsi="宋体"/>
          <w:color w:val="000000"/>
        </w:rPr>
        <w:t>第1</w:t>
      </w:r>
      <w:r>
        <w:rPr>
          <w:rFonts w:hint="eastAsia" w:ascii="宋体" w:hAnsi="宋体"/>
          <w:color w:val="000000"/>
        </w:rPr>
        <w:t>1</w:t>
      </w:r>
      <w:r>
        <w:rPr>
          <w:rFonts w:ascii="宋体" w:hAnsi="宋体"/>
          <w:color w:val="000000"/>
        </w:rPr>
        <w:t>列第1</w:t>
      </w:r>
      <w:r>
        <w:rPr>
          <w:rFonts w:hint="eastAsia" w:ascii="宋体" w:hAnsi="宋体"/>
          <w:color w:val="000000"/>
        </w:rPr>
        <w:t>+2+</w:t>
      </w:r>
      <w:r>
        <w:rPr>
          <w:rFonts w:ascii="宋体" w:hAnsi="宋体"/>
          <w:color w:val="000000"/>
        </w:rPr>
        <w:t>…</w:t>
      </w:r>
      <w:r>
        <w:rPr>
          <w:rFonts w:hint="eastAsia" w:ascii="宋体" w:hAnsi="宋体"/>
          <w:color w:val="000000"/>
        </w:rPr>
        <w:t>+</w:t>
      </w:r>
      <w:r>
        <w:rPr>
          <w:rFonts w:ascii="宋体" w:hAnsi="宋体"/>
          <w:color w:val="000000"/>
        </w:rPr>
        <w:t>6行</w:t>
      </w:r>
      <w:r>
        <w:rPr>
          <w:rFonts w:hint="eastAsia" w:ascii="宋体" w:hAnsi="宋体"/>
          <w:color w:val="000000"/>
        </w:rPr>
        <w:t>的合计金额。</w:t>
      </w:r>
    </w:p>
    <w:p>
      <w:pPr>
        <w:pStyle w:val="7"/>
        <w:ind w:firstLineChars="200"/>
        <w:rPr>
          <w:rFonts w:ascii="宋体" w:hAnsi="宋体"/>
          <w:color w:val="000000"/>
        </w:rPr>
      </w:pPr>
      <w:r>
        <w:rPr>
          <w:rFonts w:hint="eastAsia" w:ascii="宋体" w:hAnsi="宋体"/>
          <w:color w:val="000000"/>
        </w:rPr>
        <w:t>10.第8行第12列“可结转以后年度抵免的税额合计”：填报第12列第2+3+</w:t>
      </w:r>
      <w:r>
        <w:rPr>
          <w:rFonts w:ascii="宋体" w:hAnsi="宋体"/>
          <w:color w:val="000000"/>
        </w:rPr>
        <w:t>…</w:t>
      </w:r>
      <w:r>
        <w:rPr>
          <w:rFonts w:hint="eastAsia" w:ascii="宋体" w:hAnsi="宋体"/>
          <w:color w:val="000000"/>
        </w:rPr>
        <w:t>+6行的合计金额。</w:t>
      </w:r>
    </w:p>
    <w:p>
      <w:pPr>
        <w:pStyle w:val="7"/>
        <w:ind w:firstLineChars="200"/>
        <w:rPr>
          <w:rFonts w:ascii="宋体" w:hAnsi="宋体"/>
          <w:color w:val="000000"/>
        </w:rPr>
      </w:pPr>
      <w:r>
        <w:rPr>
          <w:rFonts w:hint="eastAsia" w:ascii="宋体" w:hAnsi="宋体"/>
          <w:color w:val="000000"/>
        </w:rPr>
        <w:t>11.第9行“本年允许抵免的环境保护专用设备投资额”：填报纳税人本年购置并实际使用《环境保护专用设备企业所得税优惠目录》规定的环境保护专用设备的发票价税合计价格，但不包括</w:t>
      </w:r>
      <w:r>
        <w:rPr>
          <w:rFonts w:ascii="宋体" w:hAnsi="宋体"/>
          <w:color w:val="000000"/>
        </w:rPr>
        <w:t>允许抵扣的增值税进项税额、</w:t>
      </w:r>
      <w:r>
        <w:rPr>
          <w:rFonts w:hint="eastAsia" w:ascii="宋体" w:hAnsi="宋体"/>
          <w:color w:val="000000"/>
        </w:rPr>
        <w:t>按有关规定退还的增值税税款以及设备运输、安装和调试等费用。</w:t>
      </w:r>
    </w:p>
    <w:p>
      <w:pPr>
        <w:pStyle w:val="7"/>
        <w:ind w:firstLineChars="200"/>
        <w:rPr>
          <w:rFonts w:ascii="宋体" w:hAnsi="宋体"/>
          <w:color w:val="000000"/>
        </w:rPr>
      </w:pPr>
      <w:r>
        <w:rPr>
          <w:rFonts w:hint="eastAsia" w:ascii="宋体" w:hAnsi="宋体"/>
          <w:color w:val="000000"/>
        </w:rPr>
        <w:t>12.第10行“本年允许抵免节能节水的专用设备投资额”：填报纳税人本年购置并实际使用《节能节水专用设备企业所得税优惠目录》规定的节能节水等专用设备的发票价税合计价格，但不包括</w:t>
      </w:r>
      <w:r>
        <w:rPr>
          <w:rFonts w:ascii="宋体" w:hAnsi="宋体"/>
          <w:color w:val="000000"/>
        </w:rPr>
        <w:t>允许抵扣的增值税进项税额、</w:t>
      </w:r>
      <w:r>
        <w:rPr>
          <w:rFonts w:hint="eastAsia" w:ascii="宋体" w:hAnsi="宋体"/>
          <w:color w:val="000000"/>
        </w:rPr>
        <w:t>按有关规定退还的增值税税款以及设备运输、安装和调试等费用。</w:t>
      </w:r>
    </w:p>
    <w:p>
      <w:pPr>
        <w:pStyle w:val="7"/>
        <w:ind w:firstLineChars="200"/>
        <w:rPr>
          <w:rFonts w:ascii="宋体" w:hAnsi="宋体"/>
          <w:color w:val="000000"/>
        </w:rPr>
      </w:pPr>
      <w:r>
        <w:rPr>
          <w:rFonts w:hint="eastAsia" w:ascii="宋体" w:hAnsi="宋体"/>
          <w:color w:val="000000"/>
        </w:rPr>
        <w:t>13.第11行“本年允许抵免的安全生产专用设备投资额”：填报纳税人本年购置并实际使用《安全生产专用设备企业所得税优惠目录》规定的安全生产等专用设备的发票价税合计价格，但不包括</w:t>
      </w:r>
      <w:r>
        <w:rPr>
          <w:rFonts w:ascii="宋体" w:hAnsi="宋体"/>
          <w:color w:val="000000"/>
        </w:rPr>
        <w:t>允许抵扣的增值税进项税额、</w:t>
      </w:r>
      <w:r>
        <w:rPr>
          <w:rFonts w:hint="eastAsia" w:ascii="宋体" w:hAnsi="宋体"/>
          <w:color w:val="000000"/>
        </w:rPr>
        <w:t>按有关规定退还的增值税税款以及设备运输、安装和调试等费用。</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1.第4列＝第3列×10%。</w:t>
      </w:r>
    </w:p>
    <w:p>
      <w:pPr>
        <w:pStyle w:val="7"/>
        <w:ind w:firstLineChars="200"/>
        <w:rPr>
          <w:rFonts w:ascii="宋体" w:hAnsi="宋体"/>
          <w:color w:val="000000"/>
        </w:rPr>
      </w:pPr>
      <w:r>
        <w:rPr>
          <w:rFonts w:hint="eastAsia" w:ascii="宋体" w:hAnsi="宋体"/>
          <w:color w:val="000000"/>
        </w:rPr>
        <w:t>2.第10列＝第5+6+</w:t>
      </w:r>
      <w:r>
        <w:rPr>
          <w:rFonts w:ascii="宋体" w:hAnsi="宋体"/>
          <w:color w:val="000000"/>
        </w:rPr>
        <w:t>…</w:t>
      </w:r>
      <w:r>
        <w:rPr>
          <w:rFonts w:hint="eastAsia" w:ascii="宋体" w:hAnsi="宋体"/>
          <w:color w:val="000000"/>
        </w:rPr>
        <w:t>+9列。</w:t>
      </w:r>
    </w:p>
    <w:p>
      <w:pPr>
        <w:pStyle w:val="7"/>
        <w:ind w:firstLineChars="200"/>
        <w:rPr>
          <w:rFonts w:ascii="宋体" w:hAnsi="宋体"/>
          <w:color w:val="000000"/>
        </w:rPr>
      </w:pPr>
      <w:r>
        <w:rPr>
          <w:rFonts w:hint="eastAsia" w:ascii="宋体" w:hAnsi="宋体"/>
          <w:color w:val="000000"/>
        </w:rPr>
        <w:t>3.第11列≤第4-10列。</w:t>
      </w:r>
    </w:p>
    <w:p>
      <w:pPr>
        <w:pStyle w:val="7"/>
        <w:ind w:firstLineChars="200"/>
        <w:rPr>
          <w:rFonts w:ascii="宋体" w:hAnsi="宋体"/>
          <w:color w:val="000000"/>
        </w:rPr>
      </w:pPr>
      <w:r>
        <w:rPr>
          <w:rFonts w:hint="eastAsia" w:ascii="宋体" w:hAnsi="宋体"/>
          <w:color w:val="000000"/>
        </w:rPr>
        <w:t>4.第12列＝第4-10-11列。</w:t>
      </w:r>
    </w:p>
    <w:p>
      <w:pPr>
        <w:pStyle w:val="7"/>
        <w:ind w:firstLineChars="200"/>
        <w:rPr>
          <w:rFonts w:ascii="宋体" w:hAnsi="宋体"/>
          <w:color w:val="000000"/>
        </w:rPr>
      </w:pPr>
      <w:r>
        <w:rPr>
          <w:rFonts w:hint="eastAsia" w:ascii="宋体" w:hAnsi="宋体"/>
          <w:color w:val="000000"/>
        </w:rPr>
        <w:t>5.第6行第3列＝第9+10+11行。</w:t>
      </w:r>
    </w:p>
    <w:p>
      <w:pPr>
        <w:pStyle w:val="7"/>
        <w:ind w:firstLineChars="200"/>
        <w:rPr>
          <w:rFonts w:ascii="宋体" w:hAnsi="宋体"/>
          <w:color w:val="000000"/>
        </w:rPr>
      </w:pPr>
      <w:r>
        <w:rPr>
          <w:rFonts w:hint="eastAsia" w:ascii="宋体" w:hAnsi="宋体"/>
          <w:color w:val="000000"/>
        </w:rPr>
        <w:t>6.</w:t>
      </w:r>
      <w:r>
        <w:rPr>
          <w:rFonts w:ascii="宋体" w:hAnsi="宋体"/>
          <w:color w:val="000000"/>
        </w:rPr>
        <w:t>第7行第1</w:t>
      </w:r>
      <w:r>
        <w:rPr>
          <w:rFonts w:hint="eastAsia" w:ascii="宋体" w:hAnsi="宋体"/>
          <w:color w:val="000000"/>
        </w:rPr>
        <w:t>1</w:t>
      </w:r>
      <w:r>
        <w:rPr>
          <w:rFonts w:ascii="宋体" w:hAnsi="宋体"/>
          <w:color w:val="000000"/>
        </w:rPr>
        <w:t>列＝第1</w:t>
      </w:r>
      <w:r>
        <w:rPr>
          <w:rFonts w:hint="eastAsia" w:ascii="宋体" w:hAnsi="宋体"/>
          <w:color w:val="000000"/>
        </w:rPr>
        <w:t>1</w:t>
      </w:r>
      <w:r>
        <w:rPr>
          <w:rFonts w:ascii="宋体" w:hAnsi="宋体"/>
          <w:color w:val="000000"/>
        </w:rPr>
        <w:t>列第1</w:t>
      </w:r>
      <w:r>
        <w:rPr>
          <w:rFonts w:hint="eastAsia" w:ascii="宋体" w:hAnsi="宋体"/>
          <w:color w:val="000000"/>
        </w:rPr>
        <w:t>+</w:t>
      </w:r>
      <w:r>
        <w:rPr>
          <w:rFonts w:ascii="宋体" w:hAnsi="宋体"/>
          <w:color w:val="000000"/>
        </w:rPr>
        <w:t>2</w:t>
      </w:r>
      <w:r>
        <w:rPr>
          <w:rFonts w:hint="eastAsia" w:ascii="宋体" w:hAnsi="宋体"/>
          <w:color w:val="000000"/>
        </w:rPr>
        <w:t>+</w:t>
      </w:r>
      <w:r>
        <w:rPr>
          <w:rFonts w:ascii="宋体" w:hAnsi="宋体"/>
          <w:color w:val="000000"/>
        </w:rPr>
        <w:t>…+6行。</w:t>
      </w:r>
    </w:p>
    <w:p>
      <w:pPr>
        <w:pStyle w:val="7"/>
        <w:ind w:firstLineChars="200"/>
        <w:rPr>
          <w:rFonts w:ascii="宋体" w:hAnsi="宋体"/>
          <w:color w:val="000000"/>
        </w:rPr>
      </w:pPr>
      <w:r>
        <w:rPr>
          <w:rFonts w:hint="eastAsia" w:ascii="宋体" w:hAnsi="宋体"/>
          <w:color w:val="000000"/>
        </w:rPr>
        <w:t>7.</w:t>
      </w:r>
      <w:r>
        <w:rPr>
          <w:rFonts w:ascii="宋体" w:hAnsi="宋体"/>
          <w:color w:val="000000"/>
        </w:rPr>
        <w:t>第8行第1</w:t>
      </w:r>
      <w:r>
        <w:rPr>
          <w:rFonts w:hint="eastAsia" w:ascii="宋体" w:hAnsi="宋体"/>
          <w:color w:val="000000"/>
        </w:rPr>
        <w:t>2</w:t>
      </w:r>
      <w:r>
        <w:rPr>
          <w:rFonts w:ascii="宋体" w:hAnsi="宋体"/>
          <w:color w:val="000000"/>
        </w:rPr>
        <w:t>列＝第1</w:t>
      </w:r>
      <w:r>
        <w:rPr>
          <w:rFonts w:hint="eastAsia" w:ascii="宋体" w:hAnsi="宋体"/>
          <w:color w:val="000000"/>
        </w:rPr>
        <w:t>2</w:t>
      </w:r>
      <w:r>
        <w:rPr>
          <w:rFonts w:ascii="宋体" w:hAnsi="宋体"/>
          <w:color w:val="000000"/>
        </w:rPr>
        <w:t>列第2</w:t>
      </w:r>
      <w:r>
        <w:rPr>
          <w:rFonts w:hint="eastAsia" w:ascii="宋体" w:hAnsi="宋体"/>
          <w:color w:val="000000"/>
        </w:rPr>
        <w:t>+</w:t>
      </w:r>
      <w:r>
        <w:rPr>
          <w:rFonts w:ascii="宋体" w:hAnsi="宋体"/>
          <w:color w:val="000000"/>
        </w:rPr>
        <w:t>3</w:t>
      </w:r>
      <w:r>
        <w:rPr>
          <w:rFonts w:hint="eastAsia" w:ascii="宋体" w:hAnsi="宋体"/>
          <w:color w:val="000000"/>
        </w:rPr>
        <w:t>+</w:t>
      </w:r>
      <w:r>
        <w:rPr>
          <w:rFonts w:ascii="宋体" w:hAnsi="宋体"/>
          <w:color w:val="000000"/>
        </w:rPr>
        <w:t>…+6行。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1.第7行第11列≤表A100000第25-26行。</w:t>
      </w:r>
    </w:p>
    <w:p>
      <w:pPr>
        <w:pStyle w:val="7"/>
        <w:ind w:firstLineChars="200"/>
        <w:rPr>
          <w:rFonts w:ascii="宋体" w:hAnsi="宋体"/>
          <w:color w:val="000000"/>
        </w:rPr>
      </w:pPr>
      <w:r>
        <w:rPr>
          <w:rFonts w:hint="eastAsia" w:ascii="宋体" w:hAnsi="宋体"/>
          <w:color w:val="000000"/>
        </w:rPr>
        <w:t>2.第7行第11列＝表A100000第27行。</w:t>
      </w:r>
    </w:p>
    <w:p>
      <w:pPr>
        <w:pStyle w:val="7"/>
        <w:ind w:firstLineChars="200"/>
        <w:rPr>
          <w:rFonts w:ascii="宋体" w:hAnsi="宋体"/>
          <w:color w:val="000000"/>
        </w:rPr>
      </w:pPr>
      <w:r>
        <w:rPr>
          <w:rFonts w:hint="eastAsia" w:ascii="宋体" w:hAnsi="宋体"/>
          <w:color w:val="000000"/>
        </w:rPr>
        <w:t>3.第2列＝表A100000第25行-表A100000第26行。</w:t>
      </w:r>
    </w:p>
    <w:p>
      <w:pPr>
        <w:pStyle w:val="7"/>
        <w:ind w:firstLineChars="200"/>
        <w:rPr>
          <w:rFonts w:ascii="宋体" w:hAnsi="宋体"/>
          <w:color w:val="000000"/>
        </w:rPr>
      </w:pPr>
      <w:r>
        <w:rPr>
          <w:rFonts w:ascii="宋体" w:hAnsi="宋体"/>
          <w:color w:val="000000"/>
        </w:rPr>
        <w:t>20</w:t>
      </w:r>
      <w:r>
        <w:rPr>
          <w:rFonts w:hint="eastAsia" w:ascii="宋体" w:hAnsi="宋体"/>
          <w:color w:val="000000"/>
        </w:rPr>
        <w:t>1</w:t>
      </w:r>
      <w:r>
        <w:rPr>
          <w:rFonts w:ascii="宋体" w:hAnsi="宋体"/>
          <w:color w:val="000000"/>
        </w:rPr>
        <w:t>2</w:t>
      </w:r>
      <w:r>
        <w:rPr>
          <w:rFonts w:hint="eastAsia" w:ascii="宋体" w:hAnsi="宋体"/>
          <w:color w:val="000000"/>
        </w:rPr>
        <w:t>和</w:t>
      </w:r>
      <w:r>
        <w:rPr>
          <w:rFonts w:ascii="宋体" w:hAnsi="宋体"/>
          <w:color w:val="000000"/>
        </w:rPr>
        <w:t>2013年度：第2列＝</w:t>
      </w:r>
      <w:r>
        <w:rPr>
          <w:rFonts w:hint="eastAsia" w:ascii="宋体" w:hAnsi="宋体"/>
          <w:color w:val="000000"/>
        </w:rPr>
        <w:t>《中华人民共和国企业所得税年度纳税申报表（A类）》（2008年版）</w:t>
      </w:r>
      <w:r>
        <w:rPr>
          <w:rFonts w:ascii="宋体" w:hAnsi="宋体"/>
          <w:color w:val="000000"/>
        </w:rPr>
        <w:t>第27-28行。</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2014、2015和2016年度：第2列＝《中华人民共和国企业所得税年度纳税申报表（A类）》（2014年版）第25-26行。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C0E58"/>
    <w:rsid w:val="11DC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2019-10-31T02:01:00Z</dcterms:created>
  <dc:creator>陈莉佳</dc:creator>
  <cp:lastModifiedBy>陈莉佳</cp:lastModifiedBy>
  <dcterms:modified xsi:type="dcterms:W3CDTF">2019-10-31T02:02:10Z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