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A06568</w:t>
      </w:r>
      <w:r>
        <w:rPr>
          <w:rFonts w:hint="eastAsia" w:ascii="宋体" w:hAnsi="宋体" w:eastAsia="宋体"/>
        </w:rPr>
        <w:t>《未按权责发生制确认收入纳税调整明细表》（</w:t>
      </w:r>
      <w:r>
        <w:rPr>
          <w:rFonts w:ascii="宋体" w:hAnsi="宋体" w:eastAsia="宋体"/>
        </w:rPr>
        <w:t>A105020</w:t>
      </w:r>
      <w:r>
        <w:rPr>
          <w:rFonts w:hint="eastAsia" w:ascii="宋体" w:hAnsi="宋体" w:eastAsia="宋体"/>
        </w:rPr>
        <w:t>）</w:t>
      </w:r>
    </w:p>
    <w:p>
      <w:pPr>
        <w:pStyle w:val="8"/>
        <w:ind w:firstLine="141"/>
        <w:jc w:val="center"/>
        <w:rPr>
          <w:rFonts w:ascii="宋体" w:hAnsi="宋体" w:cs="宋体"/>
          <w:b/>
          <w:sz w:val="28"/>
          <w:szCs w:val="21"/>
        </w:rPr>
      </w:pPr>
      <w:bookmarkStart w:id="1" w:name="_GoBack"/>
      <w:bookmarkEnd w:id="1"/>
      <w:bookmarkStart w:id="0" w:name="_Toc499456573"/>
      <w:r>
        <w:rPr>
          <w:rFonts w:hint="eastAsia" w:ascii="宋体" w:hAnsi="宋体" w:cs="宋体"/>
          <w:b/>
          <w:sz w:val="28"/>
          <w:szCs w:val="21"/>
        </w:rPr>
        <w:t>A105020</w:t>
      </w:r>
      <w:r>
        <w:rPr>
          <w:rFonts w:ascii="宋体" w:hAnsi="宋体" w:cs="宋体"/>
          <w:b/>
          <w:sz w:val="28"/>
          <w:szCs w:val="21"/>
        </w:rPr>
        <w:tab/>
      </w:r>
      <w:r>
        <w:rPr>
          <w:rFonts w:hint="eastAsia" w:ascii="宋体" w:hAnsi="宋体" w:cs="宋体"/>
          <w:b/>
          <w:sz w:val="28"/>
          <w:szCs w:val="21"/>
        </w:rPr>
        <w:t>未按权责发生制确认收入纳税调整明细表</w:t>
      </w:r>
      <w:bookmarkEnd w:id="0"/>
    </w:p>
    <w:tbl>
      <w:tblPr>
        <w:tblStyle w:val="2"/>
        <w:tblW w:w="1297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59"/>
        <w:gridCol w:w="1417"/>
        <w:gridCol w:w="1085"/>
        <w:gridCol w:w="1134"/>
        <w:gridCol w:w="1134"/>
        <w:gridCol w:w="1049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行次</w:t>
            </w:r>
          </w:p>
        </w:tc>
        <w:tc>
          <w:tcPr>
            <w:tcW w:w="5359" w:type="dxa"/>
            <w:vMerge w:val="restart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        目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合同金额（交易金额）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账载金额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税收金额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纳税调整金额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  <w:tc>
          <w:tcPr>
            <w:tcW w:w="5359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累计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本年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累计</w:t>
            </w: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  <w:tc>
          <w:tcPr>
            <w:tcW w:w="5359" w:type="dxa"/>
            <w:vMerge w:val="continue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6（4-2）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一、跨期收取的租金、利息、特许权使用费收入（2+3+4）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（一）租金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（二）利息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（三）特许权使用费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二、分期确认收入（6+7+8）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（一）分期收款方式销售货物收入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（二）持续时间超过12个月的建造合同收入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（三）其他分期确认收入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三、政府补助递延收入（10+11+12）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（一）与收益相关的政府补助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（二）与资产相关的政府补助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（三）其他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四、其他未按权责发生制确认收入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535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合计（1+5+9+13）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9"/>
              <w:spacing w:before="260" w:after="260" w:line="415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本表适用于会计处理按权责发生制确认收入、税收规定未按权责发生制确认收入需纳税调整的纳税人填报。纳税人根据税法、《</w:t>
      </w:r>
      <w:r>
        <w:rPr>
          <w:rFonts w:ascii="宋体" w:hAnsi="宋体"/>
          <w:color w:val="000000"/>
        </w:rPr>
        <w:t>国家税务总局关于贯彻落实企业所得税法若干税收问题的通知</w:t>
      </w:r>
      <w:r>
        <w:rPr>
          <w:rFonts w:hint="eastAsia" w:ascii="宋体" w:hAnsi="宋体"/>
          <w:color w:val="000000"/>
        </w:rPr>
        <w:t>》（国税函〔2010〕79号）、《</w:t>
      </w:r>
      <w:r>
        <w:rPr>
          <w:rFonts w:ascii="宋体" w:hAnsi="宋体"/>
          <w:color w:val="000000"/>
        </w:rPr>
        <w:t>国家税务总局关于确认企业所得税收入若干问题的通知</w:t>
      </w:r>
      <w:r>
        <w:rPr>
          <w:rFonts w:hint="eastAsia" w:ascii="宋体" w:hAnsi="宋体"/>
          <w:color w:val="000000"/>
        </w:rPr>
        <w:t>》（</w:t>
      </w:r>
      <w:r>
        <w:rPr>
          <w:rFonts w:ascii="宋体" w:hAnsi="宋体"/>
          <w:color w:val="000000"/>
        </w:rPr>
        <w:t>国税函〔2008〕875号</w:t>
      </w:r>
      <w:r>
        <w:rPr>
          <w:rFonts w:hint="eastAsia" w:ascii="宋体" w:hAnsi="宋体"/>
          <w:color w:val="000000"/>
        </w:rPr>
        <w:t>）等相关规定，以及国家统一企业会计制度，填报会计处理按照权责发生制确认收入、税收规定未按权责发生制确认收入的会计处理、税收规定，以及纳税调整情况。符合税收规定不征税收入条件的政府补助收入，本表不作调整，在《专项用途财政性资金纳税调整明细表》（A105040）中纳税调整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一、有关项目填报说明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1.第1列“合同金额或交易金额”：填报会计处理按照权责发生制确认收入、税收规定未按权责发生制确认收入的项目的合同总额或交易总额。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2.第2列“账载金额-本年”：填报纳税人会计处理按权责发生制在本期确认金额。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3.第3列“账载金额-累计”：填报纳税人会计处理按权责发生制累计确认金额（含本年）。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4.第4列“税收金额-本年”：填报纳税人按税收规定未按权责发生制在本期确认金额。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5.第5列“税收金额-累计”：填报纳税人按税收规定未按权责发生制累计确认金额（含本年）。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6.第6列“纳税调整金额”：填报纳税人会计处理按权责发生制确认收入、税收规定未按权责发生制确认收入的差异需纳税调整金额，为第4-2列的余额。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二、表内、表间关系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（一）表内关系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1.第1行＝第2+3+4行。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2.第5行＝第6+7+8行。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3.第9行＝第10+11+12行。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4.第14行＝第1+5+9+13行。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5.第6列＝第4-2列。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（二）表间关系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1.第14行第2列＝表A105000第3行第1列。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2.第14行第4列＝表A105000第3行第2列。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3.若第14行第6列≥0，第14行第6列＝表A105000第3行第3列；若第14行第6列＜0，第14行第6列绝对值＝表A105000第3行第4列。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4C93"/>
    <w:rsid w:val="0D72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_0_0_0_0_0_0_0_0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2019-10-31T01:40:00Z</dcterms:created>
  <dc:creator>陈莉佳</dc:creator>
  <cp:lastModifiedBy>陈莉佳</cp:lastModifiedBy>
  <dcterms:modified xsi:type="dcterms:W3CDTF">2019-10-31T01:40:38Z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