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415" w:lineRule="auto"/>
        <w:rPr>
          <w:rFonts w:ascii="宋体" w:hAnsi="宋体" w:eastAsia="宋体"/>
        </w:rPr>
      </w:pPr>
      <w:r>
        <w:rPr>
          <w:rFonts w:ascii="宋体" w:hAnsi="宋体" w:eastAsia="宋体"/>
        </w:rPr>
        <w:t>A06567</w:t>
      </w:r>
      <w:r>
        <w:rPr>
          <w:rFonts w:hint="eastAsia" w:ascii="宋体" w:hAnsi="宋体" w:eastAsia="宋体"/>
        </w:rPr>
        <w:t>《视同销售和房地产开发企业特定业务纳税调整明细表》（</w:t>
      </w:r>
      <w:r>
        <w:rPr>
          <w:rFonts w:ascii="宋体" w:hAnsi="宋体" w:eastAsia="宋体"/>
        </w:rPr>
        <w:t>A105010</w:t>
      </w:r>
      <w:r>
        <w:rPr>
          <w:rFonts w:hint="eastAsia" w:ascii="宋体" w:hAnsi="宋体" w:eastAsia="宋体"/>
        </w:rPr>
        <w:t>）</w:t>
      </w:r>
    </w:p>
    <w:p>
      <w:pPr>
        <w:pStyle w:val="8"/>
        <w:ind w:firstLine="141"/>
        <w:jc w:val="center"/>
        <w:rPr>
          <w:rFonts w:ascii="宋体" w:hAnsi="宋体" w:cs="宋体"/>
          <w:b/>
          <w:sz w:val="28"/>
          <w:szCs w:val="21"/>
        </w:rPr>
      </w:pPr>
      <w:bookmarkStart w:id="1" w:name="_GoBack"/>
      <w:bookmarkEnd w:id="1"/>
      <w:bookmarkStart w:id="0" w:name="_Toc499456571"/>
      <w:r>
        <w:rPr>
          <w:rFonts w:hint="eastAsia" w:ascii="宋体" w:hAnsi="宋体" w:cs="宋体"/>
          <w:b/>
          <w:sz w:val="28"/>
          <w:szCs w:val="21"/>
        </w:rPr>
        <w:t>A105010</w:t>
      </w:r>
      <w:r>
        <w:rPr>
          <w:rFonts w:ascii="宋体" w:hAnsi="宋体" w:cs="宋体"/>
          <w:b/>
          <w:sz w:val="28"/>
          <w:szCs w:val="21"/>
        </w:rPr>
        <w:tab/>
      </w:r>
      <w:r>
        <w:rPr>
          <w:rFonts w:hint="eastAsia" w:ascii="宋体" w:hAnsi="宋体" w:cs="宋体"/>
          <w:b/>
          <w:sz w:val="28"/>
          <w:szCs w:val="21"/>
        </w:rPr>
        <w:t>视同销售和房地产开发企业特定业务纳税调整明细表</w:t>
      </w:r>
      <w:bookmarkEnd w:id="0"/>
    </w:p>
    <w:tbl>
      <w:tblPr>
        <w:tblStyle w:val="2"/>
        <w:tblW w:w="986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0"/>
        <w:gridCol w:w="6520"/>
        <w:gridCol w:w="1260"/>
        <w:gridCol w:w="14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640" w:type="dxa"/>
            <w:vMerge w:val="restart"/>
            <w:noWrap w:val="0"/>
            <w:vAlign w:val="center"/>
          </w:tcPr>
          <w:p>
            <w:pPr>
              <w:pStyle w:val="9"/>
              <w:spacing w:before="260" w:after="260" w:line="415" w:lineRule="auto"/>
              <w:jc w:val="center"/>
              <w:rPr>
                <w:rFonts w:ascii="宋体" w:hAnsi="宋体" w:cs="宋体"/>
              </w:rPr>
            </w:pPr>
            <w:r>
              <w:rPr>
                <w:rFonts w:hint="eastAsia" w:ascii="宋体" w:hAnsi="宋体" w:cs="宋体"/>
              </w:rPr>
              <w:t>行次</w:t>
            </w:r>
          </w:p>
        </w:tc>
        <w:tc>
          <w:tcPr>
            <w:tcW w:w="6520" w:type="dxa"/>
            <w:vMerge w:val="restart"/>
            <w:noWrap w:val="0"/>
            <w:vAlign w:val="center"/>
          </w:tcPr>
          <w:p>
            <w:pPr>
              <w:pStyle w:val="9"/>
              <w:spacing w:before="260" w:after="260" w:line="415" w:lineRule="auto"/>
              <w:jc w:val="center"/>
              <w:rPr>
                <w:rFonts w:ascii="宋体" w:hAnsi="宋体" w:cs="宋体"/>
              </w:rPr>
            </w:pPr>
            <w:r>
              <w:rPr>
                <w:rFonts w:hint="eastAsia" w:ascii="宋体" w:hAnsi="宋体" w:cs="宋体"/>
                <w:spacing w:val="495"/>
              </w:rPr>
              <w:t>项</w:t>
            </w:r>
            <w:r>
              <w:rPr>
                <w:rFonts w:hint="eastAsia" w:ascii="宋体" w:hAnsi="宋体" w:cs="宋体"/>
                <w:spacing w:val="7"/>
              </w:rPr>
              <w:t>目</w:t>
            </w:r>
          </w:p>
        </w:tc>
        <w:tc>
          <w:tcPr>
            <w:tcW w:w="1260" w:type="dxa"/>
            <w:noWrap w:val="0"/>
            <w:vAlign w:val="center"/>
          </w:tcPr>
          <w:p>
            <w:pPr>
              <w:pStyle w:val="9"/>
              <w:spacing w:before="260" w:after="260" w:line="415" w:lineRule="auto"/>
              <w:jc w:val="center"/>
              <w:rPr>
                <w:rFonts w:ascii="宋体" w:hAnsi="宋体" w:cs="宋体"/>
              </w:rPr>
            </w:pPr>
            <w:r>
              <w:rPr>
                <w:rFonts w:hint="eastAsia" w:ascii="宋体" w:hAnsi="宋体" w:cs="宋体"/>
              </w:rPr>
              <w:t>税收金额</w:t>
            </w:r>
          </w:p>
        </w:tc>
        <w:tc>
          <w:tcPr>
            <w:tcW w:w="1440" w:type="dxa"/>
            <w:noWrap w:val="0"/>
            <w:vAlign w:val="center"/>
          </w:tcPr>
          <w:p>
            <w:pPr>
              <w:pStyle w:val="9"/>
              <w:spacing w:before="260" w:after="260" w:line="415" w:lineRule="auto"/>
              <w:jc w:val="center"/>
              <w:rPr>
                <w:rFonts w:ascii="宋体" w:hAnsi="宋体" w:cs="宋体"/>
              </w:rPr>
            </w:pPr>
            <w:r>
              <w:rPr>
                <w:rFonts w:hint="eastAsia" w:ascii="宋体" w:hAnsi="宋体" w:cs="宋体"/>
              </w:rPr>
              <w:t>纳税调整金额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640" w:type="dxa"/>
            <w:vMerge w:val="continue"/>
            <w:noWrap w:val="0"/>
            <w:vAlign w:val="center"/>
          </w:tcPr>
          <w:p>
            <w:pPr>
              <w:pStyle w:val="9"/>
              <w:spacing w:before="260" w:after="260" w:line="415" w:lineRule="auto"/>
              <w:rPr>
                <w:rFonts w:ascii="宋体" w:hAnsi="宋体" w:cs="宋体"/>
              </w:rPr>
            </w:pPr>
          </w:p>
        </w:tc>
        <w:tc>
          <w:tcPr>
            <w:tcW w:w="6520" w:type="dxa"/>
            <w:vMerge w:val="continue"/>
            <w:noWrap w:val="0"/>
            <w:vAlign w:val="center"/>
          </w:tcPr>
          <w:p>
            <w:pPr>
              <w:pStyle w:val="9"/>
              <w:spacing w:before="260" w:after="260" w:line="415" w:lineRule="auto"/>
              <w:rPr>
                <w:rFonts w:ascii="宋体" w:hAnsi="宋体" w:cs="宋体"/>
              </w:rPr>
            </w:pPr>
          </w:p>
        </w:tc>
        <w:tc>
          <w:tcPr>
            <w:tcW w:w="1260" w:type="dxa"/>
            <w:noWrap w:val="0"/>
            <w:vAlign w:val="center"/>
          </w:tcPr>
          <w:p>
            <w:pPr>
              <w:pStyle w:val="9"/>
              <w:spacing w:before="260" w:after="260" w:line="415" w:lineRule="auto"/>
              <w:jc w:val="center"/>
              <w:rPr>
                <w:rFonts w:ascii="宋体" w:hAnsi="宋体" w:cs="宋体"/>
              </w:rPr>
            </w:pPr>
            <w:r>
              <w:rPr>
                <w:rFonts w:hint="eastAsia" w:ascii="宋体" w:hAnsi="宋体" w:cs="宋体"/>
              </w:rPr>
              <w:t>1</w:t>
            </w:r>
          </w:p>
        </w:tc>
        <w:tc>
          <w:tcPr>
            <w:tcW w:w="1440" w:type="dxa"/>
            <w:noWrap w:val="0"/>
            <w:vAlign w:val="center"/>
          </w:tcPr>
          <w:p>
            <w:pPr>
              <w:pStyle w:val="9"/>
              <w:spacing w:before="260" w:after="260" w:line="415" w:lineRule="auto"/>
              <w:jc w:val="center"/>
              <w:rPr>
                <w:rFonts w:ascii="宋体" w:hAnsi="宋体" w:cs="宋体"/>
              </w:rPr>
            </w:pPr>
            <w:r>
              <w:rPr>
                <w:rFonts w:hint="eastAsia" w:ascii="宋体" w:hAnsi="宋体" w:cs="宋体"/>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1</w:t>
            </w:r>
          </w:p>
        </w:tc>
        <w:tc>
          <w:tcPr>
            <w:tcW w:w="6520" w:type="dxa"/>
            <w:noWrap w:val="0"/>
            <w:vAlign w:val="center"/>
          </w:tcPr>
          <w:p>
            <w:pPr>
              <w:pStyle w:val="9"/>
              <w:spacing w:before="260" w:after="260" w:line="415" w:lineRule="auto"/>
              <w:rPr>
                <w:rFonts w:ascii="宋体" w:hAnsi="宋体" w:cs="宋体"/>
              </w:rPr>
            </w:pPr>
            <w:r>
              <w:rPr>
                <w:rFonts w:hint="eastAsia" w:ascii="宋体" w:hAnsi="宋体" w:cs="宋体"/>
              </w:rPr>
              <w:t>一、视同销售（营业）收入（2+3+4+5+6+7+8+9+10）</w:t>
            </w:r>
          </w:p>
        </w:tc>
        <w:tc>
          <w:tcPr>
            <w:tcW w:w="1260" w:type="dxa"/>
            <w:noWrap w:val="0"/>
            <w:vAlign w:val="center"/>
          </w:tcPr>
          <w:p>
            <w:pPr>
              <w:pStyle w:val="9"/>
              <w:spacing w:before="260" w:after="260" w:line="415" w:lineRule="auto"/>
              <w:jc w:val="center"/>
              <w:rPr>
                <w:rFonts w:ascii="宋体" w:hAnsi="宋体" w:cs="宋体"/>
              </w:rPr>
            </w:pPr>
          </w:p>
        </w:tc>
        <w:tc>
          <w:tcPr>
            <w:tcW w:w="1440" w:type="dxa"/>
            <w:noWrap w:val="0"/>
            <w:vAlign w:val="center"/>
          </w:tcPr>
          <w:p>
            <w:pPr>
              <w:pStyle w:val="9"/>
              <w:spacing w:before="260" w:after="260" w:line="415" w:lineRule="auto"/>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2</w:t>
            </w:r>
          </w:p>
        </w:tc>
        <w:tc>
          <w:tcPr>
            <w:tcW w:w="6520" w:type="dxa"/>
            <w:noWrap w:val="0"/>
            <w:vAlign w:val="center"/>
          </w:tcPr>
          <w:p>
            <w:pPr>
              <w:pStyle w:val="9"/>
              <w:spacing w:before="260" w:after="260" w:line="415" w:lineRule="auto"/>
              <w:ind w:firstLine="400"/>
              <w:rPr>
                <w:rFonts w:ascii="宋体" w:hAnsi="宋体" w:cs="宋体"/>
              </w:rPr>
            </w:pPr>
            <w:r>
              <w:rPr>
                <w:rFonts w:hint="eastAsia" w:ascii="宋体" w:hAnsi="宋体" w:cs="宋体"/>
              </w:rPr>
              <w:t>（一）非货币性资产交换视同销售收入</w:t>
            </w:r>
          </w:p>
        </w:tc>
        <w:tc>
          <w:tcPr>
            <w:tcW w:w="1260" w:type="dxa"/>
            <w:noWrap w:val="0"/>
            <w:vAlign w:val="center"/>
          </w:tcPr>
          <w:p>
            <w:pPr>
              <w:pStyle w:val="9"/>
              <w:spacing w:before="260" w:after="260" w:line="415" w:lineRule="auto"/>
              <w:jc w:val="center"/>
              <w:rPr>
                <w:rFonts w:ascii="宋体" w:hAnsi="宋体" w:cs="宋体"/>
              </w:rPr>
            </w:pPr>
          </w:p>
        </w:tc>
        <w:tc>
          <w:tcPr>
            <w:tcW w:w="1440" w:type="dxa"/>
            <w:noWrap w:val="0"/>
            <w:vAlign w:val="center"/>
          </w:tcPr>
          <w:p>
            <w:pPr>
              <w:pStyle w:val="9"/>
              <w:spacing w:before="260" w:after="260" w:line="415" w:lineRule="auto"/>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3</w:t>
            </w:r>
          </w:p>
        </w:tc>
        <w:tc>
          <w:tcPr>
            <w:tcW w:w="6520" w:type="dxa"/>
            <w:noWrap w:val="0"/>
            <w:vAlign w:val="center"/>
          </w:tcPr>
          <w:p>
            <w:pPr>
              <w:pStyle w:val="9"/>
              <w:spacing w:before="260" w:after="260" w:line="415" w:lineRule="auto"/>
              <w:ind w:firstLine="400"/>
              <w:rPr>
                <w:rFonts w:ascii="宋体" w:hAnsi="宋体" w:cs="宋体"/>
              </w:rPr>
            </w:pPr>
            <w:r>
              <w:rPr>
                <w:rFonts w:hint="eastAsia" w:ascii="宋体" w:hAnsi="宋体" w:cs="宋体"/>
              </w:rPr>
              <w:t>（二）用于市场推广或销售视同销售收入</w:t>
            </w:r>
          </w:p>
        </w:tc>
        <w:tc>
          <w:tcPr>
            <w:tcW w:w="1260" w:type="dxa"/>
            <w:noWrap w:val="0"/>
            <w:vAlign w:val="center"/>
          </w:tcPr>
          <w:p>
            <w:pPr>
              <w:pStyle w:val="9"/>
              <w:spacing w:before="260" w:after="260" w:line="415" w:lineRule="auto"/>
              <w:jc w:val="center"/>
              <w:rPr>
                <w:rFonts w:ascii="宋体" w:hAnsi="宋体" w:cs="宋体"/>
              </w:rPr>
            </w:pPr>
          </w:p>
        </w:tc>
        <w:tc>
          <w:tcPr>
            <w:tcW w:w="1440" w:type="dxa"/>
            <w:noWrap w:val="0"/>
            <w:vAlign w:val="center"/>
          </w:tcPr>
          <w:p>
            <w:pPr>
              <w:pStyle w:val="9"/>
              <w:spacing w:before="260" w:after="260" w:line="415" w:lineRule="auto"/>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4</w:t>
            </w:r>
          </w:p>
        </w:tc>
        <w:tc>
          <w:tcPr>
            <w:tcW w:w="6520" w:type="dxa"/>
            <w:noWrap w:val="0"/>
            <w:vAlign w:val="center"/>
          </w:tcPr>
          <w:p>
            <w:pPr>
              <w:pStyle w:val="9"/>
              <w:spacing w:before="260" w:after="260" w:line="415" w:lineRule="auto"/>
              <w:ind w:firstLine="400"/>
              <w:rPr>
                <w:rFonts w:ascii="宋体" w:hAnsi="宋体" w:cs="宋体"/>
              </w:rPr>
            </w:pPr>
            <w:r>
              <w:rPr>
                <w:rFonts w:hint="eastAsia" w:ascii="宋体" w:hAnsi="宋体" w:cs="宋体"/>
              </w:rPr>
              <w:t>（三）用于交际应酬视同销售收入</w:t>
            </w:r>
          </w:p>
        </w:tc>
        <w:tc>
          <w:tcPr>
            <w:tcW w:w="1260" w:type="dxa"/>
            <w:noWrap w:val="0"/>
            <w:vAlign w:val="center"/>
          </w:tcPr>
          <w:p>
            <w:pPr>
              <w:pStyle w:val="9"/>
              <w:spacing w:before="260" w:after="260" w:line="415" w:lineRule="auto"/>
              <w:jc w:val="center"/>
              <w:rPr>
                <w:rFonts w:ascii="宋体" w:hAnsi="宋体" w:cs="宋体"/>
              </w:rPr>
            </w:pPr>
          </w:p>
        </w:tc>
        <w:tc>
          <w:tcPr>
            <w:tcW w:w="1440" w:type="dxa"/>
            <w:noWrap w:val="0"/>
            <w:vAlign w:val="center"/>
          </w:tcPr>
          <w:p>
            <w:pPr>
              <w:pStyle w:val="9"/>
              <w:spacing w:before="260" w:after="260" w:line="415" w:lineRule="auto"/>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5</w:t>
            </w:r>
          </w:p>
        </w:tc>
        <w:tc>
          <w:tcPr>
            <w:tcW w:w="6520" w:type="dxa"/>
            <w:noWrap w:val="0"/>
            <w:vAlign w:val="center"/>
          </w:tcPr>
          <w:p>
            <w:pPr>
              <w:pStyle w:val="9"/>
              <w:spacing w:before="260" w:after="260" w:line="415" w:lineRule="auto"/>
              <w:ind w:firstLine="400"/>
              <w:rPr>
                <w:rFonts w:ascii="宋体" w:hAnsi="宋体" w:cs="宋体"/>
              </w:rPr>
            </w:pPr>
            <w:r>
              <w:rPr>
                <w:rFonts w:hint="eastAsia" w:ascii="宋体" w:hAnsi="宋体" w:cs="宋体"/>
              </w:rPr>
              <w:t>（四）用于职工奖励或福利视同销售收入</w:t>
            </w:r>
          </w:p>
        </w:tc>
        <w:tc>
          <w:tcPr>
            <w:tcW w:w="1260" w:type="dxa"/>
            <w:noWrap w:val="0"/>
            <w:vAlign w:val="center"/>
          </w:tcPr>
          <w:p>
            <w:pPr>
              <w:pStyle w:val="9"/>
              <w:spacing w:before="260" w:after="260" w:line="415" w:lineRule="auto"/>
              <w:jc w:val="center"/>
              <w:rPr>
                <w:rFonts w:ascii="宋体" w:hAnsi="宋体" w:cs="宋体"/>
              </w:rPr>
            </w:pPr>
          </w:p>
        </w:tc>
        <w:tc>
          <w:tcPr>
            <w:tcW w:w="1440" w:type="dxa"/>
            <w:noWrap w:val="0"/>
            <w:vAlign w:val="center"/>
          </w:tcPr>
          <w:p>
            <w:pPr>
              <w:pStyle w:val="9"/>
              <w:spacing w:before="260" w:after="260" w:line="415" w:lineRule="auto"/>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6</w:t>
            </w:r>
          </w:p>
        </w:tc>
        <w:tc>
          <w:tcPr>
            <w:tcW w:w="6520" w:type="dxa"/>
            <w:noWrap w:val="0"/>
            <w:vAlign w:val="center"/>
          </w:tcPr>
          <w:p>
            <w:pPr>
              <w:pStyle w:val="9"/>
              <w:spacing w:before="260" w:after="260" w:line="415" w:lineRule="auto"/>
              <w:ind w:firstLine="400"/>
              <w:rPr>
                <w:rFonts w:ascii="宋体" w:hAnsi="宋体" w:cs="宋体"/>
              </w:rPr>
            </w:pPr>
            <w:r>
              <w:rPr>
                <w:rFonts w:hint="eastAsia" w:ascii="宋体" w:hAnsi="宋体" w:cs="宋体"/>
              </w:rPr>
              <w:t>（五）用于股息分配视同销售收入</w:t>
            </w:r>
          </w:p>
        </w:tc>
        <w:tc>
          <w:tcPr>
            <w:tcW w:w="1260" w:type="dxa"/>
            <w:noWrap w:val="0"/>
            <w:vAlign w:val="center"/>
          </w:tcPr>
          <w:p>
            <w:pPr>
              <w:pStyle w:val="9"/>
              <w:spacing w:before="260" w:after="260" w:line="415" w:lineRule="auto"/>
              <w:jc w:val="center"/>
              <w:rPr>
                <w:rFonts w:ascii="宋体" w:hAnsi="宋体" w:cs="宋体"/>
              </w:rPr>
            </w:pPr>
          </w:p>
        </w:tc>
        <w:tc>
          <w:tcPr>
            <w:tcW w:w="1440" w:type="dxa"/>
            <w:noWrap w:val="0"/>
            <w:vAlign w:val="center"/>
          </w:tcPr>
          <w:p>
            <w:pPr>
              <w:pStyle w:val="9"/>
              <w:spacing w:before="260" w:after="260" w:line="415" w:lineRule="auto"/>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7</w:t>
            </w:r>
          </w:p>
        </w:tc>
        <w:tc>
          <w:tcPr>
            <w:tcW w:w="6520" w:type="dxa"/>
            <w:noWrap w:val="0"/>
            <w:vAlign w:val="center"/>
          </w:tcPr>
          <w:p>
            <w:pPr>
              <w:pStyle w:val="9"/>
              <w:spacing w:before="260" w:after="260" w:line="415" w:lineRule="auto"/>
              <w:ind w:firstLine="400"/>
              <w:rPr>
                <w:rFonts w:ascii="宋体" w:hAnsi="宋体" w:cs="宋体"/>
              </w:rPr>
            </w:pPr>
            <w:r>
              <w:rPr>
                <w:rFonts w:hint="eastAsia" w:ascii="宋体" w:hAnsi="宋体" w:cs="宋体"/>
              </w:rPr>
              <w:t>（六）用于对外捐赠视同销售收入</w:t>
            </w:r>
          </w:p>
        </w:tc>
        <w:tc>
          <w:tcPr>
            <w:tcW w:w="1260" w:type="dxa"/>
            <w:noWrap w:val="0"/>
            <w:vAlign w:val="center"/>
          </w:tcPr>
          <w:p>
            <w:pPr>
              <w:pStyle w:val="9"/>
              <w:spacing w:before="260" w:after="260" w:line="415" w:lineRule="auto"/>
              <w:jc w:val="center"/>
              <w:rPr>
                <w:rFonts w:ascii="宋体" w:hAnsi="宋体" w:cs="宋体"/>
              </w:rPr>
            </w:pPr>
          </w:p>
        </w:tc>
        <w:tc>
          <w:tcPr>
            <w:tcW w:w="1440" w:type="dxa"/>
            <w:noWrap w:val="0"/>
            <w:vAlign w:val="center"/>
          </w:tcPr>
          <w:p>
            <w:pPr>
              <w:pStyle w:val="9"/>
              <w:spacing w:before="260" w:after="260" w:line="415" w:lineRule="auto"/>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8</w:t>
            </w:r>
          </w:p>
        </w:tc>
        <w:tc>
          <w:tcPr>
            <w:tcW w:w="6520" w:type="dxa"/>
            <w:noWrap w:val="0"/>
            <w:vAlign w:val="center"/>
          </w:tcPr>
          <w:p>
            <w:pPr>
              <w:pStyle w:val="9"/>
              <w:spacing w:before="260" w:after="260" w:line="415" w:lineRule="auto"/>
              <w:ind w:firstLine="400"/>
              <w:rPr>
                <w:rFonts w:ascii="宋体" w:hAnsi="宋体" w:cs="宋体"/>
              </w:rPr>
            </w:pPr>
            <w:r>
              <w:rPr>
                <w:rFonts w:hint="eastAsia" w:ascii="宋体" w:hAnsi="宋体" w:cs="宋体"/>
              </w:rPr>
              <w:t>（七）用于对外投资项目视同销售收入</w:t>
            </w:r>
          </w:p>
        </w:tc>
        <w:tc>
          <w:tcPr>
            <w:tcW w:w="1260" w:type="dxa"/>
            <w:noWrap w:val="0"/>
            <w:vAlign w:val="center"/>
          </w:tcPr>
          <w:p>
            <w:pPr>
              <w:pStyle w:val="9"/>
              <w:spacing w:before="260" w:after="260" w:line="415" w:lineRule="auto"/>
              <w:jc w:val="center"/>
              <w:rPr>
                <w:rFonts w:ascii="宋体" w:hAnsi="宋体" w:cs="宋体"/>
              </w:rPr>
            </w:pPr>
          </w:p>
        </w:tc>
        <w:tc>
          <w:tcPr>
            <w:tcW w:w="1440" w:type="dxa"/>
            <w:noWrap w:val="0"/>
            <w:vAlign w:val="center"/>
          </w:tcPr>
          <w:p>
            <w:pPr>
              <w:pStyle w:val="9"/>
              <w:spacing w:before="260" w:after="260" w:line="415" w:lineRule="auto"/>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9</w:t>
            </w:r>
          </w:p>
        </w:tc>
        <w:tc>
          <w:tcPr>
            <w:tcW w:w="6520" w:type="dxa"/>
            <w:noWrap w:val="0"/>
            <w:vAlign w:val="center"/>
          </w:tcPr>
          <w:p>
            <w:pPr>
              <w:pStyle w:val="9"/>
              <w:spacing w:before="260" w:after="260" w:line="415" w:lineRule="auto"/>
              <w:ind w:firstLine="400"/>
              <w:rPr>
                <w:rFonts w:ascii="宋体" w:hAnsi="宋体" w:cs="宋体"/>
              </w:rPr>
            </w:pPr>
            <w:r>
              <w:rPr>
                <w:rFonts w:hint="eastAsia" w:ascii="宋体" w:hAnsi="宋体" w:cs="宋体"/>
              </w:rPr>
              <w:t>（八）提供劳务视同销售收入</w:t>
            </w:r>
          </w:p>
        </w:tc>
        <w:tc>
          <w:tcPr>
            <w:tcW w:w="1260" w:type="dxa"/>
            <w:noWrap w:val="0"/>
            <w:vAlign w:val="center"/>
          </w:tcPr>
          <w:p>
            <w:pPr>
              <w:pStyle w:val="9"/>
              <w:spacing w:before="260" w:after="260" w:line="415" w:lineRule="auto"/>
              <w:jc w:val="center"/>
              <w:rPr>
                <w:rFonts w:ascii="宋体" w:hAnsi="宋体" w:cs="宋体"/>
              </w:rPr>
            </w:pPr>
          </w:p>
        </w:tc>
        <w:tc>
          <w:tcPr>
            <w:tcW w:w="1440" w:type="dxa"/>
            <w:noWrap w:val="0"/>
            <w:vAlign w:val="center"/>
          </w:tcPr>
          <w:p>
            <w:pPr>
              <w:pStyle w:val="9"/>
              <w:spacing w:before="260" w:after="260" w:line="415" w:lineRule="auto"/>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10</w:t>
            </w:r>
          </w:p>
        </w:tc>
        <w:tc>
          <w:tcPr>
            <w:tcW w:w="6520" w:type="dxa"/>
            <w:noWrap w:val="0"/>
            <w:vAlign w:val="center"/>
          </w:tcPr>
          <w:p>
            <w:pPr>
              <w:pStyle w:val="9"/>
              <w:spacing w:before="260" w:after="260" w:line="415" w:lineRule="auto"/>
              <w:ind w:firstLine="400"/>
              <w:rPr>
                <w:rFonts w:ascii="宋体" w:hAnsi="宋体" w:cs="宋体"/>
              </w:rPr>
            </w:pPr>
            <w:r>
              <w:rPr>
                <w:rFonts w:hint="eastAsia" w:ascii="宋体" w:hAnsi="宋体" w:cs="宋体"/>
              </w:rPr>
              <w:t>（九）其他</w:t>
            </w:r>
          </w:p>
        </w:tc>
        <w:tc>
          <w:tcPr>
            <w:tcW w:w="1260" w:type="dxa"/>
            <w:noWrap w:val="0"/>
            <w:vAlign w:val="center"/>
          </w:tcPr>
          <w:p>
            <w:pPr>
              <w:pStyle w:val="9"/>
              <w:spacing w:before="260" w:after="260" w:line="415" w:lineRule="auto"/>
              <w:jc w:val="center"/>
              <w:rPr>
                <w:rFonts w:ascii="宋体" w:hAnsi="宋体" w:cs="宋体"/>
              </w:rPr>
            </w:pPr>
          </w:p>
        </w:tc>
        <w:tc>
          <w:tcPr>
            <w:tcW w:w="1440" w:type="dxa"/>
            <w:noWrap w:val="0"/>
            <w:vAlign w:val="center"/>
          </w:tcPr>
          <w:p>
            <w:pPr>
              <w:pStyle w:val="9"/>
              <w:spacing w:before="260" w:after="260" w:line="415" w:lineRule="auto"/>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11</w:t>
            </w:r>
          </w:p>
        </w:tc>
        <w:tc>
          <w:tcPr>
            <w:tcW w:w="6520" w:type="dxa"/>
            <w:noWrap w:val="0"/>
            <w:vAlign w:val="center"/>
          </w:tcPr>
          <w:p>
            <w:pPr>
              <w:pStyle w:val="9"/>
              <w:spacing w:before="260" w:after="260" w:line="415" w:lineRule="auto"/>
              <w:rPr>
                <w:rFonts w:ascii="宋体" w:hAnsi="宋体" w:cs="宋体"/>
              </w:rPr>
            </w:pPr>
            <w:r>
              <w:rPr>
                <w:rFonts w:hint="eastAsia" w:ascii="宋体" w:hAnsi="宋体" w:cs="宋体"/>
              </w:rPr>
              <w:t>二、视同销售（营业）成本（12+13+14+15+16+17+18+19+20）</w:t>
            </w:r>
          </w:p>
        </w:tc>
        <w:tc>
          <w:tcPr>
            <w:tcW w:w="1260" w:type="dxa"/>
            <w:noWrap w:val="0"/>
            <w:vAlign w:val="center"/>
          </w:tcPr>
          <w:p>
            <w:pPr>
              <w:pStyle w:val="9"/>
              <w:spacing w:before="260" w:after="260" w:line="415" w:lineRule="auto"/>
              <w:jc w:val="center"/>
              <w:rPr>
                <w:rFonts w:ascii="宋体" w:hAnsi="宋体" w:cs="宋体"/>
              </w:rPr>
            </w:pPr>
          </w:p>
        </w:tc>
        <w:tc>
          <w:tcPr>
            <w:tcW w:w="1440" w:type="dxa"/>
            <w:noWrap w:val="0"/>
            <w:vAlign w:val="center"/>
          </w:tcPr>
          <w:p>
            <w:pPr>
              <w:pStyle w:val="9"/>
              <w:spacing w:before="260" w:after="260" w:line="415" w:lineRule="auto"/>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12</w:t>
            </w:r>
          </w:p>
        </w:tc>
        <w:tc>
          <w:tcPr>
            <w:tcW w:w="6520" w:type="dxa"/>
            <w:noWrap w:val="0"/>
            <w:vAlign w:val="center"/>
          </w:tcPr>
          <w:p>
            <w:pPr>
              <w:pStyle w:val="9"/>
              <w:spacing w:before="260" w:after="260" w:line="415" w:lineRule="auto"/>
              <w:ind w:firstLine="400"/>
              <w:rPr>
                <w:rFonts w:ascii="宋体" w:hAnsi="宋体" w:cs="宋体"/>
              </w:rPr>
            </w:pPr>
            <w:r>
              <w:rPr>
                <w:rFonts w:hint="eastAsia" w:ascii="宋体" w:hAnsi="宋体" w:cs="宋体"/>
              </w:rPr>
              <w:t>（一）非货币性资产交换视同销售成本</w:t>
            </w:r>
          </w:p>
        </w:tc>
        <w:tc>
          <w:tcPr>
            <w:tcW w:w="1260" w:type="dxa"/>
            <w:noWrap w:val="0"/>
            <w:vAlign w:val="center"/>
          </w:tcPr>
          <w:p>
            <w:pPr>
              <w:pStyle w:val="9"/>
              <w:spacing w:before="260" w:after="260" w:line="415" w:lineRule="auto"/>
              <w:jc w:val="center"/>
              <w:rPr>
                <w:rFonts w:ascii="宋体" w:hAnsi="宋体" w:cs="宋体"/>
              </w:rPr>
            </w:pPr>
          </w:p>
        </w:tc>
        <w:tc>
          <w:tcPr>
            <w:tcW w:w="1440" w:type="dxa"/>
            <w:noWrap w:val="0"/>
            <w:vAlign w:val="center"/>
          </w:tcPr>
          <w:p>
            <w:pPr>
              <w:pStyle w:val="9"/>
              <w:spacing w:before="260" w:after="260" w:line="415" w:lineRule="auto"/>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13</w:t>
            </w:r>
          </w:p>
        </w:tc>
        <w:tc>
          <w:tcPr>
            <w:tcW w:w="6520" w:type="dxa"/>
            <w:noWrap w:val="0"/>
            <w:vAlign w:val="center"/>
          </w:tcPr>
          <w:p>
            <w:pPr>
              <w:pStyle w:val="9"/>
              <w:spacing w:before="260" w:after="260" w:line="415" w:lineRule="auto"/>
              <w:ind w:firstLine="400"/>
              <w:rPr>
                <w:rFonts w:ascii="宋体" w:hAnsi="宋体" w:cs="宋体"/>
              </w:rPr>
            </w:pPr>
            <w:r>
              <w:rPr>
                <w:rFonts w:hint="eastAsia" w:ascii="宋体" w:hAnsi="宋体" w:cs="宋体"/>
              </w:rPr>
              <w:t>（二）用于市场推广或销售视同销售成本</w:t>
            </w:r>
          </w:p>
        </w:tc>
        <w:tc>
          <w:tcPr>
            <w:tcW w:w="1260" w:type="dxa"/>
            <w:noWrap w:val="0"/>
            <w:vAlign w:val="center"/>
          </w:tcPr>
          <w:p>
            <w:pPr>
              <w:pStyle w:val="9"/>
              <w:spacing w:before="260" w:after="260" w:line="415" w:lineRule="auto"/>
              <w:jc w:val="center"/>
              <w:rPr>
                <w:rFonts w:ascii="宋体" w:hAnsi="宋体" w:cs="宋体"/>
              </w:rPr>
            </w:pPr>
          </w:p>
        </w:tc>
        <w:tc>
          <w:tcPr>
            <w:tcW w:w="1440" w:type="dxa"/>
            <w:noWrap w:val="0"/>
            <w:vAlign w:val="center"/>
          </w:tcPr>
          <w:p>
            <w:pPr>
              <w:pStyle w:val="9"/>
              <w:spacing w:before="260" w:after="260" w:line="415" w:lineRule="auto"/>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14</w:t>
            </w:r>
          </w:p>
        </w:tc>
        <w:tc>
          <w:tcPr>
            <w:tcW w:w="6520" w:type="dxa"/>
            <w:noWrap w:val="0"/>
            <w:vAlign w:val="center"/>
          </w:tcPr>
          <w:p>
            <w:pPr>
              <w:pStyle w:val="9"/>
              <w:spacing w:before="260" w:after="260" w:line="415" w:lineRule="auto"/>
              <w:ind w:firstLine="400"/>
              <w:rPr>
                <w:rFonts w:ascii="宋体" w:hAnsi="宋体" w:cs="宋体"/>
              </w:rPr>
            </w:pPr>
            <w:r>
              <w:rPr>
                <w:rFonts w:hint="eastAsia" w:ascii="宋体" w:hAnsi="宋体" w:cs="宋体"/>
              </w:rPr>
              <w:t>（三）用于交际应酬视同销售成本</w:t>
            </w:r>
          </w:p>
        </w:tc>
        <w:tc>
          <w:tcPr>
            <w:tcW w:w="1260" w:type="dxa"/>
            <w:noWrap w:val="0"/>
            <w:vAlign w:val="center"/>
          </w:tcPr>
          <w:p>
            <w:pPr>
              <w:pStyle w:val="9"/>
              <w:spacing w:before="260" w:after="260" w:line="415" w:lineRule="auto"/>
              <w:jc w:val="center"/>
              <w:rPr>
                <w:rFonts w:ascii="宋体" w:hAnsi="宋体" w:cs="宋体"/>
              </w:rPr>
            </w:pPr>
          </w:p>
        </w:tc>
        <w:tc>
          <w:tcPr>
            <w:tcW w:w="1440" w:type="dxa"/>
            <w:noWrap w:val="0"/>
            <w:vAlign w:val="center"/>
          </w:tcPr>
          <w:p>
            <w:pPr>
              <w:pStyle w:val="9"/>
              <w:spacing w:before="260" w:after="260" w:line="415" w:lineRule="auto"/>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15</w:t>
            </w:r>
          </w:p>
        </w:tc>
        <w:tc>
          <w:tcPr>
            <w:tcW w:w="6520" w:type="dxa"/>
            <w:noWrap w:val="0"/>
            <w:vAlign w:val="center"/>
          </w:tcPr>
          <w:p>
            <w:pPr>
              <w:pStyle w:val="9"/>
              <w:spacing w:before="260" w:after="260" w:line="415" w:lineRule="auto"/>
              <w:ind w:firstLine="400"/>
              <w:rPr>
                <w:rFonts w:ascii="宋体" w:hAnsi="宋体" w:cs="宋体"/>
              </w:rPr>
            </w:pPr>
            <w:r>
              <w:rPr>
                <w:rFonts w:hint="eastAsia" w:ascii="宋体" w:hAnsi="宋体" w:cs="宋体"/>
              </w:rPr>
              <w:t>（四）用于职工奖励或福利视同销售成本</w:t>
            </w:r>
          </w:p>
        </w:tc>
        <w:tc>
          <w:tcPr>
            <w:tcW w:w="1260" w:type="dxa"/>
            <w:noWrap w:val="0"/>
            <w:vAlign w:val="center"/>
          </w:tcPr>
          <w:p>
            <w:pPr>
              <w:pStyle w:val="9"/>
              <w:spacing w:before="260" w:after="260" w:line="415" w:lineRule="auto"/>
              <w:jc w:val="center"/>
              <w:rPr>
                <w:rFonts w:ascii="宋体" w:hAnsi="宋体" w:cs="宋体"/>
              </w:rPr>
            </w:pPr>
          </w:p>
        </w:tc>
        <w:tc>
          <w:tcPr>
            <w:tcW w:w="1440" w:type="dxa"/>
            <w:noWrap w:val="0"/>
            <w:vAlign w:val="center"/>
          </w:tcPr>
          <w:p>
            <w:pPr>
              <w:pStyle w:val="9"/>
              <w:spacing w:before="260" w:after="260" w:line="415" w:lineRule="auto"/>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16</w:t>
            </w:r>
          </w:p>
        </w:tc>
        <w:tc>
          <w:tcPr>
            <w:tcW w:w="6520" w:type="dxa"/>
            <w:noWrap w:val="0"/>
            <w:vAlign w:val="center"/>
          </w:tcPr>
          <w:p>
            <w:pPr>
              <w:pStyle w:val="9"/>
              <w:spacing w:before="260" w:after="260" w:line="415" w:lineRule="auto"/>
              <w:ind w:firstLine="400"/>
              <w:rPr>
                <w:rFonts w:ascii="宋体" w:hAnsi="宋体" w:cs="宋体"/>
              </w:rPr>
            </w:pPr>
            <w:r>
              <w:rPr>
                <w:rFonts w:hint="eastAsia" w:ascii="宋体" w:hAnsi="宋体" w:cs="宋体"/>
              </w:rPr>
              <w:t>（五）用于股息分配视同销售成本</w:t>
            </w:r>
          </w:p>
        </w:tc>
        <w:tc>
          <w:tcPr>
            <w:tcW w:w="1260" w:type="dxa"/>
            <w:noWrap w:val="0"/>
            <w:vAlign w:val="center"/>
          </w:tcPr>
          <w:p>
            <w:pPr>
              <w:pStyle w:val="9"/>
              <w:spacing w:before="260" w:after="260" w:line="415" w:lineRule="auto"/>
              <w:jc w:val="center"/>
              <w:rPr>
                <w:rFonts w:ascii="宋体" w:hAnsi="宋体" w:cs="宋体"/>
              </w:rPr>
            </w:pPr>
          </w:p>
        </w:tc>
        <w:tc>
          <w:tcPr>
            <w:tcW w:w="1440" w:type="dxa"/>
            <w:noWrap w:val="0"/>
            <w:vAlign w:val="center"/>
          </w:tcPr>
          <w:p>
            <w:pPr>
              <w:pStyle w:val="9"/>
              <w:spacing w:before="260" w:after="260" w:line="415" w:lineRule="auto"/>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17</w:t>
            </w:r>
          </w:p>
        </w:tc>
        <w:tc>
          <w:tcPr>
            <w:tcW w:w="6520" w:type="dxa"/>
            <w:noWrap w:val="0"/>
            <w:vAlign w:val="center"/>
          </w:tcPr>
          <w:p>
            <w:pPr>
              <w:pStyle w:val="9"/>
              <w:spacing w:before="260" w:after="260" w:line="415" w:lineRule="auto"/>
              <w:ind w:firstLine="400"/>
              <w:rPr>
                <w:rFonts w:ascii="宋体" w:hAnsi="宋体" w:cs="宋体"/>
              </w:rPr>
            </w:pPr>
            <w:r>
              <w:rPr>
                <w:rFonts w:hint="eastAsia" w:ascii="宋体" w:hAnsi="宋体" w:cs="宋体"/>
              </w:rPr>
              <w:t>（六）用于对外捐赠视同销售成本</w:t>
            </w:r>
          </w:p>
        </w:tc>
        <w:tc>
          <w:tcPr>
            <w:tcW w:w="1260" w:type="dxa"/>
            <w:noWrap w:val="0"/>
            <w:vAlign w:val="center"/>
          </w:tcPr>
          <w:p>
            <w:pPr>
              <w:pStyle w:val="9"/>
              <w:spacing w:before="260" w:after="260" w:line="415" w:lineRule="auto"/>
              <w:jc w:val="center"/>
              <w:rPr>
                <w:rFonts w:ascii="宋体" w:hAnsi="宋体" w:cs="宋体"/>
              </w:rPr>
            </w:pPr>
          </w:p>
        </w:tc>
        <w:tc>
          <w:tcPr>
            <w:tcW w:w="1440" w:type="dxa"/>
            <w:noWrap w:val="0"/>
            <w:vAlign w:val="center"/>
          </w:tcPr>
          <w:p>
            <w:pPr>
              <w:pStyle w:val="9"/>
              <w:spacing w:before="260" w:after="260" w:line="415" w:lineRule="auto"/>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18</w:t>
            </w:r>
          </w:p>
        </w:tc>
        <w:tc>
          <w:tcPr>
            <w:tcW w:w="6520" w:type="dxa"/>
            <w:noWrap w:val="0"/>
            <w:vAlign w:val="center"/>
          </w:tcPr>
          <w:p>
            <w:pPr>
              <w:pStyle w:val="9"/>
              <w:spacing w:before="260" w:after="260" w:line="415" w:lineRule="auto"/>
              <w:ind w:firstLine="400"/>
              <w:rPr>
                <w:rFonts w:ascii="宋体" w:hAnsi="宋体" w:cs="宋体"/>
              </w:rPr>
            </w:pPr>
            <w:r>
              <w:rPr>
                <w:rFonts w:hint="eastAsia" w:ascii="宋体" w:hAnsi="宋体" w:cs="宋体"/>
              </w:rPr>
              <w:t>（七）用于对外投资项目视同销售成本</w:t>
            </w:r>
          </w:p>
        </w:tc>
        <w:tc>
          <w:tcPr>
            <w:tcW w:w="1260" w:type="dxa"/>
            <w:noWrap w:val="0"/>
            <w:vAlign w:val="center"/>
          </w:tcPr>
          <w:p>
            <w:pPr>
              <w:pStyle w:val="9"/>
              <w:spacing w:before="260" w:after="260" w:line="415" w:lineRule="auto"/>
              <w:jc w:val="center"/>
              <w:rPr>
                <w:rFonts w:ascii="宋体" w:hAnsi="宋体" w:cs="宋体"/>
              </w:rPr>
            </w:pPr>
          </w:p>
        </w:tc>
        <w:tc>
          <w:tcPr>
            <w:tcW w:w="1440" w:type="dxa"/>
            <w:noWrap w:val="0"/>
            <w:vAlign w:val="center"/>
          </w:tcPr>
          <w:p>
            <w:pPr>
              <w:pStyle w:val="9"/>
              <w:spacing w:before="260" w:after="260" w:line="415" w:lineRule="auto"/>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19</w:t>
            </w:r>
          </w:p>
        </w:tc>
        <w:tc>
          <w:tcPr>
            <w:tcW w:w="6520" w:type="dxa"/>
            <w:noWrap w:val="0"/>
            <w:vAlign w:val="center"/>
          </w:tcPr>
          <w:p>
            <w:pPr>
              <w:pStyle w:val="9"/>
              <w:spacing w:before="260" w:after="260" w:line="415" w:lineRule="auto"/>
              <w:ind w:firstLine="400"/>
              <w:rPr>
                <w:rFonts w:ascii="宋体" w:hAnsi="宋体" w:cs="宋体"/>
              </w:rPr>
            </w:pPr>
            <w:r>
              <w:rPr>
                <w:rFonts w:hint="eastAsia" w:ascii="宋体" w:hAnsi="宋体" w:cs="宋体"/>
              </w:rPr>
              <w:t>（八）提供劳务视同销售成本</w:t>
            </w:r>
          </w:p>
        </w:tc>
        <w:tc>
          <w:tcPr>
            <w:tcW w:w="1260" w:type="dxa"/>
            <w:noWrap w:val="0"/>
            <w:vAlign w:val="center"/>
          </w:tcPr>
          <w:p>
            <w:pPr>
              <w:pStyle w:val="9"/>
              <w:spacing w:before="260" w:after="260" w:line="415" w:lineRule="auto"/>
              <w:jc w:val="center"/>
              <w:rPr>
                <w:rFonts w:ascii="宋体" w:hAnsi="宋体" w:cs="宋体"/>
              </w:rPr>
            </w:pPr>
          </w:p>
        </w:tc>
        <w:tc>
          <w:tcPr>
            <w:tcW w:w="1440" w:type="dxa"/>
            <w:noWrap w:val="0"/>
            <w:vAlign w:val="center"/>
          </w:tcPr>
          <w:p>
            <w:pPr>
              <w:pStyle w:val="9"/>
              <w:spacing w:before="260" w:after="260" w:line="415" w:lineRule="auto"/>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20</w:t>
            </w:r>
          </w:p>
        </w:tc>
        <w:tc>
          <w:tcPr>
            <w:tcW w:w="6520" w:type="dxa"/>
            <w:noWrap w:val="0"/>
            <w:vAlign w:val="center"/>
          </w:tcPr>
          <w:p>
            <w:pPr>
              <w:pStyle w:val="9"/>
              <w:spacing w:before="260" w:after="260" w:line="415" w:lineRule="auto"/>
              <w:ind w:firstLine="400"/>
              <w:rPr>
                <w:rFonts w:ascii="宋体" w:hAnsi="宋体" w:cs="宋体"/>
              </w:rPr>
            </w:pPr>
            <w:r>
              <w:rPr>
                <w:rFonts w:hint="eastAsia" w:ascii="宋体" w:hAnsi="宋体" w:cs="宋体"/>
              </w:rPr>
              <w:t>（九）其他</w:t>
            </w:r>
          </w:p>
        </w:tc>
        <w:tc>
          <w:tcPr>
            <w:tcW w:w="1260" w:type="dxa"/>
            <w:noWrap w:val="0"/>
            <w:vAlign w:val="center"/>
          </w:tcPr>
          <w:p>
            <w:pPr>
              <w:pStyle w:val="9"/>
              <w:spacing w:before="260" w:after="260" w:line="415" w:lineRule="auto"/>
              <w:jc w:val="center"/>
              <w:rPr>
                <w:rFonts w:ascii="宋体" w:hAnsi="宋体" w:cs="宋体"/>
              </w:rPr>
            </w:pPr>
          </w:p>
        </w:tc>
        <w:tc>
          <w:tcPr>
            <w:tcW w:w="1440" w:type="dxa"/>
            <w:noWrap w:val="0"/>
            <w:vAlign w:val="center"/>
          </w:tcPr>
          <w:p>
            <w:pPr>
              <w:pStyle w:val="9"/>
              <w:spacing w:before="260" w:after="260" w:line="415" w:lineRule="auto"/>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21</w:t>
            </w:r>
          </w:p>
        </w:tc>
        <w:tc>
          <w:tcPr>
            <w:tcW w:w="6520" w:type="dxa"/>
            <w:noWrap w:val="0"/>
            <w:vAlign w:val="center"/>
          </w:tcPr>
          <w:p>
            <w:pPr>
              <w:pStyle w:val="9"/>
              <w:spacing w:before="260" w:after="260" w:line="415" w:lineRule="auto"/>
              <w:rPr>
                <w:rFonts w:ascii="宋体" w:hAnsi="宋体" w:cs="宋体"/>
              </w:rPr>
            </w:pPr>
            <w:r>
              <w:rPr>
                <w:rFonts w:hint="eastAsia" w:ascii="宋体" w:hAnsi="宋体" w:cs="宋体"/>
              </w:rPr>
              <w:t>三、房地产开发企业特定业务计算的纳税调整额（22-26）</w:t>
            </w:r>
          </w:p>
        </w:tc>
        <w:tc>
          <w:tcPr>
            <w:tcW w:w="1260" w:type="dxa"/>
            <w:noWrap w:val="0"/>
            <w:vAlign w:val="center"/>
          </w:tcPr>
          <w:p>
            <w:pPr>
              <w:pStyle w:val="9"/>
              <w:spacing w:before="260" w:after="260" w:line="415" w:lineRule="auto"/>
              <w:jc w:val="center"/>
              <w:rPr>
                <w:rFonts w:ascii="宋体" w:hAnsi="宋体" w:cs="宋体"/>
              </w:rPr>
            </w:pPr>
          </w:p>
        </w:tc>
        <w:tc>
          <w:tcPr>
            <w:tcW w:w="1440" w:type="dxa"/>
            <w:noWrap w:val="0"/>
            <w:vAlign w:val="center"/>
          </w:tcPr>
          <w:p>
            <w:pPr>
              <w:pStyle w:val="9"/>
              <w:spacing w:before="260" w:after="260" w:line="415" w:lineRule="auto"/>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99" w:hRule="atLeast"/>
          <w:jc w:val="center"/>
        </w:trPr>
        <w:tc>
          <w:tcPr>
            <w:tcW w:w="640" w:type="dxa"/>
            <w:vMerge w:val="restart"/>
            <w:noWrap w:val="0"/>
            <w:vAlign w:val="center"/>
          </w:tcPr>
          <w:p>
            <w:pPr>
              <w:pStyle w:val="9"/>
              <w:spacing w:before="260" w:after="260" w:line="415" w:lineRule="auto"/>
              <w:jc w:val="center"/>
              <w:rPr>
                <w:rFonts w:ascii="宋体" w:hAnsi="宋体" w:cs="宋体"/>
              </w:rPr>
            </w:pPr>
            <w:r>
              <w:rPr>
                <w:rFonts w:hint="eastAsia" w:ascii="宋体" w:hAnsi="宋体" w:cs="宋体"/>
              </w:rPr>
              <w:t>22</w:t>
            </w:r>
          </w:p>
        </w:tc>
        <w:tc>
          <w:tcPr>
            <w:tcW w:w="6520" w:type="dxa"/>
            <w:vMerge w:val="restart"/>
            <w:noWrap w:val="0"/>
            <w:vAlign w:val="center"/>
          </w:tcPr>
          <w:p>
            <w:pPr>
              <w:pStyle w:val="9"/>
              <w:spacing w:before="260" w:after="260" w:line="415" w:lineRule="auto"/>
              <w:ind w:firstLine="400"/>
              <w:rPr>
                <w:rFonts w:ascii="宋体" w:hAnsi="宋体" w:cs="宋体"/>
              </w:rPr>
            </w:pPr>
            <w:r>
              <w:rPr>
                <w:rFonts w:hint="eastAsia" w:ascii="宋体" w:hAnsi="宋体" w:cs="宋体"/>
              </w:rPr>
              <w:t>（一）房地产企业销售未完工开发产品特定业务计算的纳税调整额（24-25）</w:t>
            </w:r>
          </w:p>
        </w:tc>
        <w:tc>
          <w:tcPr>
            <w:tcW w:w="1260" w:type="dxa"/>
            <w:vMerge w:val="restart"/>
            <w:noWrap w:val="0"/>
            <w:vAlign w:val="center"/>
          </w:tcPr>
          <w:p>
            <w:pPr>
              <w:pStyle w:val="9"/>
              <w:spacing w:before="260" w:after="260" w:line="415" w:lineRule="auto"/>
              <w:jc w:val="center"/>
              <w:rPr>
                <w:rFonts w:ascii="宋体" w:hAnsi="宋体" w:cs="宋体"/>
              </w:rPr>
            </w:pPr>
          </w:p>
        </w:tc>
        <w:tc>
          <w:tcPr>
            <w:tcW w:w="1440" w:type="dxa"/>
            <w:vMerge w:val="restart"/>
            <w:noWrap w:val="0"/>
            <w:vAlign w:val="center"/>
          </w:tcPr>
          <w:p>
            <w:pPr>
              <w:pStyle w:val="9"/>
              <w:spacing w:before="260" w:after="260" w:line="415" w:lineRule="auto"/>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59" w:hRule="atLeast"/>
          <w:jc w:val="center"/>
        </w:trPr>
        <w:tc>
          <w:tcPr>
            <w:tcW w:w="640" w:type="dxa"/>
            <w:vMerge w:val="continue"/>
            <w:noWrap w:val="0"/>
            <w:vAlign w:val="center"/>
          </w:tcPr>
          <w:p>
            <w:pPr>
              <w:pStyle w:val="9"/>
              <w:spacing w:before="260" w:after="260" w:line="415" w:lineRule="auto"/>
              <w:rPr>
                <w:rFonts w:ascii="宋体" w:hAnsi="宋体" w:cs="宋体"/>
              </w:rPr>
            </w:pPr>
          </w:p>
        </w:tc>
        <w:tc>
          <w:tcPr>
            <w:tcW w:w="6520" w:type="dxa"/>
            <w:vMerge w:val="continue"/>
            <w:noWrap w:val="0"/>
            <w:vAlign w:val="center"/>
          </w:tcPr>
          <w:p>
            <w:pPr>
              <w:pStyle w:val="9"/>
              <w:spacing w:before="260" w:after="260" w:line="415" w:lineRule="auto"/>
              <w:rPr>
                <w:rFonts w:ascii="宋体" w:hAnsi="宋体" w:cs="宋体"/>
              </w:rPr>
            </w:pPr>
          </w:p>
        </w:tc>
        <w:tc>
          <w:tcPr>
            <w:tcW w:w="1260" w:type="dxa"/>
            <w:vMerge w:val="continue"/>
            <w:noWrap w:val="0"/>
            <w:vAlign w:val="center"/>
          </w:tcPr>
          <w:p>
            <w:pPr>
              <w:pStyle w:val="9"/>
              <w:spacing w:before="260" w:after="260" w:line="415" w:lineRule="auto"/>
              <w:jc w:val="center"/>
              <w:rPr>
                <w:rFonts w:ascii="宋体" w:hAnsi="宋体" w:cs="宋体"/>
              </w:rPr>
            </w:pPr>
          </w:p>
        </w:tc>
        <w:tc>
          <w:tcPr>
            <w:tcW w:w="1440" w:type="dxa"/>
            <w:vMerge w:val="continue"/>
            <w:noWrap w:val="0"/>
            <w:vAlign w:val="center"/>
          </w:tcPr>
          <w:p>
            <w:pPr>
              <w:pStyle w:val="9"/>
              <w:spacing w:before="260" w:after="260" w:line="415" w:lineRule="auto"/>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23</w:t>
            </w:r>
          </w:p>
        </w:tc>
        <w:tc>
          <w:tcPr>
            <w:tcW w:w="6520" w:type="dxa"/>
            <w:noWrap w:val="0"/>
            <w:vAlign w:val="center"/>
          </w:tcPr>
          <w:p>
            <w:pPr>
              <w:pStyle w:val="9"/>
              <w:spacing w:before="260" w:after="260" w:line="415" w:lineRule="auto"/>
              <w:ind w:firstLine="800"/>
              <w:rPr>
                <w:rFonts w:ascii="宋体" w:hAnsi="宋体" w:cs="宋体"/>
              </w:rPr>
            </w:pPr>
            <w:r>
              <w:rPr>
                <w:rFonts w:hint="eastAsia" w:ascii="宋体" w:hAnsi="宋体" w:cs="宋体"/>
              </w:rPr>
              <w:t>1.销售未完工产品的收入</w:t>
            </w:r>
          </w:p>
        </w:tc>
        <w:tc>
          <w:tcPr>
            <w:tcW w:w="1260" w:type="dxa"/>
            <w:noWrap w:val="0"/>
            <w:vAlign w:val="center"/>
          </w:tcPr>
          <w:p>
            <w:pPr>
              <w:pStyle w:val="9"/>
              <w:spacing w:before="260" w:after="260" w:line="415" w:lineRule="auto"/>
              <w:jc w:val="center"/>
              <w:rPr>
                <w:rFonts w:ascii="宋体" w:hAnsi="宋体" w:cs="宋体"/>
              </w:rPr>
            </w:pPr>
          </w:p>
        </w:tc>
        <w:tc>
          <w:tcPr>
            <w:tcW w:w="1440" w:type="dxa"/>
            <w:noWrap w:val="0"/>
            <w:vAlign w:val="center"/>
          </w:tcPr>
          <w:p>
            <w:pPr>
              <w:pStyle w:val="9"/>
              <w:spacing w:before="260" w:after="260" w:line="415" w:lineRule="auto"/>
              <w:jc w:val="center"/>
              <w:rPr>
                <w:rFonts w:ascii="宋体" w:hAnsi="宋体" w:cs="宋体"/>
              </w:rPr>
            </w:pPr>
            <w:r>
              <w:rPr>
                <w:rFonts w:hint="eastAsia" w:ascii="宋体" w:hAnsi="宋体" w:cs="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24</w:t>
            </w:r>
          </w:p>
        </w:tc>
        <w:tc>
          <w:tcPr>
            <w:tcW w:w="6520" w:type="dxa"/>
            <w:noWrap w:val="0"/>
            <w:vAlign w:val="center"/>
          </w:tcPr>
          <w:p>
            <w:pPr>
              <w:pStyle w:val="9"/>
              <w:spacing w:before="260" w:after="260" w:line="415" w:lineRule="auto"/>
              <w:ind w:firstLine="800"/>
              <w:rPr>
                <w:rFonts w:ascii="宋体" w:hAnsi="宋体" w:cs="宋体"/>
              </w:rPr>
            </w:pPr>
            <w:r>
              <w:rPr>
                <w:rFonts w:hint="eastAsia" w:ascii="宋体" w:hAnsi="宋体" w:cs="宋体"/>
              </w:rPr>
              <w:t>2.销售未完工产品预计毛利额</w:t>
            </w:r>
          </w:p>
        </w:tc>
        <w:tc>
          <w:tcPr>
            <w:tcW w:w="1260" w:type="dxa"/>
            <w:noWrap w:val="0"/>
            <w:vAlign w:val="center"/>
          </w:tcPr>
          <w:p>
            <w:pPr>
              <w:pStyle w:val="9"/>
              <w:spacing w:before="260" w:after="260" w:line="415" w:lineRule="auto"/>
              <w:jc w:val="center"/>
              <w:rPr>
                <w:rFonts w:ascii="宋体" w:hAnsi="宋体" w:cs="宋体"/>
              </w:rPr>
            </w:pPr>
          </w:p>
        </w:tc>
        <w:tc>
          <w:tcPr>
            <w:tcW w:w="1440" w:type="dxa"/>
            <w:noWrap w:val="0"/>
            <w:vAlign w:val="center"/>
          </w:tcPr>
          <w:p>
            <w:pPr>
              <w:pStyle w:val="9"/>
              <w:spacing w:before="260" w:after="260" w:line="415" w:lineRule="auto"/>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25</w:t>
            </w:r>
          </w:p>
        </w:tc>
        <w:tc>
          <w:tcPr>
            <w:tcW w:w="6520" w:type="dxa"/>
            <w:noWrap w:val="0"/>
            <w:vAlign w:val="center"/>
          </w:tcPr>
          <w:p>
            <w:pPr>
              <w:pStyle w:val="9"/>
              <w:spacing w:before="260" w:after="260" w:line="415" w:lineRule="auto"/>
              <w:ind w:firstLine="800"/>
              <w:rPr>
                <w:rFonts w:ascii="宋体" w:hAnsi="宋体" w:cs="宋体"/>
              </w:rPr>
            </w:pPr>
            <w:r>
              <w:rPr>
                <w:rFonts w:hint="eastAsia" w:ascii="宋体" w:hAnsi="宋体" w:cs="宋体"/>
              </w:rPr>
              <w:t>3.实际发生的税金及附加、土地增值税</w:t>
            </w:r>
          </w:p>
        </w:tc>
        <w:tc>
          <w:tcPr>
            <w:tcW w:w="1260" w:type="dxa"/>
            <w:noWrap w:val="0"/>
            <w:vAlign w:val="center"/>
          </w:tcPr>
          <w:p>
            <w:pPr>
              <w:pStyle w:val="9"/>
              <w:spacing w:before="260" w:after="260" w:line="415" w:lineRule="auto"/>
              <w:jc w:val="center"/>
              <w:rPr>
                <w:rFonts w:ascii="宋体" w:hAnsi="宋体" w:cs="宋体"/>
              </w:rPr>
            </w:pPr>
          </w:p>
        </w:tc>
        <w:tc>
          <w:tcPr>
            <w:tcW w:w="1440" w:type="dxa"/>
            <w:noWrap w:val="0"/>
            <w:vAlign w:val="center"/>
          </w:tcPr>
          <w:p>
            <w:pPr>
              <w:pStyle w:val="9"/>
              <w:spacing w:before="260" w:after="260" w:line="415" w:lineRule="auto"/>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26</w:t>
            </w:r>
          </w:p>
        </w:tc>
        <w:tc>
          <w:tcPr>
            <w:tcW w:w="6520" w:type="dxa"/>
            <w:noWrap w:val="0"/>
            <w:vAlign w:val="center"/>
          </w:tcPr>
          <w:p>
            <w:pPr>
              <w:pStyle w:val="9"/>
              <w:spacing w:before="260" w:after="260" w:line="415" w:lineRule="auto"/>
              <w:ind w:firstLine="400"/>
              <w:rPr>
                <w:rFonts w:ascii="宋体" w:hAnsi="宋体" w:cs="宋体"/>
              </w:rPr>
            </w:pPr>
            <w:r>
              <w:rPr>
                <w:rFonts w:hint="eastAsia" w:ascii="宋体" w:hAnsi="宋体" w:cs="宋体"/>
              </w:rPr>
              <w:t>（二）房地产企业销售的未完工产品转完工产品特定业务计算的纳税调整额（28-29）</w:t>
            </w:r>
          </w:p>
        </w:tc>
        <w:tc>
          <w:tcPr>
            <w:tcW w:w="1260" w:type="dxa"/>
            <w:noWrap w:val="0"/>
            <w:vAlign w:val="center"/>
          </w:tcPr>
          <w:p>
            <w:pPr>
              <w:pStyle w:val="9"/>
              <w:spacing w:before="260" w:after="260" w:line="415" w:lineRule="auto"/>
              <w:jc w:val="center"/>
              <w:rPr>
                <w:rFonts w:ascii="宋体" w:hAnsi="宋体" w:cs="宋体"/>
              </w:rPr>
            </w:pPr>
          </w:p>
        </w:tc>
        <w:tc>
          <w:tcPr>
            <w:tcW w:w="1440" w:type="dxa"/>
            <w:noWrap w:val="0"/>
            <w:vAlign w:val="center"/>
          </w:tcPr>
          <w:p>
            <w:pPr>
              <w:pStyle w:val="9"/>
              <w:spacing w:before="260" w:after="260" w:line="415" w:lineRule="auto"/>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27</w:t>
            </w:r>
          </w:p>
        </w:tc>
        <w:tc>
          <w:tcPr>
            <w:tcW w:w="6520" w:type="dxa"/>
            <w:noWrap w:val="0"/>
            <w:vAlign w:val="center"/>
          </w:tcPr>
          <w:p>
            <w:pPr>
              <w:pStyle w:val="9"/>
              <w:spacing w:before="260" w:after="260" w:line="415" w:lineRule="auto"/>
              <w:ind w:firstLine="800"/>
              <w:rPr>
                <w:rFonts w:ascii="宋体" w:hAnsi="宋体" w:cs="宋体"/>
              </w:rPr>
            </w:pPr>
            <w:r>
              <w:rPr>
                <w:rFonts w:hint="eastAsia" w:ascii="宋体" w:hAnsi="宋体" w:cs="宋体"/>
              </w:rPr>
              <w:t>1.销售未完工产品转完工产品确认的销售收入</w:t>
            </w:r>
          </w:p>
        </w:tc>
        <w:tc>
          <w:tcPr>
            <w:tcW w:w="1260" w:type="dxa"/>
            <w:noWrap w:val="0"/>
            <w:vAlign w:val="center"/>
          </w:tcPr>
          <w:p>
            <w:pPr>
              <w:pStyle w:val="9"/>
              <w:spacing w:before="260" w:after="260" w:line="415" w:lineRule="auto"/>
              <w:jc w:val="center"/>
              <w:rPr>
                <w:rFonts w:ascii="宋体" w:hAnsi="宋体" w:cs="宋体"/>
              </w:rPr>
            </w:pPr>
          </w:p>
        </w:tc>
        <w:tc>
          <w:tcPr>
            <w:tcW w:w="1440" w:type="dxa"/>
            <w:noWrap w:val="0"/>
            <w:vAlign w:val="center"/>
          </w:tcPr>
          <w:p>
            <w:pPr>
              <w:pStyle w:val="9"/>
              <w:spacing w:before="260" w:after="260" w:line="415" w:lineRule="auto"/>
              <w:jc w:val="center"/>
              <w:rPr>
                <w:rFonts w:ascii="宋体" w:hAnsi="宋体" w:cs="宋体"/>
              </w:rPr>
            </w:pPr>
            <w:r>
              <w:rPr>
                <w:rFonts w:hint="eastAsia" w:ascii="宋体" w:hAnsi="宋体" w:cs="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28</w:t>
            </w:r>
          </w:p>
        </w:tc>
        <w:tc>
          <w:tcPr>
            <w:tcW w:w="6520" w:type="dxa"/>
            <w:noWrap w:val="0"/>
            <w:vAlign w:val="center"/>
          </w:tcPr>
          <w:p>
            <w:pPr>
              <w:pStyle w:val="9"/>
              <w:spacing w:before="260" w:after="260" w:line="415" w:lineRule="auto"/>
              <w:ind w:firstLine="800"/>
              <w:rPr>
                <w:rFonts w:ascii="宋体" w:hAnsi="宋体" w:cs="宋体"/>
              </w:rPr>
            </w:pPr>
            <w:r>
              <w:rPr>
                <w:rFonts w:hint="eastAsia" w:ascii="宋体" w:hAnsi="宋体" w:cs="宋体"/>
              </w:rPr>
              <w:t>2.转回的销售未完工产品预计毛利额</w:t>
            </w:r>
          </w:p>
        </w:tc>
        <w:tc>
          <w:tcPr>
            <w:tcW w:w="1260" w:type="dxa"/>
            <w:noWrap w:val="0"/>
            <w:vAlign w:val="center"/>
          </w:tcPr>
          <w:p>
            <w:pPr>
              <w:pStyle w:val="9"/>
              <w:spacing w:before="260" w:after="260" w:line="415" w:lineRule="auto"/>
              <w:jc w:val="center"/>
              <w:rPr>
                <w:rFonts w:ascii="宋体" w:hAnsi="宋体" w:cs="宋体"/>
              </w:rPr>
            </w:pPr>
          </w:p>
        </w:tc>
        <w:tc>
          <w:tcPr>
            <w:tcW w:w="1440" w:type="dxa"/>
            <w:noWrap w:val="0"/>
            <w:vAlign w:val="center"/>
          </w:tcPr>
          <w:p>
            <w:pPr>
              <w:pStyle w:val="9"/>
              <w:spacing w:before="260" w:after="260" w:line="415" w:lineRule="auto"/>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29</w:t>
            </w:r>
          </w:p>
        </w:tc>
        <w:tc>
          <w:tcPr>
            <w:tcW w:w="6520" w:type="dxa"/>
            <w:noWrap w:val="0"/>
            <w:vAlign w:val="center"/>
          </w:tcPr>
          <w:p>
            <w:pPr>
              <w:pStyle w:val="9"/>
              <w:spacing w:before="260" w:after="260" w:line="415" w:lineRule="auto"/>
              <w:ind w:firstLine="800"/>
              <w:rPr>
                <w:rFonts w:ascii="宋体" w:hAnsi="宋体" w:cs="宋体"/>
              </w:rPr>
            </w:pPr>
            <w:r>
              <w:rPr>
                <w:rFonts w:hint="eastAsia" w:ascii="宋体" w:hAnsi="宋体" w:cs="宋体"/>
              </w:rPr>
              <w:t>3.转回实际发生的税金及附加、土地增值税</w:t>
            </w:r>
          </w:p>
        </w:tc>
        <w:tc>
          <w:tcPr>
            <w:tcW w:w="1260" w:type="dxa"/>
            <w:noWrap w:val="0"/>
            <w:vAlign w:val="center"/>
          </w:tcPr>
          <w:p>
            <w:pPr>
              <w:pStyle w:val="9"/>
              <w:spacing w:before="260" w:after="260" w:line="415" w:lineRule="auto"/>
              <w:jc w:val="center"/>
              <w:rPr>
                <w:rFonts w:ascii="宋体" w:hAnsi="宋体" w:cs="宋体"/>
              </w:rPr>
            </w:pPr>
          </w:p>
        </w:tc>
        <w:tc>
          <w:tcPr>
            <w:tcW w:w="1440" w:type="dxa"/>
            <w:noWrap w:val="0"/>
            <w:vAlign w:val="center"/>
          </w:tcPr>
          <w:p>
            <w:pPr>
              <w:pStyle w:val="9"/>
              <w:spacing w:before="260" w:after="260" w:line="415" w:lineRule="auto"/>
              <w:jc w:val="center"/>
              <w:rPr>
                <w:rFonts w:ascii="宋体" w:hAnsi="宋体" w:cs="宋体"/>
              </w:rPr>
            </w:pPr>
          </w:p>
        </w:tc>
      </w:tr>
    </w:tbl>
    <w:p>
      <w:pPr>
        <w:pStyle w:val="5"/>
        <w:ind w:firstLine="482" w:firstLineChars="200"/>
        <w:rPr>
          <w:rFonts w:ascii="宋体" w:hAnsi="宋体" w:eastAsia="宋体"/>
        </w:rPr>
      </w:pPr>
      <w:r>
        <w:rPr>
          <w:rFonts w:hint="eastAsia" w:ascii="宋体" w:hAnsi="宋体" w:eastAsia="宋体"/>
        </w:rPr>
        <w:t>【表单说明】</w:t>
      </w:r>
    </w:p>
    <w:p>
      <w:pPr>
        <w:pStyle w:val="7"/>
        <w:ind w:firstLineChars="200"/>
        <w:rPr>
          <w:rFonts w:ascii="宋体" w:hAnsi="宋体"/>
          <w:color w:val="000000"/>
        </w:rPr>
      </w:pPr>
      <w:r>
        <w:rPr>
          <w:rFonts w:hint="eastAsia" w:ascii="宋体" w:hAnsi="宋体"/>
          <w:color w:val="000000"/>
        </w:rPr>
        <w:t>本表适用于发生视同销售、房地产企业特定业务纳税调整项目的纳税人填报。纳税人根据税法、《国家税务总局关于企业处置资产所得税处理问题的通知》（</w:t>
      </w:r>
      <w:r>
        <w:rPr>
          <w:rFonts w:ascii="宋体" w:hAnsi="宋体"/>
          <w:color w:val="000000"/>
        </w:rPr>
        <w:t>国税函〔2008〕828号</w:t>
      </w:r>
      <w:r>
        <w:rPr>
          <w:rFonts w:hint="eastAsia" w:ascii="宋体" w:hAnsi="宋体"/>
          <w:color w:val="000000"/>
        </w:rPr>
        <w:t>）、</w:t>
      </w:r>
      <w:r>
        <w:rPr>
          <w:rFonts w:ascii="宋体" w:hAnsi="宋体"/>
          <w:color w:val="000000"/>
        </w:rPr>
        <w:t>《</w:t>
      </w:r>
      <w:r>
        <w:rPr>
          <w:rFonts w:hint="eastAsia" w:ascii="宋体" w:hAnsi="宋体"/>
          <w:color w:val="000000"/>
        </w:rPr>
        <w:t>国家税务总局关于印发〈房地产开发经营业务企业所得税处理办法〉的通知</w:t>
      </w:r>
      <w:r>
        <w:rPr>
          <w:rFonts w:ascii="宋体" w:hAnsi="宋体"/>
          <w:color w:val="000000"/>
        </w:rPr>
        <w:t>》</w:t>
      </w:r>
      <w:r>
        <w:rPr>
          <w:rFonts w:hint="eastAsia" w:ascii="宋体" w:hAnsi="宋体"/>
          <w:color w:val="000000"/>
        </w:rPr>
        <w:t>（国税发〔2009〕31号）、《国家税务总局关于企业所得税有关问题的公告》（国家税务总局公告2016年第80号）等相关规定，以及国家统一企业会计制度，填报视同销售行为、房地产企业销售未完工产品、未完工产品转完工产品特定业务的税收规定及纳税调整情况。</w:t>
      </w:r>
    </w:p>
    <w:p>
      <w:pPr>
        <w:pStyle w:val="7"/>
        <w:ind w:firstLineChars="200"/>
        <w:rPr>
          <w:rFonts w:ascii="宋体" w:hAnsi="宋体"/>
          <w:color w:val="000000"/>
        </w:rPr>
      </w:pPr>
      <w:r>
        <w:rPr>
          <w:rFonts w:hint="eastAsia" w:ascii="宋体" w:hAnsi="宋体"/>
          <w:color w:val="000000"/>
        </w:rPr>
        <w:t>一、有关项目填报说明</w:t>
      </w:r>
    </w:p>
    <w:p>
      <w:pPr>
        <w:pStyle w:val="7"/>
        <w:ind w:firstLineChars="200"/>
        <w:rPr>
          <w:rFonts w:ascii="宋体" w:hAnsi="宋体"/>
          <w:color w:val="000000"/>
        </w:rPr>
      </w:pPr>
      <w:r>
        <w:rPr>
          <w:rFonts w:hint="eastAsia" w:ascii="宋体" w:hAnsi="宋体"/>
          <w:color w:val="000000"/>
        </w:rPr>
        <w:t>1.第1行“一、视同销售收入”：填报会计处理不确认销售收入，而税收规定确认为应税收入的金额，本行为第2行至第10行小计数。第1列“税收金额”填报税收确认的应税收入金额；第2列“纳税调整金额”等于第1列“税收金额”。</w:t>
      </w:r>
    </w:p>
    <w:p>
      <w:pPr>
        <w:pStyle w:val="7"/>
        <w:ind w:firstLineChars="200"/>
        <w:rPr>
          <w:rFonts w:ascii="宋体" w:hAnsi="宋体"/>
          <w:color w:val="000000"/>
        </w:rPr>
      </w:pPr>
      <w:r>
        <w:rPr>
          <w:rFonts w:hint="eastAsia" w:ascii="宋体" w:hAnsi="宋体"/>
          <w:color w:val="000000"/>
        </w:rPr>
        <w:t>2.第2行“（一）非货币性资产交换视同销售收入”：填报发生非货币性资产交换业务，会计处理不确认销售收入，而税收规定确认为应税收入的金额。第1列“税收金额”填报税收确认的应税收入金额；第2列“纳税调整金额”等于第1列“税收金额”。</w:t>
      </w:r>
    </w:p>
    <w:p>
      <w:pPr>
        <w:pStyle w:val="7"/>
        <w:ind w:firstLineChars="200"/>
        <w:rPr>
          <w:rFonts w:ascii="宋体" w:hAnsi="宋体"/>
          <w:color w:val="000000"/>
        </w:rPr>
      </w:pPr>
      <w:r>
        <w:rPr>
          <w:rFonts w:hint="eastAsia" w:ascii="宋体" w:hAnsi="宋体"/>
          <w:color w:val="000000"/>
        </w:rPr>
        <w:t>3.第3行“（二）用于市场推广或销售视同销售收入”：填报发生将货物、财产用于市场推广、广告、样品、集资、销售等，会计处理不确认销售收入，而税收规定确认为应税收入的金额。填列方法同第2行。</w:t>
      </w:r>
    </w:p>
    <w:p>
      <w:pPr>
        <w:pStyle w:val="7"/>
        <w:ind w:firstLineChars="200"/>
        <w:rPr>
          <w:rFonts w:ascii="宋体" w:hAnsi="宋体"/>
          <w:color w:val="000000"/>
        </w:rPr>
      </w:pPr>
      <w:r>
        <w:rPr>
          <w:rFonts w:hint="eastAsia" w:ascii="宋体" w:hAnsi="宋体"/>
          <w:color w:val="000000"/>
        </w:rPr>
        <w:t>4.第4行“（三）用于交际应酬视同销售收入”：填报发生将货物、财产用于交际应酬，会计处理不确认销售收入，而税收规定确认为应税收入的金额。填列方法同第2行。</w:t>
      </w:r>
    </w:p>
    <w:p>
      <w:pPr>
        <w:pStyle w:val="7"/>
        <w:ind w:firstLineChars="200"/>
        <w:rPr>
          <w:rFonts w:ascii="宋体" w:hAnsi="宋体"/>
          <w:color w:val="000000"/>
        </w:rPr>
      </w:pPr>
      <w:r>
        <w:rPr>
          <w:rFonts w:hint="eastAsia" w:ascii="宋体" w:hAnsi="宋体"/>
          <w:color w:val="000000"/>
        </w:rPr>
        <w:t>5.第5行“（四）用于职工奖励或福利视同销售收入”：填报发生将货物、财产用于职工奖励或福利，会计处理不确认销售收入，而税收规定确认为应税收入的金额。企业外购资产或服务不以销售为目的，用于替代职工福利费用支出，且购置后在一个纳税年度内处置的，以公允价值确定视同销售收入。填列方法同第2行。</w:t>
      </w:r>
    </w:p>
    <w:p>
      <w:pPr>
        <w:pStyle w:val="7"/>
        <w:ind w:firstLineChars="200"/>
        <w:rPr>
          <w:rFonts w:ascii="宋体" w:hAnsi="宋体"/>
          <w:color w:val="000000"/>
        </w:rPr>
      </w:pPr>
      <w:r>
        <w:rPr>
          <w:rFonts w:hint="eastAsia" w:ascii="宋体" w:hAnsi="宋体"/>
          <w:color w:val="000000"/>
        </w:rPr>
        <w:t>6.第6行“（五）用于股息分配视同销售收入”：填报发生将货物、财产用于股息分配，会计处理不确认销售收入，而税收规定确认为应税收入的金额。填列方法同第2行。</w:t>
      </w:r>
    </w:p>
    <w:p>
      <w:pPr>
        <w:pStyle w:val="7"/>
        <w:ind w:firstLineChars="200"/>
        <w:rPr>
          <w:rFonts w:ascii="宋体" w:hAnsi="宋体"/>
          <w:color w:val="000000"/>
        </w:rPr>
      </w:pPr>
      <w:r>
        <w:rPr>
          <w:rFonts w:hint="eastAsia" w:ascii="宋体" w:hAnsi="宋体"/>
          <w:color w:val="000000"/>
        </w:rPr>
        <w:t>7.第7行“（六）用于对外捐赠视同销售收入”：填报发生将货物、财产用于对外捐赠或赞助，会计处理不确认销售收入，而税收规定确认为应税收入的金额。填列方法同第2行。</w:t>
      </w:r>
    </w:p>
    <w:p>
      <w:pPr>
        <w:pStyle w:val="7"/>
        <w:ind w:firstLineChars="200"/>
        <w:rPr>
          <w:rFonts w:ascii="宋体" w:hAnsi="宋体"/>
          <w:color w:val="000000"/>
        </w:rPr>
      </w:pPr>
      <w:r>
        <w:rPr>
          <w:rFonts w:hint="eastAsia" w:ascii="宋体" w:hAnsi="宋体"/>
          <w:color w:val="000000"/>
        </w:rPr>
        <w:t>8.第8行“（七）用于对外投资项目视同销售收入”：填报发生将货物、财产用于对外投资，会计处理不确认销售收入，而税收规定确认为应税收入的金额。填列方法同第2行。</w:t>
      </w:r>
    </w:p>
    <w:p>
      <w:pPr>
        <w:pStyle w:val="7"/>
        <w:ind w:firstLineChars="200"/>
        <w:rPr>
          <w:rFonts w:ascii="宋体" w:hAnsi="宋体"/>
          <w:color w:val="000000"/>
        </w:rPr>
      </w:pPr>
      <w:r>
        <w:rPr>
          <w:rFonts w:hint="eastAsia" w:ascii="宋体" w:hAnsi="宋体"/>
          <w:color w:val="000000"/>
        </w:rPr>
        <w:t>9.第9行“（八）提供劳务视同销售收入”：填报发生对外提供劳务，会计处理不确认销售收入，而税收规定确认为应税收入的金额。填列方法同第2行。</w:t>
      </w:r>
    </w:p>
    <w:p>
      <w:pPr>
        <w:pStyle w:val="7"/>
        <w:ind w:firstLineChars="200"/>
        <w:rPr>
          <w:rFonts w:ascii="宋体" w:hAnsi="宋体"/>
          <w:color w:val="000000"/>
        </w:rPr>
      </w:pPr>
      <w:r>
        <w:rPr>
          <w:rFonts w:hint="eastAsia" w:ascii="宋体" w:hAnsi="宋体"/>
          <w:color w:val="000000"/>
        </w:rPr>
        <w:t>10.第10行“（九）其他”：填报发生除上述列举情形外，会计处理不作为销售收入核算，而税收规定确认为应税收入的金额。填列方法同第2行。</w:t>
      </w:r>
    </w:p>
    <w:p>
      <w:pPr>
        <w:pStyle w:val="7"/>
        <w:ind w:firstLineChars="200"/>
        <w:rPr>
          <w:rFonts w:ascii="宋体" w:hAnsi="宋体"/>
          <w:color w:val="000000"/>
        </w:rPr>
      </w:pPr>
      <w:r>
        <w:rPr>
          <w:rFonts w:hint="eastAsia" w:ascii="宋体" w:hAnsi="宋体"/>
          <w:color w:val="000000"/>
        </w:rPr>
        <w:t>11.第11行“一、视同销售成本”：填报会计处理不确认销售收入，税收规定确认为应税收入对应的视同销售成本金额。本行为第12行至第20行小计数。第1列“税收金额”填报予以税前扣除的视同销售成本金额；将第1列税收金额以负数形式填报第2列“纳税调整金额”。</w:t>
      </w:r>
    </w:p>
    <w:p>
      <w:pPr>
        <w:pStyle w:val="7"/>
        <w:ind w:firstLineChars="200"/>
        <w:rPr>
          <w:rFonts w:ascii="宋体" w:hAnsi="宋体"/>
          <w:color w:val="000000"/>
        </w:rPr>
      </w:pPr>
      <w:r>
        <w:rPr>
          <w:rFonts w:hint="eastAsia" w:ascii="宋体" w:hAnsi="宋体"/>
          <w:color w:val="000000"/>
        </w:rPr>
        <w:t>12.第12行“（一）非货币性资产交换视同销售成本”：填报发生非货币性资产交换业务，会计处理不确认销售收入，税收规定确认为应税收入所对应的应予以税前扣除的视同销售成本金额。第1列“税收金额”填报予以扣除的视同销售成本金额；将第1列税收金额以负数形式填报第2列“纳税调整金额”。</w:t>
      </w:r>
    </w:p>
    <w:p>
      <w:pPr>
        <w:pStyle w:val="7"/>
        <w:ind w:firstLineChars="200"/>
        <w:rPr>
          <w:rFonts w:ascii="宋体" w:hAnsi="宋体"/>
          <w:color w:val="000000"/>
        </w:rPr>
      </w:pPr>
      <w:r>
        <w:rPr>
          <w:rFonts w:hint="eastAsia" w:ascii="宋体" w:hAnsi="宋体"/>
          <w:color w:val="000000"/>
        </w:rPr>
        <w:t>13.第13行“（二）用于市场推广或销售视同销售成本”：填报发生将货物、财产用于市场推广、广告、样品、集资、销售等，会计处理不确认销售收入，税收规定确认为应税收入时，其对应的应予以税前扣除的视同销售成本金额。填列方法同第12行。</w:t>
      </w:r>
    </w:p>
    <w:p>
      <w:pPr>
        <w:pStyle w:val="7"/>
        <w:ind w:firstLineChars="200"/>
        <w:rPr>
          <w:rFonts w:ascii="宋体" w:hAnsi="宋体"/>
          <w:color w:val="000000"/>
        </w:rPr>
      </w:pPr>
      <w:r>
        <w:rPr>
          <w:rFonts w:hint="eastAsia" w:ascii="宋体" w:hAnsi="宋体"/>
          <w:color w:val="000000"/>
        </w:rPr>
        <w:t>14.第14行“（三）用于交际应酬视同销售成本”：填报发生将货物、财产用于交际应酬，会计处理不确认销售收入，税收规定确认为应税收入时，其对应的应予以税前扣除的视同销售成本金额。填列方法同第12行。</w:t>
      </w:r>
    </w:p>
    <w:p>
      <w:pPr>
        <w:pStyle w:val="7"/>
        <w:ind w:firstLineChars="200"/>
        <w:rPr>
          <w:rFonts w:ascii="宋体" w:hAnsi="宋体"/>
          <w:color w:val="000000"/>
        </w:rPr>
      </w:pPr>
      <w:r>
        <w:rPr>
          <w:rFonts w:hint="eastAsia" w:ascii="宋体" w:hAnsi="宋体"/>
          <w:color w:val="000000"/>
        </w:rPr>
        <w:t>15.第15行“（四）用于职工奖励或福利视同销售成本”：填报发生将货物、财产用于职工奖励或福利，会计处理不确认销售收入，税收规定确认为应税收入时，其对应的应予以税前扣除的视同销售成本金额。填列方法同第12行。</w:t>
      </w:r>
    </w:p>
    <w:p>
      <w:pPr>
        <w:pStyle w:val="7"/>
        <w:ind w:firstLineChars="200"/>
        <w:rPr>
          <w:rFonts w:ascii="宋体" w:hAnsi="宋体"/>
          <w:color w:val="000000"/>
        </w:rPr>
      </w:pPr>
      <w:r>
        <w:rPr>
          <w:rFonts w:hint="eastAsia" w:ascii="宋体" w:hAnsi="宋体"/>
          <w:color w:val="000000"/>
        </w:rPr>
        <w:t>16.第16行“（五）用于股息分配视同销售成本”：填报发生将货物、财产用于股息分配，会计处理不确认销售收入，税收规定确认为应税收入时，其对应的应予以税前扣除的视同销售成本金额。填列方法同第12行。</w:t>
      </w:r>
    </w:p>
    <w:p>
      <w:pPr>
        <w:pStyle w:val="7"/>
        <w:ind w:firstLineChars="200"/>
        <w:rPr>
          <w:rFonts w:ascii="宋体" w:hAnsi="宋体"/>
          <w:color w:val="000000"/>
        </w:rPr>
      </w:pPr>
      <w:r>
        <w:rPr>
          <w:rFonts w:hint="eastAsia" w:ascii="宋体" w:hAnsi="宋体"/>
          <w:color w:val="000000"/>
        </w:rPr>
        <w:t>17.第17行“（六）用于对外捐赠视同销售成本”：填报发生将货物、财产用于对外捐赠或赞助，会计处理不确认销售收入，税收规定确认为应税收入时，其对应的应予以税前扣除的视同销售成本金额。填列方法同第12行。</w:t>
      </w:r>
    </w:p>
    <w:p>
      <w:pPr>
        <w:pStyle w:val="7"/>
        <w:ind w:firstLineChars="200"/>
        <w:rPr>
          <w:rFonts w:ascii="宋体" w:hAnsi="宋体"/>
          <w:color w:val="000000"/>
        </w:rPr>
      </w:pPr>
      <w:r>
        <w:rPr>
          <w:rFonts w:hint="eastAsia" w:ascii="宋体" w:hAnsi="宋体"/>
          <w:color w:val="000000"/>
        </w:rPr>
        <w:t>18.第18行“（七）用于对外投资项目视同销售成本”：填报会计处理发生将货物、财产用于对外投资，会计处理不确认销售收入，税收规定确认为应税收入时，其对应的应予以税前扣除的视同销售成本金额。填列方法同第12行。</w:t>
      </w:r>
    </w:p>
    <w:p>
      <w:pPr>
        <w:pStyle w:val="7"/>
        <w:ind w:firstLineChars="200"/>
        <w:rPr>
          <w:rFonts w:ascii="宋体" w:hAnsi="宋体"/>
          <w:color w:val="000000"/>
        </w:rPr>
      </w:pPr>
      <w:r>
        <w:rPr>
          <w:rFonts w:hint="eastAsia" w:ascii="宋体" w:hAnsi="宋体"/>
          <w:color w:val="000000"/>
        </w:rPr>
        <w:t>19.第19行“（八）提供劳务视同销售成本”：填报会计处理发生对外提供劳务，会计处理不确认销售收入，税收规定确认为应税收入时，其对应的应予以税前扣除视同销售成本金额。填列方法同第12行。</w:t>
      </w:r>
    </w:p>
    <w:p>
      <w:pPr>
        <w:pStyle w:val="7"/>
        <w:ind w:firstLineChars="200"/>
        <w:rPr>
          <w:rFonts w:ascii="宋体" w:hAnsi="宋体"/>
          <w:color w:val="000000"/>
        </w:rPr>
      </w:pPr>
      <w:r>
        <w:rPr>
          <w:rFonts w:hint="eastAsia" w:ascii="宋体" w:hAnsi="宋体"/>
          <w:color w:val="000000"/>
        </w:rPr>
        <w:t>20.第20行“（九）其他”：填报发生除上述列举情形外，会计处理不确认销售收入，税收规定确认为应税收入的同时，予以税前扣除视同销售成本金额。填列方法同第12行。</w:t>
      </w:r>
    </w:p>
    <w:p>
      <w:pPr>
        <w:pStyle w:val="7"/>
        <w:ind w:firstLineChars="200"/>
        <w:rPr>
          <w:rFonts w:ascii="宋体" w:hAnsi="宋体"/>
          <w:color w:val="000000"/>
        </w:rPr>
      </w:pPr>
      <w:r>
        <w:rPr>
          <w:rFonts w:hint="eastAsia" w:ascii="宋体" w:hAnsi="宋体"/>
          <w:color w:val="000000"/>
        </w:rPr>
        <w:t>21.第21行“三、房地产开发企业特定业务计算的纳税调整额”：填报房地产企业发生销售未完工产品、未完工产品结转完工产品业务，按照税收规定计算的特定业务的纳税调整额。第1列“税收金额”填报第22行第1列减去第26行第1列的余额；第2列“纳税调整金额”等于第1列“税收金额”。</w:t>
      </w:r>
    </w:p>
    <w:p>
      <w:pPr>
        <w:pStyle w:val="7"/>
        <w:ind w:firstLineChars="200"/>
        <w:rPr>
          <w:rFonts w:ascii="宋体" w:hAnsi="宋体"/>
          <w:color w:val="000000"/>
        </w:rPr>
      </w:pPr>
      <w:r>
        <w:rPr>
          <w:rFonts w:hint="eastAsia" w:ascii="宋体" w:hAnsi="宋体"/>
          <w:color w:val="000000"/>
        </w:rPr>
        <w:t>22.第22行“（一）房地产企业销售未完工开发产品特定业务计算的纳税调整额”：填报房地产企业销售未完工开发产品取得销售收入，按税收规定计算的纳税调整额。第1列“税收金额”填报第24行第1列减去第25行第1列的余额；第2列“纳税调整金额”等于第1列“税收金额”。</w:t>
      </w:r>
    </w:p>
    <w:p>
      <w:pPr>
        <w:pStyle w:val="7"/>
        <w:ind w:firstLineChars="200"/>
        <w:rPr>
          <w:rFonts w:ascii="宋体" w:hAnsi="宋体"/>
          <w:color w:val="000000"/>
        </w:rPr>
      </w:pPr>
      <w:r>
        <w:rPr>
          <w:rFonts w:hint="eastAsia" w:ascii="宋体" w:hAnsi="宋体"/>
          <w:color w:val="000000"/>
        </w:rPr>
        <w:t>23.第23行“1.销售未完工产品的收入”：第1列“税收金额”填报房地产企业销售未完工开发产品，会计核算未进行收入确认的销售收入金额。</w:t>
      </w:r>
    </w:p>
    <w:p>
      <w:pPr>
        <w:pStyle w:val="7"/>
        <w:ind w:firstLineChars="200"/>
        <w:rPr>
          <w:rFonts w:ascii="宋体" w:hAnsi="宋体"/>
          <w:color w:val="000000"/>
        </w:rPr>
      </w:pPr>
      <w:r>
        <w:rPr>
          <w:rFonts w:hint="eastAsia" w:ascii="宋体" w:hAnsi="宋体"/>
          <w:color w:val="000000"/>
        </w:rPr>
        <w:t>24.第24行“2.销售未完工产品预计毛利额”：第1列“税收金额”填报房地产企业销售未完工产品取得的销售收入按税收规定预计计税毛利率计算的金额；第2列“纳税调整金额”等于第1列“税收金额”。</w:t>
      </w:r>
    </w:p>
    <w:p>
      <w:pPr>
        <w:pStyle w:val="7"/>
        <w:ind w:firstLineChars="200"/>
        <w:rPr>
          <w:rFonts w:ascii="宋体" w:hAnsi="宋体"/>
          <w:color w:val="000000"/>
        </w:rPr>
      </w:pPr>
      <w:r>
        <w:rPr>
          <w:rFonts w:hint="eastAsia" w:ascii="宋体" w:hAnsi="宋体"/>
          <w:color w:val="000000"/>
        </w:rPr>
        <w:t>25.第25行“3.实际发生的税金及附加、土地增值税”：第1列“税收金额”填报房地产企业销售未完工产品实际发生的税金及附加、土地增值税，且在会计核算中未计入当期损益的金额；第2列“纳税调整金额”等于第1列“税收金额”。</w:t>
      </w:r>
    </w:p>
    <w:p>
      <w:pPr>
        <w:pStyle w:val="7"/>
        <w:ind w:firstLineChars="200"/>
        <w:rPr>
          <w:rFonts w:ascii="宋体" w:hAnsi="宋体"/>
          <w:color w:val="000000"/>
        </w:rPr>
      </w:pPr>
      <w:r>
        <w:rPr>
          <w:rFonts w:hint="eastAsia" w:ascii="宋体" w:hAnsi="宋体"/>
          <w:color w:val="000000"/>
        </w:rPr>
        <w:t>26.第26行“（二）房地产企业销售的未完工产品转完工产品特定业务计算的纳税调整额”：填报房地产企业销售的未完工产品转完工产品，按税收规定计算的纳税调整额。第1列“税收金额”填报第28行第1列减去第29行第1列的余额；第2列“纳税调整金额”等于第1列“税收金额”。</w:t>
      </w:r>
    </w:p>
    <w:p>
      <w:pPr>
        <w:pStyle w:val="7"/>
        <w:ind w:firstLineChars="200"/>
        <w:rPr>
          <w:rFonts w:ascii="宋体" w:hAnsi="宋体"/>
          <w:color w:val="000000"/>
        </w:rPr>
      </w:pPr>
      <w:r>
        <w:rPr>
          <w:rFonts w:hint="eastAsia" w:ascii="宋体" w:hAnsi="宋体"/>
          <w:color w:val="000000"/>
        </w:rPr>
        <w:t>27.第27行“1.销售未完工产品转完工产品确认的销售收入”：第1列“税收金额”填报房地产企业销售的未完工产品，此前年度已按预计毛利额征收所得税，本年度结转为完工产品，会计上符合收入确认条件，当年会计核算确认的销售收入金额。</w:t>
      </w:r>
    </w:p>
    <w:p>
      <w:pPr>
        <w:pStyle w:val="7"/>
        <w:ind w:firstLineChars="200"/>
        <w:rPr>
          <w:rFonts w:ascii="宋体" w:hAnsi="宋体"/>
          <w:color w:val="000000"/>
        </w:rPr>
      </w:pPr>
      <w:r>
        <w:rPr>
          <w:rFonts w:hint="eastAsia" w:ascii="宋体" w:hAnsi="宋体"/>
          <w:color w:val="000000"/>
        </w:rPr>
        <w:t>28.第28行“2.转回的销售未完工产品预计毛利额”：第1列“税收金额”填报房地产企业销售的未完工产品，此前年度已按预计毛利额征收所得税，本年结转完工产品，会计核算确认为销售收入，转回原按税收规定预计计税毛利率计算的金额；第2列“纳税调整金额”等于第1列“税收金额”。</w:t>
      </w:r>
    </w:p>
    <w:p>
      <w:pPr>
        <w:pStyle w:val="7"/>
        <w:ind w:firstLineChars="200"/>
        <w:rPr>
          <w:rFonts w:ascii="宋体" w:hAnsi="宋体"/>
          <w:color w:val="000000"/>
        </w:rPr>
      </w:pPr>
      <w:r>
        <w:rPr>
          <w:rFonts w:hint="eastAsia" w:ascii="宋体" w:hAnsi="宋体"/>
          <w:color w:val="000000"/>
        </w:rPr>
        <w:t>29.第29行“3.转回实际发生的税金及附加、土地增值税”：填报房地产企业销售的未完工产品结转完工产品后，会计核算确认为销售收入，同时将对应实际发生的税金及附加、土地增值税转入当期损益的金额；第2列“纳税调整金额”等于第1列“税收金额”。</w:t>
      </w:r>
    </w:p>
    <w:p>
      <w:pPr>
        <w:pStyle w:val="7"/>
        <w:ind w:firstLineChars="200"/>
        <w:rPr>
          <w:rFonts w:ascii="宋体" w:hAnsi="宋体"/>
          <w:color w:val="000000"/>
        </w:rPr>
      </w:pPr>
      <w:r>
        <w:rPr>
          <w:rFonts w:hint="eastAsia" w:ascii="宋体" w:hAnsi="宋体"/>
          <w:color w:val="000000"/>
        </w:rPr>
        <w:t>二、表内、表间关系</w:t>
      </w:r>
    </w:p>
    <w:p>
      <w:pPr>
        <w:pStyle w:val="7"/>
        <w:ind w:firstLineChars="200"/>
        <w:rPr>
          <w:rFonts w:ascii="宋体" w:hAnsi="宋体"/>
          <w:color w:val="000000"/>
        </w:rPr>
      </w:pPr>
      <w:r>
        <w:rPr>
          <w:rFonts w:hint="eastAsia" w:ascii="宋体" w:hAnsi="宋体"/>
          <w:color w:val="000000"/>
        </w:rPr>
        <w:t>（一）表内关系</w:t>
      </w:r>
    </w:p>
    <w:p>
      <w:pPr>
        <w:pStyle w:val="7"/>
        <w:ind w:firstLineChars="200"/>
        <w:rPr>
          <w:rFonts w:ascii="宋体" w:hAnsi="宋体"/>
          <w:color w:val="000000"/>
        </w:rPr>
      </w:pPr>
      <w:r>
        <w:rPr>
          <w:rFonts w:hint="eastAsia" w:ascii="宋体" w:hAnsi="宋体"/>
          <w:color w:val="000000"/>
        </w:rPr>
        <w:t>1.第1行＝第2+3+</w:t>
      </w:r>
      <w:r>
        <w:rPr>
          <w:rFonts w:ascii="宋体" w:hAnsi="宋体"/>
          <w:color w:val="000000"/>
        </w:rPr>
        <w:t>…</w:t>
      </w:r>
      <w:r>
        <w:rPr>
          <w:rFonts w:hint="eastAsia" w:ascii="宋体" w:hAnsi="宋体"/>
          <w:color w:val="000000"/>
        </w:rPr>
        <w:t>+10行。</w:t>
      </w:r>
    </w:p>
    <w:p>
      <w:pPr>
        <w:pStyle w:val="7"/>
        <w:ind w:firstLineChars="200"/>
        <w:rPr>
          <w:rFonts w:ascii="宋体" w:hAnsi="宋体"/>
          <w:color w:val="000000"/>
        </w:rPr>
      </w:pPr>
      <w:r>
        <w:rPr>
          <w:rFonts w:hint="eastAsia" w:ascii="宋体" w:hAnsi="宋体"/>
          <w:color w:val="000000"/>
        </w:rPr>
        <w:t>2.第11行＝第12+13+</w:t>
      </w:r>
      <w:r>
        <w:rPr>
          <w:rFonts w:ascii="宋体" w:hAnsi="宋体"/>
          <w:color w:val="000000"/>
        </w:rPr>
        <w:t>…</w:t>
      </w:r>
      <w:r>
        <w:rPr>
          <w:rFonts w:hint="eastAsia" w:ascii="宋体" w:hAnsi="宋体"/>
          <w:color w:val="000000"/>
        </w:rPr>
        <w:t>+20行。</w:t>
      </w:r>
    </w:p>
    <w:p>
      <w:pPr>
        <w:pStyle w:val="7"/>
        <w:ind w:firstLineChars="200"/>
        <w:rPr>
          <w:rFonts w:ascii="宋体" w:hAnsi="宋体"/>
          <w:color w:val="000000"/>
        </w:rPr>
      </w:pPr>
      <w:r>
        <w:rPr>
          <w:rFonts w:hint="eastAsia" w:ascii="宋体" w:hAnsi="宋体"/>
          <w:color w:val="000000"/>
        </w:rPr>
        <w:t>3.第21行＝第22-26行。</w:t>
      </w:r>
    </w:p>
    <w:p>
      <w:pPr>
        <w:pStyle w:val="7"/>
        <w:ind w:firstLineChars="200"/>
        <w:rPr>
          <w:rFonts w:ascii="宋体" w:hAnsi="宋体"/>
          <w:color w:val="000000"/>
        </w:rPr>
      </w:pPr>
      <w:r>
        <w:rPr>
          <w:rFonts w:hint="eastAsia" w:ascii="宋体" w:hAnsi="宋体"/>
          <w:color w:val="000000"/>
        </w:rPr>
        <w:t>4.第22行＝第24-25行。</w:t>
      </w:r>
    </w:p>
    <w:p>
      <w:pPr>
        <w:pStyle w:val="7"/>
        <w:ind w:firstLineChars="200"/>
        <w:rPr>
          <w:rFonts w:ascii="宋体" w:hAnsi="宋体"/>
          <w:color w:val="000000"/>
        </w:rPr>
      </w:pPr>
      <w:r>
        <w:rPr>
          <w:rFonts w:hint="eastAsia" w:ascii="宋体" w:hAnsi="宋体"/>
          <w:color w:val="000000"/>
        </w:rPr>
        <w:t>5.第26行＝第28-29行。</w:t>
      </w:r>
    </w:p>
    <w:p>
      <w:pPr>
        <w:pStyle w:val="7"/>
        <w:ind w:firstLineChars="200"/>
        <w:rPr>
          <w:rFonts w:ascii="宋体" w:hAnsi="宋体"/>
          <w:color w:val="000000"/>
        </w:rPr>
      </w:pPr>
      <w:r>
        <w:rPr>
          <w:rFonts w:hint="eastAsia" w:ascii="宋体" w:hAnsi="宋体"/>
          <w:color w:val="000000"/>
        </w:rPr>
        <w:t>（二）表间关系</w:t>
      </w:r>
    </w:p>
    <w:p>
      <w:pPr>
        <w:pStyle w:val="7"/>
        <w:ind w:firstLineChars="200"/>
        <w:rPr>
          <w:rFonts w:ascii="宋体" w:hAnsi="宋体"/>
          <w:color w:val="000000"/>
        </w:rPr>
      </w:pPr>
      <w:r>
        <w:rPr>
          <w:rFonts w:hint="eastAsia" w:ascii="宋体" w:hAnsi="宋体"/>
          <w:color w:val="000000"/>
        </w:rPr>
        <w:t>1.第1行第1列＝表A105000第2行第2列。</w:t>
      </w:r>
    </w:p>
    <w:p>
      <w:pPr>
        <w:pStyle w:val="7"/>
        <w:ind w:firstLineChars="200"/>
        <w:rPr>
          <w:rFonts w:ascii="宋体" w:hAnsi="宋体"/>
          <w:color w:val="000000"/>
        </w:rPr>
      </w:pPr>
      <w:r>
        <w:rPr>
          <w:rFonts w:hint="eastAsia" w:ascii="宋体" w:hAnsi="宋体"/>
          <w:color w:val="000000"/>
        </w:rPr>
        <w:t>2.第1行第2列＝表A105000第2行第3列。</w:t>
      </w:r>
    </w:p>
    <w:p>
      <w:pPr>
        <w:pStyle w:val="7"/>
        <w:ind w:firstLineChars="200"/>
        <w:rPr>
          <w:rFonts w:ascii="宋体" w:hAnsi="宋体"/>
          <w:color w:val="000000"/>
        </w:rPr>
      </w:pPr>
      <w:r>
        <w:rPr>
          <w:rFonts w:hint="eastAsia" w:ascii="宋体" w:hAnsi="宋体"/>
          <w:color w:val="000000"/>
        </w:rPr>
        <w:t>3.第11行第1列＝表A105000第13行第2列。</w:t>
      </w:r>
    </w:p>
    <w:p>
      <w:pPr>
        <w:pStyle w:val="7"/>
        <w:ind w:firstLineChars="200"/>
        <w:rPr>
          <w:rFonts w:ascii="宋体" w:hAnsi="宋体"/>
          <w:color w:val="000000"/>
        </w:rPr>
      </w:pPr>
      <w:r>
        <w:rPr>
          <w:rFonts w:hint="eastAsia" w:ascii="宋体" w:hAnsi="宋体"/>
          <w:color w:val="000000"/>
        </w:rPr>
        <w:t>4.第11行第2列的绝对值＝表A105000第13行第4列。</w:t>
      </w:r>
    </w:p>
    <w:p>
      <w:pPr>
        <w:pStyle w:val="7"/>
        <w:ind w:firstLineChars="200"/>
        <w:rPr>
          <w:rFonts w:ascii="宋体" w:hAnsi="宋体"/>
          <w:color w:val="000000"/>
        </w:rPr>
      </w:pPr>
      <w:r>
        <w:rPr>
          <w:rFonts w:hint="eastAsia" w:ascii="宋体" w:hAnsi="宋体"/>
          <w:color w:val="000000"/>
        </w:rPr>
        <w:t>5.第21行第1列＝表A105000第</w:t>
      </w:r>
      <w:r>
        <w:rPr>
          <w:rFonts w:ascii="宋体" w:hAnsi="宋体"/>
          <w:color w:val="000000"/>
        </w:rPr>
        <w:t>40</w:t>
      </w:r>
      <w:r>
        <w:rPr>
          <w:rFonts w:hint="eastAsia" w:ascii="宋体" w:hAnsi="宋体"/>
          <w:color w:val="000000"/>
        </w:rPr>
        <w:t>行第2列。</w:t>
      </w:r>
    </w:p>
    <w:p>
      <w:pPr>
        <w:pStyle w:val="7"/>
        <w:ind w:firstLineChars="200"/>
        <w:rPr>
          <w:rFonts w:ascii="宋体" w:hAnsi="宋体"/>
          <w:color w:val="000000"/>
        </w:rPr>
        <w:sectPr>
          <w:pgSz w:w="11906" w:h="16838"/>
          <w:pgMar w:top="1440" w:right="1800" w:bottom="1440" w:left="1800" w:header="851" w:footer="992" w:gutter="0"/>
          <w:cols w:space="720" w:num="1"/>
          <w:docGrid w:type="lines" w:linePitch="312" w:charSpace="0"/>
        </w:sectPr>
      </w:pPr>
      <w:r>
        <w:rPr>
          <w:rFonts w:hint="eastAsia" w:ascii="宋体" w:hAnsi="宋体"/>
          <w:color w:val="000000"/>
        </w:rPr>
        <w:t>6.若第21行第2列≥0，第21行第2列=表A105000第</w:t>
      </w:r>
      <w:r>
        <w:rPr>
          <w:rFonts w:ascii="宋体" w:hAnsi="宋体"/>
          <w:color w:val="000000"/>
        </w:rPr>
        <w:t>40</w:t>
      </w:r>
      <w:r>
        <w:rPr>
          <w:rFonts w:hint="eastAsia" w:ascii="宋体" w:hAnsi="宋体"/>
          <w:color w:val="000000"/>
        </w:rPr>
        <w:t>行第3列；若第21行第2列＜0，第21行第2列的绝对值＝表A105000第</w:t>
      </w:r>
      <w:r>
        <w:rPr>
          <w:rFonts w:ascii="宋体" w:hAnsi="宋体"/>
          <w:color w:val="000000"/>
        </w:rPr>
        <w:t>40</w:t>
      </w:r>
      <w:r>
        <w:rPr>
          <w:rFonts w:hint="eastAsia" w:ascii="宋体" w:hAnsi="宋体"/>
          <w:color w:val="000000"/>
        </w:rPr>
        <w:t>行第4列。</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24188A"/>
    <w:rsid w:val="2D241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标题 2_0"/>
    <w:basedOn w:val="1"/>
    <w:next w:val="1"/>
    <w:qFormat/>
    <w:uiPriority w:val="0"/>
    <w:pPr>
      <w:keepNext/>
      <w:keepLines/>
      <w:spacing w:before="260" w:after="260" w:line="416" w:lineRule="auto"/>
      <w:outlineLvl w:val="1"/>
    </w:pPr>
    <w:rPr>
      <w:rFonts w:ascii="Arial" w:hAnsi="Arial" w:eastAsia="黑体"/>
      <w:b/>
      <w:bCs/>
      <w:sz w:val="32"/>
      <w:szCs w:val="32"/>
    </w:rPr>
  </w:style>
  <w:style w:type="paragraph" w:customStyle="1" w:styleId="5">
    <w:name w:val="一级标题_0"/>
    <w:basedOn w:val="1"/>
    <w:qFormat/>
    <w:uiPriority w:val="0"/>
    <w:pPr>
      <w:widowControl/>
      <w:ind w:firstLine="420"/>
      <w:jc w:val="left"/>
      <w:outlineLvl w:val="2"/>
    </w:pPr>
    <w:rPr>
      <w:rFonts w:ascii="Arial" w:hAnsi="Arial" w:eastAsia="Times New Roman" w:cs="Arial"/>
      <w:b/>
      <w:kern w:val="0"/>
      <w:sz w:val="24"/>
      <w:szCs w:val="24"/>
    </w:rPr>
  </w:style>
  <w:style w:type="paragraph" w:customStyle="1" w:styleId="6">
    <w:name w:val="二级标题_0"/>
    <w:basedOn w:val="1"/>
    <w:qFormat/>
    <w:uiPriority w:val="0"/>
    <w:pPr>
      <w:widowControl/>
      <w:ind w:firstLine="420"/>
      <w:jc w:val="left"/>
      <w:outlineLvl w:val="3"/>
    </w:pPr>
    <w:rPr>
      <w:rFonts w:ascii="Arial" w:hAnsi="Arial" w:eastAsia="Times New Roman" w:cs="Arial"/>
      <w:kern w:val="0"/>
      <w:sz w:val="24"/>
      <w:szCs w:val="24"/>
    </w:rPr>
  </w:style>
  <w:style w:type="paragraph" w:customStyle="1" w:styleId="7">
    <w:name w:val="需求正文_0"/>
    <w:basedOn w:val="1"/>
    <w:qFormat/>
    <w:uiPriority w:val="0"/>
    <w:pPr>
      <w:widowControl/>
      <w:ind w:firstLine="420"/>
      <w:jc w:val="left"/>
    </w:pPr>
    <w:rPr>
      <w:rFonts w:ascii="Arial" w:hAnsi="Arial"/>
      <w:szCs w:val="24"/>
    </w:rPr>
  </w:style>
  <w:style w:type="paragraph" w:customStyle="1" w:styleId="8">
    <w:name w:val="正文_0_0_0_0_0_0_0_0_0_0_0_0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
    <w:name w:val="正文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2019-10-31T01:39:00Z</dcterms:created>
  <dc:creator>陈莉佳</dc:creator>
  <cp:lastModifiedBy>陈莉佳</cp:lastModifiedBy>
  <dcterms:modified xsi:type="dcterms:W3CDTF">2019-10-31T01:39:53Z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