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bookmarkStart w:id="0" w:name="_Toc413511860"/>
      <w:r>
        <w:rPr>
          <w:rFonts w:hint="eastAsia" w:ascii="宋体" w:hAnsi="宋体" w:eastAsia="宋体"/>
        </w:rPr>
        <w:t>A06216《剩余财产计算和分配明细表》</w:t>
      </w:r>
      <w:bookmarkEnd w:id="0"/>
    </w:p>
    <w:p>
      <w:pPr>
        <w:pStyle w:val="8"/>
        <w:jc w:val="center"/>
        <w:rPr>
          <w:color w:val="000000"/>
          <w:sz w:val="28"/>
          <w:szCs w:val="28"/>
        </w:rPr>
      </w:pPr>
      <w:bookmarkStart w:id="1" w:name="_GoBack"/>
      <w:bookmarkEnd w:id="1"/>
      <w:r>
        <w:rPr>
          <w:rFonts w:hint="eastAsia"/>
          <w:b/>
          <w:color w:val="000000"/>
          <w:sz w:val="28"/>
          <w:szCs w:val="28"/>
        </w:rPr>
        <w:t>剩余财产计算和分配明细表</w:t>
      </w:r>
    </w:p>
    <w:p>
      <w:pPr>
        <w:pStyle w:val="9"/>
        <w:spacing w:line="360" w:lineRule="auto"/>
        <w:rPr>
          <w:color w:val="000000"/>
        </w:rPr>
      </w:pPr>
      <w:r>
        <w:rPr>
          <w:rFonts w:hint="eastAsia" w:ascii="宋体" w:hAnsi="宋体"/>
          <w:color w:val="000000"/>
        </w:rPr>
        <w:t>填报时间：</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r>
        <w:rPr>
          <w:color w:val="000000"/>
        </w:rPr>
        <w:t xml:space="preserve">                          </w:t>
      </w:r>
      <w:r>
        <w:rPr>
          <w:rFonts w:hint="eastAsia" w:ascii="宋体" w:hAnsi="宋体"/>
          <w:color w:val="000000"/>
        </w:rPr>
        <w:t>金额单位：元（列至角分）</w:t>
      </w:r>
    </w:p>
    <w:tbl>
      <w:tblPr>
        <w:tblStyle w:val="2"/>
        <w:tblW w:w="8522" w:type="dxa"/>
        <w:tblInd w:w="0" w:type="dxa"/>
        <w:tblLayout w:type="fixed"/>
        <w:tblCellMar>
          <w:top w:w="0" w:type="dxa"/>
          <w:left w:w="0" w:type="dxa"/>
          <w:bottom w:w="0" w:type="dxa"/>
          <w:right w:w="0" w:type="dxa"/>
        </w:tblCellMar>
      </w:tblPr>
      <w:tblGrid>
        <w:gridCol w:w="1095"/>
        <w:gridCol w:w="510"/>
        <w:gridCol w:w="802"/>
        <w:gridCol w:w="2536"/>
        <w:gridCol w:w="656"/>
        <w:gridCol w:w="1242"/>
        <w:gridCol w:w="1681"/>
      </w:tblGrid>
      <w:tr>
        <w:tblPrEx>
          <w:tblLayout w:type="fixed"/>
          <w:tblCellMar>
            <w:top w:w="0" w:type="dxa"/>
            <w:left w:w="0" w:type="dxa"/>
            <w:bottom w:w="0" w:type="dxa"/>
            <w:right w:w="0" w:type="dxa"/>
          </w:tblCellMar>
        </w:tblPrEx>
        <w:trPr>
          <w:trHeight w:val="449" w:hRule="atLeast"/>
        </w:trPr>
        <w:tc>
          <w:tcPr>
            <w:tcW w:w="10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b/>
                <w:bCs/>
                <w:color w:val="000000"/>
                <w:szCs w:val="21"/>
              </w:rPr>
              <w:t>类别</w:t>
            </w:r>
          </w:p>
        </w:tc>
        <w:tc>
          <w:tcPr>
            <w:tcW w:w="5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b/>
                <w:bCs/>
                <w:color w:val="000000"/>
                <w:szCs w:val="21"/>
              </w:rPr>
              <w:t>行次</w:t>
            </w:r>
          </w:p>
        </w:tc>
        <w:tc>
          <w:tcPr>
            <w:tcW w:w="3994"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b/>
                <w:bCs/>
                <w:color w:val="000000"/>
                <w:szCs w:val="21"/>
              </w:rPr>
              <w:t>项目</w:t>
            </w:r>
          </w:p>
        </w:tc>
        <w:tc>
          <w:tcPr>
            <w:tcW w:w="292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b/>
                <w:bCs/>
                <w:color w:val="000000"/>
                <w:szCs w:val="21"/>
              </w:rPr>
              <w:t>金额</w:t>
            </w:r>
          </w:p>
        </w:tc>
      </w:tr>
      <w:tr>
        <w:tblPrEx>
          <w:tblLayout w:type="fixed"/>
          <w:tblCellMar>
            <w:top w:w="0" w:type="dxa"/>
            <w:left w:w="0" w:type="dxa"/>
            <w:bottom w:w="0" w:type="dxa"/>
            <w:right w:w="0" w:type="dxa"/>
          </w:tblCellMar>
        </w:tblPrEx>
        <w:tc>
          <w:tcPr>
            <w:tcW w:w="1095"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p>
            <w:pPr>
              <w:pStyle w:val="9"/>
              <w:widowControl w:val="0"/>
              <w:jc w:val="both"/>
              <w:rPr>
                <w:color w:val="000000"/>
                <w:szCs w:val="21"/>
              </w:rPr>
            </w:pPr>
            <w:r>
              <w:rPr>
                <w:rFonts w:hint="eastAsia" w:ascii="宋体" w:hAnsi="宋体"/>
                <w:color w:val="000000"/>
                <w:szCs w:val="21"/>
              </w:rPr>
              <w:t> </w:t>
            </w:r>
          </w:p>
          <w:p>
            <w:pPr>
              <w:pStyle w:val="9"/>
              <w:widowControl w:val="0"/>
              <w:jc w:val="both"/>
              <w:rPr>
                <w:color w:val="000000"/>
                <w:szCs w:val="21"/>
              </w:rPr>
            </w:pPr>
            <w:r>
              <w:rPr>
                <w:rFonts w:hint="eastAsia" w:ascii="宋体" w:hAnsi="宋体"/>
                <w:color w:val="000000"/>
                <w:szCs w:val="21"/>
              </w:rPr>
              <w:t> </w:t>
            </w:r>
          </w:p>
          <w:p>
            <w:pPr>
              <w:pStyle w:val="9"/>
              <w:widowControl w:val="0"/>
              <w:jc w:val="both"/>
              <w:rPr>
                <w:color w:val="000000"/>
                <w:szCs w:val="21"/>
              </w:rPr>
            </w:pPr>
            <w:r>
              <w:rPr>
                <w:rFonts w:hint="eastAsia" w:ascii="宋体" w:hAnsi="宋体"/>
                <w:color w:val="000000"/>
                <w:szCs w:val="21"/>
              </w:rPr>
              <w:t>剩余财产计算</w:t>
            </w: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1</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资产可变现价值或交易价格</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2</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清算费用</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3</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职工工资</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4</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社会保险费用</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5</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法定补偿金</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6</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清算税金及附加</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7</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清算所得税额</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8</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以前年度欠税额</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9</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其他债务</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10</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剩余财产（1－2－…－9）</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11</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color w:val="000000"/>
                <w:szCs w:val="21"/>
              </w:rPr>
              <w:t xml:space="preserve">   </w:t>
            </w:r>
            <w:r>
              <w:rPr>
                <w:rFonts w:hint="eastAsia" w:ascii="宋体" w:hAnsi="宋体"/>
                <w:color w:val="000000"/>
                <w:szCs w:val="21"/>
              </w:rPr>
              <w:t>其中：累计盈余公积</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12</w:t>
            </w:r>
          </w:p>
        </w:tc>
        <w:tc>
          <w:tcPr>
            <w:tcW w:w="399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color w:val="000000"/>
                <w:szCs w:val="21"/>
              </w:rPr>
              <w:t xml:space="preserve">         </w:t>
            </w:r>
            <w:r>
              <w:rPr>
                <w:rFonts w:hint="eastAsia" w:ascii="宋体" w:hAnsi="宋体"/>
                <w:color w:val="000000"/>
                <w:szCs w:val="21"/>
              </w:rPr>
              <w:t>累计未分配利润</w:t>
            </w:r>
          </w:p>
        </w:tc>
        <w:tc>
          <w:tcPr>
            <w:tcW w:w="292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63" w:hRule="atLeast"/>
        </w:trPr>
        <w:tc>
          <w:tcPr>
            <w:tcW w:w="1095"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p>
            <w:pPr>
              <w:pStyle w:val="9"/>
              <w:widowControl w:val="0"/>
              <w:jc w:val="both"/>
              <w:rPr>
                <w:color w:val="000000"/>
                <w:szCs w:val="21"/>
              </w:rPr>
            </w:pPr>
            <w:r>
              <w:rPr>
                <w:rFonts w:hint="eastAsia" w:ascii="宋体" w:hAnsi="宋体"/>
                <w:color w:val="000000"/>
                <w:szCs w:val="21"/>
              </w:rPr>
              <w:t> </w:t>
            </w:r>
          </w:p>
          <w:p>
            <w:pPr>
              <w:pStyle w:val="9"/>
              <w:widowControl w:val="0"/>
              <w:jc w:val="both"/>
              <w:rPr>
                <w:color w:val="000000"/>
                <w:szCs w:val="21"/>
              </w:rPr>
            </w:pPr>
            <w:r>
              <w:rPr>
                <w:rFonts w:hint="eastAsia" w:ascii="宋体" w:hAnsi="宋体"/>
                <w:color w:val="000000"/>
                <w:szCs w:val="21"/>
              </w:rPr>
              <w:t> </w:t>
            </w:r>
          </w:p>
          <w:p>
            <w:pPr>
              <w:pStyle w:val="9"/>
              <w:widowControl w:val="0"/>
              <w:jc w:val="both"/>
              <w:rPr>
                <w:color w:val="000000"/>
                <w:szCs w:val="21"/>
              </w:rPr>
            </w:pPr>
            <w:r>
              <w:rPr>
                <w:rFonts w:hint="eastAsia" w:ascii="宋体" w:hAnsi="宋体"/>
                <w:color w:val="000000"/>
                <w:szCs w:val="21"/>
              </w:rPr>
              <w:t> </w:t>
            </w:r>
          </w:p>
          <w:p>
            <w:pPr>
              <w:pStyle w:val="9"/>
              <w:widowControl w:val="0"/>
              <w:jc w:val="both"/>
              <w:rPr>
                <w:color w:val="000000"/>
                <w:szCs w:val="21"/>
              </w:rPr>
            </w:pPr>
            <w:r>
              <w:rPr>
                <w:rFonts w:hint="eastAsia" w:ascii="宋体" w:hAnsi="宋体"/>
                <w:color w:val="000000"/>
                <w:szCs w:val="21"/>
              </w:rPr>
              <w:t>剩余财产分配</w:t>
            </w: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rFonts w:hint="eastAsia" w:ascii="宋体" w:hAnsi="宋体"/>
                <w:color w:val="000000"/>
                <w:szCs w:val="21"/>
              </w:rPr>
              <w:t> </w:t>
            </w:r>
          </w:p>
        </w:tc>
        <w:tc>
          <w:tcPr>
            <w:tcW w:w="8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股东名称</w:t>
            </w:r>
          </w:p>
        </w:tc>
        <w:tc>
          <w:tcPr>
            <w:tcW w:w="253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持有清算企业权益性投资比例（</w:t>
            </w:r>
            <w:r>
              <w:rPr>
                <w:color w:val="000000"/>
                <w:szCs w:val="21"/>
              </w:rPr>
              <w:t>%</w:t>
            </w:r>
            <w:r>
              <w:rPr>
                <w:rFonts w:hint="eastAsia" w:ascii="宋体" w:hAnsi="宋体"/>
                <w:color w:val="000000"/>
                <w:szCs w:val="21"/>
              </w:rPr>
              <w:t>）</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投资额</w:t>
            </w:r>
          </w:p>
        </w:tc>
        <w:tc>
          <w:tcPr>
            <w:tcW w:w="124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分配的财产金额</w:t>
            </w:r>
          </w:p>
        </w:tc>
        <w:tc>
          <w:tcPr>
            <w:tcW w:w="168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其中：确认为股息金额</w:t>
            </w:r>
          </w:p>
        </w:tc>
      </w:tr>
      <w:tr>
        <w:tblPrEx>
          <w:tblLayout w:type="fixed"/>
          <w:tblCellMar>
            <w:top w:w="0" w:type="dxa"/>
            <w:left w:w="0" w:type="dxa"/>
            <w:bottom w:w="0" w:type="dxa"/>
            <w:right w:w="0" w:type="dxa"/>
          </w:tblCellMar>
        </w:tblPrEx>
        <w:trPr>
          <w:trHeight w:val="63" w:hRule="atLeast"/>
        </w:trPr>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rFonts w:hint="eastAsia" w:ascii="宋体" w:hAnsi="宋体"/>
                <w:color w:val="000000"/>
                <w:szCs w:val="21"/>
              </w:rPr>
              <w:t>13</w:t>
            </w:r>
          </w:p>
        </w:tc>
        <w:tc>
          <w:tcPr>
            <w:tcW w:w="8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w:t>
            </w:r>
            <w:r>
              <w:rPr>
                <w:color w:val="000000"/>
                <w:szCs w:val="21"/>
              </w:rPr>
              <w:t>1</w:t>
            </w:r>
            <w:r>
              <w:rPr>
                <w:rFonts w:hint="eastAsia" w:ascii="宋体" w:hAnsi="宋体"/>
                <w:color w:val="000000"/>
                <w:szCs w:val="21"/>
              </w:rPr>
              <w:t>）</w:t>
            </w:r>
          </w:p>
        </w:tc>
        <w:tc>
          <w:tcPr>
            <w:tcW w:w="253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24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68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63" w:hRule="atLeast"/>
        </w:trPr>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rFonts w:hint="eastAsia" w:ascii="宋体" w:hAnsi="宋体"/>
                <w:color w:val="000000"/>
                <w:szCs w:val="21"/>
              </w:rPr>
              <w:t>14</w:t>
            </w:r>
          </w:p>
        </w:tc>
        <w:tc>
          <w:tcPr>
            <w:tcW w:w="8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w:t>
            </w:r>
            <w:r>
              <w:rPr>
                <w:color w:val="000000"/>
                <w:szCs w:val="21"/>
              </w:rPr>
              <w:t>2</w:t>
            </w:r>
            <w:r>
              <w:rPr>
                <w:rFonts w:hint="eastAsia" w:ascii="宋体" w:hAnsi="宋体"/>
                <w:color w:val="000000"/>
                <w:szCs w:val="21"/>
              </w:rPr>
              <w:t>）</w:t>
            </w:r>
          </w:p>
        </w:tc>
        <w:tc>
          <w:tcPr>
            <w:tcW w:w="253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24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68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63" w:hRule="atLeast"/>
        </w:trPr>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rFonts w:hint="eastAsia" w:ascii="宋体" w:hAnsi="宋体"/>
                <w:color w:val="000000"/>
                <w:szCs w:val="21"/>
              </w:rPr>
              <w:t>15</w:t>
            </w:r>
          </w:p>
        </w:tc>
        <w:tc>
          <w:tcPr>
            <w:tcW w:w="8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w:t>
            </w:r>
            <w:r>
              <w:rPr>
                <w:color w:val="000000"/>
                <w:szCs w:val="21"/>
              </w:rPr>
              <w:t>3</w:t>
            </w:r>
            <w:r>
              <w:rPr>
                <w:rFonts w:hint="eastAsia" w:ascii="宋体" w:hAnsi="宋体"/>
                <w:color w:val="000000"/>
                <w:szCs w:val="21"/>
              </w:rPr>
              <w:t>）</w:t>
            </w:r>
          </w:p>
        </w:tc>
        <w:tc>
          <w:tcPr>
            <w:tcW w:w="253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24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68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63" w:hRule="atLeast"/>
        </w:trPr>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16</w:t>
            </w:r>
          </w:p>
        </w:tc>
        <w:tc>
          <w:tcPr>
            <w:tcW w:w="8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w:t>
            </w:r>
          </w:p>
        </w:tc>
        <w:tc>
          <w:tcPr>
            <w:tcW w:w="253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24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68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r>
        <w:tblPrEx>
          <w:tblLayout w:type="fixed"/>
          <w:tblCellMar>
            <w:top w:w="0" w:type="dxa"/>
            <w:left w:w="0" w:type="dxa"/>
            <w:bottom w:w="0" w:type="dxa"/>
            <w:right w:w="0" w:type="dxa"/>
          </w:tblCellMar>
        </w:tblPrEx>
        <w:trPr>
          <w:trHeight w:val="63" w:hRule="atLeast"/>
        </w:trPr>
        <w:tc>
          <w:tcPr>
            <w:tcW w:w="1095"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5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center"/>
              <w:rPr>
                <w:color w:val="000000"/>
                <w:szCs w:val="21"/>
              </w:rPr>
            </w:pPr>
            <w:r>
              <w:rPr>
                <w:color w:val="000000"/>
                <w:szCs w:val="21"/>
              </w:rPr>
              <w:t>17</w:t>
            </w:r>
          </w:p>
        </w:tc>
        <w:tc>
          <w:tcPr>
            <w:tcW w:w="8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w:t>
            </w:r>
          </w:p>
        </w:tc>
        <w:tc>
          <w:tcPr>
            <w:tcW w:w="253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24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c>
          <w:tcPr>
            <w:tcW w:w="168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jc w:val="both"/>
              <w:rPr>
                <w:color w:val="000000"/>
                <w:szCs w:val="21"/>
              </w:rPr>
            </w:pPr>
            <w:r>
              <w:rPr>
                <w:rFonts w:hint="eastAsia" w:ascii="宋体" w:hAnsi="宋体"/>
                <w:color w:val="000000"/>
                <w:szCs w:val="21"/>
              </w:rPr>
              <w:t> </w:t>
            </w:r>
          </w:p>
        </w:tc>
      </w:tr>
    </w:tbl>
    <w:p>
      <w:pPr>
        <w:pStyle w:val="7"/>
        <w:rPr>
          <w:color w:val="000000"/>
          <w:szCs w:val="22"/>
        </w:rPr>
      </w:pPr>
      <w:r>
        <w:rPr>
          <w:rFonts w:hint="eastAsia"/>
          <w:color w:val="000000"/>
          <w:szCs w:val="22"/>
        </w:rPr>
        <w:t>经办人签字：                                      纳税人盖章：</w:t>
      </w: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《剩余财产计算明细表》</w:t>
      </w:r>
    </w:p>
    <w:p>
      <w:pPr>
        <w:pStyle w:val="7"/>
        <w:ind w:firstLineChars="200"/>
        <w:rPr>
          <w:rFonts w:ascii="宋体" w:hAnsi="宋体"/>
          <w:color w:val="000000"/>
        </w:rPr>
      </w:pPr>
      <w:r>
        <w:rPr>
          <w:rFonts w:hint="eastAsia" w:ascii="宋体" w:hAnsi="宋体"/>
          <w:color w:val="000000"/>
        </w:rPr>
        <w:t>一、适用范围</w:t>
      </w:r>
    </w:p>
    <w:p>
      <w:pPr>
        <w:pStyle w:val="7"/>
        <w:ind w:firstLineChars="200"/>
        <w:rPr>
          <w:rFonts w:ascii="宋体" w:hAnsi="宋体"/>
          <w:color w:val="000000"/>
        </w:rPr>
      </w:pPr>
      <w:r>
        <w:rPr>
          <w:rFonts w:hint="eastAsia" w:ascii="宋体" w:hAnsi="宋体"/>
          <w:color w:val="000000"/>
        </w:rPr>
        <w:t>本表适用于按税收规定进行清算、缴纳企业所得税的居民企业纳税人(以下简称纳税人)申报。</w:t>
      </w:r>
    </w:p>
    <w:p>
      <w:pPr>
        <w:pStyle w:val="7"/>
        <w:ind w:firstLineChars="200"/>
        <w:rPr>
          <w:rFonts w:ascii="宋体" w:hAnsi="宋体"/>
          <w:color w:val="000000"/>
        </w:rPr>
      </w:pPr>
      <w:r>
        <w:rPr>
          <w:rFonts w:hint="eastAsia" w:ascii="宋体" w:hAnsi="宋体"/>
          <w:color w:val="000000"/>
        </w:rPr>
        <w:t>二、填报依据</w:t>
      </w:r>
    </w:p>
    <w:p>
      <w:pPr>
        <w:pStyle w:val="7"/>
        <w:ind w:firstLineChars="200"/>
        <w:rPr>
          <w:rFonts w:ascii="宋体" w:hAnsi="宋体"/>
          <w:color w:val="000000"/>
        </w:rPr>
      </w:pPr>
      <w:r>
        <w:rPr>
          <w:rFonts w:hint="eastAsia" w:ascii="宋体" w:hAnsi="宋体"/>
          <w:color w:val="000000"/>
        </w:rPr>
        <w:t>根据《中华人民共和国企业所得税法》及其实施条例和相关税收政策规定计算填报。</w:t>
      </w:r>
    </w:p>
    <w:p>
      <w:pPr>
        <w:pStyle w:val="7"/>
        <w:ind w:firstLineChars="200"/>
        <w:rPr>
          <w:rFonts w:ascii="宋体" w:hAnsi="宋体"/>
          <w:color w:val="000000"/>
        </w:rPr>
      </w:pPr>
      <w:r>
        <w:rPr>
          <w:rFonts w:hint="eastAsia" w:ascii="宋体" w:hAnsi="宋体"/>
          <w:color w:val="000000"/>
        </w:rPr>
        <w:t>三、有关项目填报说明</w:t>
      </w:r>
    </w:p>
    <w:p>
      <w:pPr>
        <w:pStyle w:val="7"/>
        <w:ind w:firstLineChars="200"/>
        <w:rPr>
          <w:rFonts w:ascii="宋体" w:hAnsi="宋体"/>
          <w:color w:val="000000"/>
        </w:rPr>
      </w:pPr>
      <w:r>
        <w:rPr>
          <w:rFonts w:hint="eastAsia" w:ascii="宋体" w:hAnsi="宋体"/>
          <w:color w:val="000000"/>
        </w:rPr>
        <w:t>1.第1行“资产可变现价值或交易价格”：填报纳税人全部资产的可变现价值或交易价格金额。</w:t>
      </w:r>
    </w:p>
    <w:p>
      <w:pPr>
        <w:pStyle w:val="7"/>
        <w:ind w:firstLineChars="200"/>
        <w:rPr>
          <w:rFonts w:ascii="宋体" w:hAnsi="宋体"/>
          <w:color w:val="000000"/>
        </w:rPr>
      </w:pPr>
      <w:r>
        <w:rPr>
          <w:rFonts w:hint="eastAsia" w:ascii="宋体" w:hAnsi="宋体"/>
          <w:color w:val="000000"/>
        </w:rPr>
        <w:t>2.第2行“清算费用”：填报纳税人清算过程中发生的与清算业务有关的费用支出，包括清算组组成人员的报酬，清算财产的管理、变卖及分配所需的评估费、咨询费等费用，清算过程中支付的诉讼费用、仲裁费用及公告费用，以及为维护债权人和股东的合法权益支付的其他费用。</w:t>
      </w:r>
    </w:p>
    <w:p>
      <w:pPr>
        <w:pStyle w:val="7"/>
        <w:ind w:firstLineChars="200"/>
        <w:rPr>
          <w:rFonts w:ascii="宋体" w:hAnsi="宋体"/>
          <w:color w:val="000000"/>
        </w:rPr>
      </w:pPr>
      <w:r>
        <w:rPr>
          <w:rFonts w:hint="eastAsia" w:ascii="宋体" w:hAnsi="宋体"/>
          <w:color w:val="000000"/>
        </w:rPr>
        <w:t>3.第3行“职工工资”：填报纳税人清算过程中偿还的职工工资。</w:t>
      </w:r>
    </w:p>
    <w:p>
      <w:pPr>
        <w:pStyle w:val="7"/>
        <w:ind w:firstLineChars="200"/>
        <w:rPr>
          <w:rFonts w:ascii="宋体" w:hAnsi="宋体"/>
          <w:color w:val="000000"/>
        </w:rPr>
      </w:pPr>
      <w:r>
        <w:rPr>
          <w:rFonts w:hint="eastAsia" w:ascii="宋体" w:hAnsi="宋体"/>
          <w:color w:val="000000"/>
        </w:rPr>
        <w:t>4.第4行“社会保险费用”：填报纳税人清算过程中偿还欠缴的各种社会保险费用。</w:t>
      </w:r>
    </w:p>
    <w:p>
      <w:pPr>
        <w:pStyle w:val="7"/>
        <w:ind w:firstLineChars="200"/>
        <w:rPr>
          <w:rFonts w:ascii="宋体" w:hAnsi="宋体"/>
          <w:color w:val="000000"/>
        </w:rPr>
      </w:pPr>
      <w:r>
        <w:rPr>
          <w:rFonts w:hint="eastAsia" w:ascii="宋体" w:hAnsi="宋体"/>
          <w:color w:val="000000"/>
        </w:rPr>
        <w:t>5.第5行“法定补偿金”：填报纳税人清算过程中按照有关规定支付的法定补偿金。</w:t>
      </w:r>
    </w:p>
    <w:p>
      <w:pPr>
        <w:pStyle w:val="7"/>
        <w:ind w:firstLineChars="200"/>
        <w:rPr>
          <w:rFonts w:ascii="宋体" w:hAnsi="宋体"/>
          <w:color w:val="000000"/>
        </w:rPr>
      </w:pPr>
      <w:r>
        <w:rPr>
          <w:rFonts w:hint="eastAsia" w:ascii="宋体" w:hAnsi="宋体"/>
          <w:color w:val="000000"/>
        </w:rPr>
        <w:t>6.第6行“清算税金及附加”：填报纳税人清算过程中发生的除企业所得税和允许抵扣的增值税以外的各项税金及其附加。</w:t>
      </w:r>
    </w:p>
    <w:p>
      <w:pPr>
        <w:pStyle w:val="7"/>
        <w:ind w:firstLineChars="200"/>
        <w:rPr>
          <w:rFonts w:ascii="宋体" w:hAnsi="宋体"/>
          <w:color w:val="000000"/>
        </w:rPr>
      </w:pPr>
      <w:r>
        <w:rPr>
          <w:rFonts w:hint="eastAsia" w:ascii="宋体" w:hAnsi="宋体"/>
          <w:color w:val="000000"/>
        </w:rPr>
        <w:t>7.第7行“清算所得税额”：填报纳税人清算过程中应缴的清算企业所得税金额。</w:t>
      </w:r>
    </w:p>
    <w:p>
      <w:pPr>
        <w:pStyle w:val="7"/>
        <w:ind w:firstLineChars="200"/>
        <w:rPr>
          <w:rFonts w:ascii="宋体" w:hAnsi="宋体"/>
          <w:color w:val="000000"/>
        </w:rPr>
      </w:pPr>
      <w:r>
        <w:rPr>
          <w:rFonts w:hint="eastAsia" w:ascii="宋体" w:hAnsi="宋体"/>
          <w:color w:val="000000"/>
        </w:rPr>
        <w:t>8.第8行“以前年度欠税额”：填报纳税人以前年度欠缴的各项税金及其附加。</w:t>
      </w:r>
    </w:p>
    <w:p>
      <w:pPr>
        <w:pStyle w:val="7"/>
        <w:ind w:firstLineChars="200"/>
        <w:rPr>
          <w:rFonts w:ascii="宋体" w:hAnsi="宋体"/>
          <w:color w:val="000000"/>
        </w:rPr>
      </w:pPr>
      <w:r>
        <w:rPr>
          <w:rFonts w:hint="eastAsia" w:ascii="宋体" w:hAnsi="宋体"/>
          <w:color w:val="000000"/>
        </w:rPr>
        <w:t>9.第9行“其他债务”：填报纳税人清算过程中偿还的其他债务。</w:t>
      </w:r>
    </w:p>
    <w:p>
      <w:pPr>
        <w:pStyle w:val="7"/>
        <w:ind w:firstLineChars="200"/>
        <w:rPr>
          <w:rFonts w:ascii="宋体" w:hAnsi="宋体"/>
          <w:color w:val="000000"/>
        </w:rPr>
      </w:pPr>
      <w:r>
        <w:rPr>
          <w:rFonts w:hint="eastAsia" w:ascii="宋体" w:hAnsi="宋体"/>
          <w:color w:val="000000"/>
        </w:rPr>
        <w:t>10.第10行“剩余财产”：填报纳税人全部资产按可变现价值或交易价格减除清算费用、职工工资、社会保险费用、法定补偿金、清算税费、清算所得税额、以前年度欠税和企业其他债务后的余额。</w:t>
      </w:r>
    </w:p>
    <w:p>
      <w:pPr>
        <w:pStyle w:val="7"/>
        <w:ind w:firstLineChars="200"/>
        <w:rPr>
          <w:rFonts w:ascii="宋体" w:hAnsi="宋体"/>
          <w:color w:val="000000"/>
        </w:rPr>
      </w:pPr>
      <w:r>
        <w:rPr>
          <w:rFonts w:hint="eastAsia" w:ascii="宋体" w:hAnsi="宋体"/>
          <w:color w:val="000000"/>
        </w:rPr>
        <w:t>11.第11行“其中：累计盈余公积”：填报纳税人截止开始分配剩余财产时累计从净利润提取的盈余公积金额。</w:t>
      </w:r>
    </w:p>
    <w:p>
      <w:pPr>
        <w:pStyle w:val="7"/>
        <w:ind w:firstLineChars="200"/>
        <w:rPr>
          <w:rFonts w:ascii="宋体" w:hAnsi="宋体"/>
          <w:color w:val="000000"/>
        </w:rPr>
      </w:pPr>
      <w:r>
        <w:rPr>
          <w:rFonts w:hint="eastAsia" w:ascii="宋体" w:hAnsi="宋体"/>
          <w:color w:val="000000"/>
        </w:rPr>
        <w:t>12.第12行“其中：累计未分配利润”：填报纳税人截止开始分配剩余财产时累计的未分配利润金额。</w:t>
      </w:r>
    </w:p>
    <w:p>
      <w:pPr>
        <w:pStyle w:val="7"/>
        <w:ind w:firstLineChars="200"/>
        <w:rPr>
          <w:rFonts w:ascii="宋体" w:hAnsi="宋体"/>
          <w:color w:val="000000"/>
        </w:rPr>
      </w:pPr>
      <w:r>
        <w:rPr>
          <w:rFonts w:hint="eastAsia" w:ascii="宋体" w:hAnsi="宋体"/>
          <w:color w:val="000000"/>
        </w:rPr>
        <w:t>13.第13－17行“股东名称”列：填报清算企业的各股东名称。</w:t>
      </w:r>
    </w:p>
    <w:p>
      <w:pPr>
        <w:pStyle w:val="7"/>
        <w:ind w:firstLineChars="200"/>
        <w:rPr>
          <w:rFonts w:ascii="宋体" w:hAnsi="宋体"/>
          <w:color w:val="000000"/>
        </w:rPr>
      </w:pPr>
      <w:r>
        <w:rPr>
          <w:rFonts w:hint="eastAsia" w:ascii="宋体" w:hAnsi="宋体"/>
          <w:color w:val="000000"/>
        </w:rPr>
        <w:t>14.第13－17行“持有清算企业权益性投资比例”列：填报清算企业的各股东持有清算企业的权益性投资比例。</w:t>
      </w:r>
    </w:p>
    <w:p>
      <w:pPr>
        <w:pStyle w:val="7"/>
        <w:ind w:firstLineChars="200"/>
        <w:rPr>
          <w:rFonts w:ascii="宋体" w:hAnsi="宋体"/>
          <w:color w:val="000000"/>
        </w:rPr>
      </w:pPr>
      <w:r>
        <w:rPr>
          <w:rFonts w:hint="eastAsia" w:ascii="宋体" w:hAnsi="宋体"/>
          <w:color w:val="000000"/>
        </w:rPr>
        <w:t>15.第13－17行“投资额”列：填报清算企业各股东向清算企业进行权益性投资总额。</w:t>
      </w:r>
    </w:p>
    <w:p>
      <w:pPr>
        <w:pStyle w:val="7"/>
        <w:ind w:firstLineChars="200"/>
        <w:rPr>
          <w:rFonts w:ascii="宋体" w:hAnsi="宋体"/>
          <w:color w:val="000000"/>
        </w:rPr>
      </w:pPr>
      <w:r>
        <w:rPr>
          <w:rFonts w:hint="eastAsia" w:ascii="宋体" w:hAnsi="宋体"/>
          <w:color w:val="000000"/>
        </w:rPr>
        <w:t>16.第13－17行“分配的财产金额”列：填报清算企业的各股东从清算企业剩余财产中按照其持有的清算企业的权益性投资比例分得的财产金额。</w:t>
      </w:r>
    </w:p>
    <w:p>
      <w:pPr>
        <w:pStyle w:val="7"/>
        <w:ind w:firstLineChars="200"/>
        <w:rPr>
          <w:rFonts w:ascii="宋体" w:hAnsi="宋体"/>
          <w:color w:val="000000"/>
        </w:rPr>
      </w:pPr>
      <w:r>
        <w:rPr>
          <w:rFonts w:hint="eastAsia" w:ascii="宋体" w:hAnsi="宋体"/>
          <w:color w:val="000000"/>
        </w:rPr>
        <w:t>17．第13－17行“其中确认为股息金额”列：填报清算企业的各股东从清算企业剩余财产分得财产中，相当于累计未分配利润和累计盈余公积按照其持有清算企业权益性投资比例计算确认的部分。清算企业的非企业所得税纳税人股东不填此列。</w:t>
      </w:r>
    </w:p>
    <w:p>
      <w:pPr>
        <w:pStyle w:val="7"/>
        <w:ind w:firstLineChars="200"/>
        <w:rPr>
          <w:rFonts w:ascii="宋体" w:hAnsi="宋体"/>
          <w:color w:val="000000"/>
        </w:rPr>
      </w:pPr>
      <w:r>
        <w:rPr>
          <w:rFonts w:hint="eastAsia" w:ascii="宋体" w:hAnsi="宋体"/>
          <w:color w:val="000000"/>
        </w:rPr>
        <w:t>四、表内及表间关系</w:t>
      </w:r>
    </w:p>
    <w:p>
      <w:pPr>
        <w:pStyle w:val="7"/>
        <w:ind w:firstLineChars="200"/>
        <w:rPr>
          <w:rFonts w:ascii="宋体" w:hAnsi="宋体"/>
          <w:color w:val="000000"/>
        </w:rPr>
      </w:pPr>
      <w:r>
        <w:rPr>
          <w:rFonts w:hint="eastAsia" w:ascii="宋体" w:hAnsi="宋体"/>
          <w:color w:val="000000"/>
        </w:rPr>
        <w:t>1.第10行＝本表第1-2-…-9行。</w:t>
      </w:r>
    </w:p>
    <w:p>
      <w:pPr>
        <w:pStyle w:val="7"/>
        <w:ind w:firstLineChars="200"/>
        <w:rPr>
          <w:rFonts w:ascii="宋体" w:hAnsi="宋体"/>
          <w:color w:val="000000"/>
        </w:rPr>
      </w:pPr>
      <w:r>
        <w:rPr>
          <w:rFonts w:hint="eastAsia" w:ascii="宋体" w:hAnsi="宋体"/>
          <w:color w:val="000000"/>
        </w:rPr>
        <w:t>2.第2行＝主表第3行。</w:t>
      </w:r>
    </w:p>
    <w:p>
      <w:pPr>
        <w:pStyle w:val="7"/>
        <w:ind w:firstLineChars="200"/>
        <w:rPr>
          <w:rFonts w:ascii="宋体" w:hAnsi="宋体"/>
          <w:color w:val="000000"/>
        </w:rPr>
      </w:pPr>
      <w:r>
        <w:rPr>
          <w:rFonts w:hint="eastAsia" w:ascii="宋体" w:hAnsi="宋体"/>
          <w:color w:val="000000"/>
        </w:rPr>
        <w:t>3.第6行＝主表第4行。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4.第7行＝主表第16行。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87FCE"/>
    <w:rsid w:val="5FC8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纯文本1"/>
    <w:basedOn w:val="9"/>
    <w:uiPriority w:val="0"/>
    <w:rPr>
      <w:rFonts w:ascii="宋体" w:hAnsi="宋体" w:cs="宋体"/>
      <w:szCs w:val="21"/>
    </w:rPr>
  </w:style>
  <w:style w:type="paragraph" w:customStyle="1" w:styleId="9">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2019-10-30T07:26:00Z</dcterms:created>
  <dc:creator>陈莉佳</dc:creator>
  <cp:lastModifiedBy>陈莉佳</cp:lastModifiedBy>
  <dcterms:modified xsi:type="dcterms:W3CDTF">2019-10-30T07:26:25Z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