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hanging="10" w:firstLineChars="0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color w:val="auto"/>
          <w:kern w:val="2"/>
          <w:sz w:val="40"/>
          <w:szCs w:val="40"/>
          <w:shd w:val="clear" w:color="auto" w:fill="FFFFFF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auto"/>
          <w:kern w:val="2"/>
          <w:sz w:val="40"/>
          <w:szCs w:val="40"/>
          <w:shd w:val="clear" w:color="auto" w:fill="FFFFFF"/>
          <w:lang w:val="en-US" w:eastAsia="zh-CN" w:bidi="ar-SA"/>
        </w:rPr>
        <w:t>办理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0"/>
          <w:szCs w:val="40"/>
          <w:u w:val="none" w:color="auto"/>
          <w:shd w:val="clear" w:color="auto" w:fill="FFFFFF"/>
          <w:lang w:val="en-US" w:eastAsia="zh-CN" w:bidi="ar-SA"/>
        </w:rPr>
        <w:t>灵活就业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40"/>
          <w:szCs w:val="40"/>
          <w:u w:val="none" w:color="auto"/>
          <w:shd w:val="clear" w:color="auto" w:fill="FFFFFF"/>
          <w:lang w:val="en-US" w:eastAsia="zh-CN" w:bidi="ar-SA"/>
        </w:rPr>
        <w:t>劳动者等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40"/>
          <w:szCs w:val="40"/>
          <w:shd w:val="clear" w:color="auto" w:fill="FFFFFF"/>
          <w:lang w:val="en-US" w:eastAsia="zh-CN" w:bidi="ar-SA"/>
        </w:rPr>
        <w:t>特定人员</w:t>
      </w:r>
    </w:p>
    <w:p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hanging="1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kern w:val="2"/>
          <w:sz w:val="40"/>
          <w:szCs w:val="40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color w:val="auto"/>
          <w:kern w:val="2"/>
          <w:sz w:val="40"/>
          <w:szCs w:val="40"/>
          <w:shd w:val="clear" w:color="auto" w:fill="FFFFFF"/>
          <w:lang w:val="en-US" w:eastAsia="zh-CN" w:bidi="ar-SA"/>
        </w:rPr>
        <w:t>参加工伤保险</w:t>
      </w:r>
      <w:r>
        <w:rPr>
          <w:rFonts w:hint="default" w:ascii="Times New Roman" w:hAnsi="Times New Roman" w:eastAsia="方正小标宋简体" w:cs="Times New Roman"/>
          <w:color w:val="auto"/>
          <w:kern w:val="2"/>
          <w:sz w:val="40"/>
          <w:szCs w:val="40"/>
          <w:shd w:val="clear" w:color="auto" w:fill="FFFFFF"/>
          <w:lang w:val="en-US" w:eastAsia="zh-CN" w:bidi="ar-SA"/>
        </w:rPr>
        <w:t>承诺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40"/>
          <w:szCs w:val="40"/>
          <w:shd w:val="clear" w:color="auto" w:fill="FFFFFF"/>
          <w:lang w:val="en-US" w:eastAsia="zh-CN" w:bidi="ar-SA"/>
        </w:rPr>
        <w:t>书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center"/>
        <w:textAlignment w:val="auto"/>
        <w:outlineLvl w:val="0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（参考）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本单位（组织）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shd w:val="clear" w:color="auto" w:fill="FFFFFF"/>
          <w:lang w:val="en-US" w:eastAsia="zh-CN" w:bidi="ar-SA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，根据《关于单位从业的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 w:bidi="ar-SA"/>
        </w:rPr>
        <w:t>灵活就业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 w:bidi="ar-SA"/>
        </w:rPr>
        <w:t>劳动者等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特定人员参加工伤保险的办法》（以下简称《办法》）规定，本单位（组织）自愿选择为所使用的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 w:bidi="ar-SA"/>
        </w:rPr>
        <w:t>未建立劳动关系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特定人员单项参加工伤保险、缴纳工伤保险费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。现申请办理单项参加工伤保险，并对下列事项进行填报和确认：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b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一、确认单位（组织）类型（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应单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选）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 企业（非家政服务企业、非互联网平台企业、非快递企业）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 家政服务企业（机构）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highlight w:val="none"/>
          <w:u w:val="single" w:color="auto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 互联网平台企业、众包服务公司、配送商等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 快递企业、基层快递网点等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 国家机关、事业单位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 社会团体（组织）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 民办非企业单位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 基金会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 以单位形式参保的个体工商户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 村（社区）两委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 其他从业单位（组织）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二、作出承诺事项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（一）本单位（组织）承诺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，本单位（组织）所自愿办理的参加单项工伤保险的特定灵活就业人员均符合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《办法》规定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条件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自愿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按规定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为其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缴纳工伤保险费。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（二）本单位（组织）承诺及时如实告知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相关从业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人员单项参加工伤保险和缴费情况以及有关工伤保险权利义务，并依法依规履行工伤认定申请义务。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（三）本单位（组织）承诺已为建立劳动关系的劳动者依法参加社会保险，并未将建立劳动关系的劳动者办理单项参加工伤保险，否则将依法承担相关法律责任。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（四）本单位（组织）承诺未为与本单位（组织）无从业关系的其他人员办理单项参加工伤保险，否则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可能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导致其人员不能被认定工伤。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本单位（组织）承诺知晓人社部门对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经核查发现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不符合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《办法》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规定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参保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范围的从业人员，可不予受理工伤认定申请。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single" w:color="auto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（五）本单位（组织）承诺办理工伤认定、劳动能力鉴定、工伤保险待遇申请时，按规定如实提供各项材料，并配合人力资源社会保障部门调查核实。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本单位（组织）配合社会保险经办机构追回多发工伤保险待遇。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如虚构工伤事故或伪造工伤材料等骗取工伤保险基金支出的，将依法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承担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法律责任。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三、有关提示事项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（一）按规定缴纳工伤保险费的参保人员，其工伤保险关系自办理参保登记手续的次日起生效。未按规定缴纳工伤保险费的，该期间工伤保险关系不生效。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对因工死亡的人员，死亡当月应继续为其申报缴纳工伤保险费，自死亡次月起再停止为其缴纳工伤保险费，以便衔接工伤保险待遇核发事项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（二）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从业单位（组织）应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加强从业人员安全生产和职业卫生培训教育，按规定对从事接触职业病危害作业的从业人员组织上岗前、在岗期间和离岗时职业健康检查，提供相应劳动保护，做好工伤预防工作。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（三）从业单位（组织）可与参保人员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协议约定比如停工留薪期待遇、伤残就业补助金等非工伤保险基金支付的处理办法，鼓励增加投保人身意外伤害等保险，以提供更好保障。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□申请人承诺：本单位（组织）已阅知本承诺书，确认填报信息属实和遵守所承诺事项，如有虚假承诺或违反承诺的情况，愿承担相应法律责任。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□申请人承诺：本单位（组织）已经书面告知相关从业人员按办法单项参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加工伤保险情况，以及有关工伤保险权利义务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告知书由申请人留存备查。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  <w:sectPr>
          <w:pgSz w:w="11906" w:h="16838"/>
          <w:pgMar w:top="1417" w:right="1417" w:bottom="1417" w:left="1417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                     从业单位（组织）盖章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F1459"/>
    <w:rsid w:val="301B7EED"/>
    <w:rsid w:val="47B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 w:cs="Times New Roman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2025-01-27T03:38:00Z</dcterms:created>
  <dc:creator>潘灵舒</dc:creator>
  <cp:lastModifiedBy>潘灵舒</cp:lastModifiedBy>
  <dcterms:modified xsi:type="dcterms:W3CDTF">2025-01-27T03:39:08Z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