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firstLine="0" w:firstLineChars="0"/>
        <w:jc w:val="left"/>
        <w:rPr>
          <w:rFonts w:ascii="Times New Roman" w:hAnsi="Times New Roman" w:eastAsia="黑体"/>
          <w:szCs w:val="32"/>
        </w:rPr>
      </w:pPr>
      <w:r>
        <w:rPr>
          <w:rFonts w:ascii="Times New Roman" w:hAnsi="Times New Roman" w:eastAsia="黑体"/>
          <w:szCs w:val="32"/>
        </w:rPr>
        <w:t>附2</w:t>
      </w:r>
    </w:p>
    <w:p>
      <w:pPr>
        <w:pStyle w:val="3"/>
        <w:spacing w:line="560" w:lineRule="exact"/>
        <w:rPr>
          <w:rFonts w:hint="eastAsia" w:ascii="方正小标宋简体" w:hAnsi="方正小标宋简体" w:eastAsia="方正小标宋简体" w:cs="方正小标宋简体"/>
        </w:rPr>
      </w:pPr>
    </w:p>
    <w:p>
      <w:pPr>
        <w:pStyle w:val="3"/>
        <w:spacing w:line="560" w:lineRule="exact"/>
        <w:rPr>
          <w:rFonts w:hint="eastAsia" w:ascii="方正小标宋简体" w:hAnsi="方正小标宋简体" w:eastAsia="方正小标宋简体" w:cs="方正小标宋简体"/>
        </w:rPr>
      </w:pPr>
      <w:bookmarkStart w:id="0" w:name="_GoBack"/>
      <w:r>
        <w:rPr>
          <w:rFonts w:hint="eastAsia" w:ascii="方正小标宋简体" w:hAnsi="方正小标宋简体" w:eastAsia="方正小标宋简体" w:cs="方正小标宋简体"/>
        </w:rPr>
        <w:t>乐企直连服务协议书</w:t>
      </w:r>
    </w:p>
    <w:bookmarkEnd w:id="0"/>
    <w:p>
      <w:pPr>
        <w:pStyle w:val="2"/>
        <w:spacing w:line="560" w:lineRule="exact"/>
        <w:ind w:left="0" w:leftChars="0"/>
        <w:rPr>
          <w:rFonts w:ascii="Times New Roman" w:hAnsi="Times New Roman" w:eastAsia="仿宋_GB2312"/>
          <w:sz w:val="32"/>
          <w:szCs w:val="32"/>
        </w:rPr>
      </w:pP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甲方（</w:t>
      </w:r>
      <w:r>
        <w:rPr>
          <w:rFonts w:hint="eastAsia" w:ascii="Times New Roman" w:hAnsi="Times New Roman" w:eastAsia="仿宋_GB2312"/>
          <w:sz w:val="32"/>
          <w:szCs w:val="32"/>
          <w:lang w:eastAsia="zh-Hans"/>
        </w:rPr>
        <w:t>税务机关</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名称</w:t>
      </w:r>
      <w:r>
        <w:rPr>
          <w:rFonts w:ascii="Times New Roman" w:hAnsi="Times New Roman" w:eastAsia="仿宋_GB2312"/>
          <w:sz w:val="32"/>
          <w:szCs w:val="32"/>
          <w:lang w:eastAsia="zh-Hans"/>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地址：</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乙方（</w:t>
      </w:r>
      <w:r>
        <w:rPr>
          <w:rFonts w:hint="eastAsia" w:ascii="Times New Roman" w:hAnsi="Times New Roman" w:eastAsia="仿宋_GB2312"/>
          <w:sz w:val="32"/>
          <w:szCs w:val="32"/>
          <w:lang w:eastAsia="zh-Hans"/>
        </w:rPr>
        <w:t>直连单位</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名称</w:t>
      </w:r>
      <w:r>
        <w:rPr>
          <w:rFonts w:ascii="Times New Roman" w:hAnsi="Times New Roman" w:eastAsia="仿宋_GB2312"/>
          <w:sz w:val="32"/>
          <w:szCs w:val="32"/>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lang w:eastAsia="zh-Hans"/>
        </w:rPr>
      </w:pPr>
      <w:r>
        <w:rPr>
          <w:rFonts w:hint="eastAsia" w:ascii="Times New Roman" w:hAnsi="Times New Roman" w:eastAsia="仿宋_GB2312"/>
          <w:sz w:val="32"/>
          <w:szCs w:val="32"/>
          <w:lang w:eastAsia="zh-Hans"/>
        </w:rPr>
        <w:t>统一社会信用代码</w:t>
      </w:r>
      <w:r>
        <w:rPr>
          <w:rFonts w:ascii="Times New Roman" w:hAnsi="Times New Roman" w:eastAsia="仿宋_GB2312"/>
          <w:sz w:val="32"/>
          <w:szCs w:val="32"/>
          <w:lang w:eastAsia="zh-Hans"/>
        </w:rPr>
        <w:t>：</w:t>
      </w:r>
      <w:r>
        <w:rPr>
          <w:rFonts w:ascii="Times New Roman" w:hAnsi="Times New Roman" w:eastAsia="仿宋_GB2312"/>
          <w:sz w:val="32"/>
          <w:szCs w:val="32"/>
          <w:u w:val="single"/>
          <w:lang w:eastAsia="zh-Hans"/>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lang w:eastAsia="zh-Hans"/>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地址</w:t>
      </w:r>
      <w:r>
        <w:rPr>
          <w:rFonts w:ascii="Times New Roman" w:hAnsi="Times New Roman" w:eastAsia="仿宋_GB2312"/>
          <w:sz w:val="32"/>
          <w:szCs w:val="32"/>
          <w:lang w:eastAsia="zh-Hans"/>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法定代表人（负责人）姓名：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u w:val="single"/>
        </w:rPr>
      </w:pPr>
      <w:r>
        <w:rPr>
          <w:rFonts w:ascii="Times New Roman" w:hAnsi="Times New Roman" w:eastAsia="仿宋_GB2312"/>
          <w:sz w:val="32"/>
          <w:szCs w:val="32"/>
        </w:rPr>
        <w:t>法定代表人（负责人）居民身份证号码：</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u w:val="single"/>
        </w:rPr>
      </w:pPr>
    </w:p>
    <w:p>
      <w:pPr>
        <w:pStyle w:val="2"/>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Hans"/>
        </w:rPr>
        <w:t>实现更优质高效的</w:t>
      </w:r>
      <w:r>
        <w:rPr>
          <w:rFonts w:hint="eastAsia" w:ascii="Times New Roman" w:hAnsi="Times New Roman" w:eastAsia="仿宋_GB2312"/>
          <w:sz w:val="32"/>
          <w:szCs w:val="32"/>
          <w:lang w:eastAsia="zh-CN"/>
        </w:rPr>
        <w:t>数电票</w:t>
      </w:r>
      <w:r>
        <w:rPr>
          <w:rFonts w:hint="eastAsia" w:ascii="Times New Roman" w:hAnsi="Times New Roman" w:eastAsia="仿宋_GB2312"/>
          <w:sz w:val="32"/>
          <w:szCs w:val="32"/>
          <w:lang w:eastAsia="zh-Hans"/>
        </w:rPr>
        <w:t>等相关涉税服务</w:t>
      </w:r>
      <w:r>
        <w:rPr>
          <w:rFonts w:ascii="Times New Roman" w:hAnsi="Times New Roman" w:eastAsia="仿宋_GB2312"/>
          <w:sz w:val="32"/>
          <w:szCs w:val="32"/>
          <w:lang w:eastAsia="zh-Hans"/>
        </w:rPr>
        <w:t>，</w:t>
      </w:r>
      <w:r>
        <w:rPr>
          <w:rFonts w:ascii="Times New Roman" w:hAnsi="Times New Roman" w:eastAsia="仿宋_GB2312"/>
          <w:sz w:val="32"/>
          <w:szCs w:val="32"/>
        </w:rPr>
        <w:t>本着自愿、平等的原则，甲、乙双方经协商签订如下协议。</w:t>
      </w:r>
    </w:p>
    <w:p>
      <w:pPr>
        <w:pStyle w:val="2"/>
        <w:numPr>
          <w:ilvl w:val="0"/>
          <w:numId w:val="1"/>
        </w:numPr>
        <w:spacing w:line="560" w:lineRule="exact"/>
        <w:ind w:left="0" w:leftChars="0"/>
        <w:jc w:val="center"/>
        <w:rPr>
          <w:rFonts w:hint="eastAsia" w:ascii="黑体" w:hAnsi="黑体" w:eastAsia="黑体" w:cs="黑体"/>
          <w:sz w:val="32"/>
          <w:szCs w:val="32"/>
        </w:rPr>
      </w:pPr>
      <w:r>
        <w:rPr>
          <w:rFonts w:hint="eastAsia" w:ascii="黑体" w:hAnsi="黑体" w:eastAsia="黑体" w:cs="黑体"/>
          <w:sz w:val="32"/>
          <w:szCs w:val="32"/>
        </w:rPr>
        <w:t>总则</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甲方依托乐企数字开放平台（以下简称“乐企平台”），通过税务系统与</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自有信息系统直连的方式，提供规则开放、标准统一的</w:t>
      </w:r>
      <w:r>
        <w:rPr>
          <w:rFonts w:hint="eastAsia" w:ascii="仿宋_GB2312" w:hAnsi="仿宋_GB2312" w:eastAsia="仿宋_GB2312" w:cs="仿宋_GB2312"/>
          <w:sz w:val="32"/>
          <w:szCs w:val="32"/>
          <w:lang w:eastAsia="zh-CN"/>
        </w:rPr>
        <w:t>数电票</w:t>
      </w:r>
      <w:r>
        <w:rPr>
          <w:rFonts w:hint="eastAsia" w:ascii="仿宋_GB2312" w:hAnsi="仿宋_GB2312" w:eastAsia="仿宋_GB2312" w:cs="仿宋_GB2312"/>
          <w:sz w:val="32"/>
          <w:szCs w:val="32"/>
        </w:rPr>
        <w:t>等涉税服务（以下简称“乐企服务”）。</w:t>
      </w:r>
    </w:p>
    <w:p>
      <w:pPr>
        <w:spacing w:line="560" w:lineRule="exact"/>
        <w:ind w:firstLine="640" w:firstLineChars="200"/>
        <w:rPr>
          <w:rFonts w:hint="eastAsia"/>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Hans"/>
        </w:rPr>
        <w:t>在接入乐企平台</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使用</w:t>
      </w:r>
      <w:r>
        <w:rPr>
          <w:rFonts w:hint="eastAsia" w:ascii="仿宋_GB2312" w:hAnsi="仿宋_GB2312" w:eastAsia="仿宋_GB2312" w:cs="仿宋_GB2312"/>
          <w:sz w:val="32"/>
          <w:szCs w:val="32"/>
        </w:rPr>
        <w:t>乐企服务</w:t>
      </w:r>
      <w:r>
        <w:rPr>
          <w:rFonts w:hint="eastAsia" w:ascii="仿宋_GB2312" w:hAnsi="仿宋_GB2312" w:eastAsia="仿宋_GB2312" w:cs="仿宋_GB2312"/>
          <w:sz w:val="32"/>
          <w:szCs w:val="32"/>
          <w:lang w:eastAsia="zh-Hans"/>
        </w:rPr>
        <w:t>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应满足《</w:t>
      </w:r>
      <w:r>
        <w:rPr>
          <w:rFonts w:ascii="仿宋_GB2312" w:hAnsi="仿宋_GB2312" w:eastAsia="仿宋_GB2312" w:cs="仿宋_GB2312"/>
          <w:sz w:val="32"/>
          <w:szCs w:val="32"/>
          <w:lang w:eastAsia="zh-Hans"/>
        </w:rPr>
        <w:t>国家税务总局××省（区、市）税务局</w:t>
      </w:r>
      <w:r>
        <w:rPr>
          <w:rFonts w:hint="eastAsia" w:ascii="仿宋_GB2312" w:hAnsi="仿宋_GB2312" w:eastAsia="仿宋_GB2312" w:cs="仿宋_GB2312"/>
          <w:sz w:val="32"/>
          <w:szCs w:val="32"/>
          <w:lang w:eastAsia="zh-Hans"/>
        </w:rPr>
        <w:t>关于乐企</w:t>
      </w:r>
      <w:r>
        <w:rPr>
          <w:rFonts w:ascii="仿宋_GB2312" w:hAnsi="仿宋_GB2312" w:eastAsia="仿宋_GB2312" w:cs="仿宋_GB2312"/>
          <w:sz w:val="32"/>
          <w:szCs w:val="32"/>
          <w:lang w:eastAsia="zh-Hans"/>
        </w:rPr>
        <w:t>自用</w:t>
      </w:r>
      <w:r>
        <w:rPr>
          <w:rFonts w:hint="eastAsia" w:ascii="仿宋_GB2312" w:hAnsi="仿宋_GB2312" w:eastAsia="仿宋_GB2312" w:cs="仿宋_GB2312"/>
          <w:sz w:val="32"/>
          <w:szCs w:val="32"/>
          <w:lang w:eastAsia="zh-Hans"/>
        </w:rPr>
        <w:t>直连服务的</w:t>
      </w:r>
      <w:r>
        <w:rPr>
          <w:rFonts w:ascii="仿宋_GB2312" w:hAnsi="仿宋_GB2312" w:eastAsia="仿宋_GB2312" w:cs="仿宋_GB2312"/>
          <w:sz w:val="32"/>
          <w:szCs w:val="32"/>
          <w:lang w:eastAsia="zh-Hans"/>
        </w:rPr>
        <w:t>规范指引</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以下简称</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规范指引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规定的接入条件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遵守甲方管理要求，</w:t>
      </w:r>
      <w:r>
        <w:rPr>
          <w:rFonts w:hint="eastAsia" w:ascii="仿宋_GB2312" w:hAnsi="仿宋_GB2312" w:eastAsia="仿宋_GB2312" w:cs="仿宋_GB2312"/>
          <w:sz w:val="32"/>
          <w:szCs w:val="32"/>
          <w:lang w:eastAsia="zh-Hans"/>
        </w:rPr>
        <w:t>履行应尽义务</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并</w:t>
      </w:r>
      <w:r>
        <w:rPr>
          <w:rFonts w:hint="eastAsia" w:ascii="仿宋_GB2312" w:hAnsi="仿宋_GB2312" w:eastAsia="仿宋_GB2312" w:cs="仿宋_GB2312"/>
          <w:sz w:val="32"/>
          <w:szCs w:val="32"/>
        </w:rPr>
        <w:t>承担相应责任。</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甲方权利和义务</w:t>
      </w:r>
    </w:p>
    <w:p>
      <w:pPr>
        <w:pStyle w:val="2"/>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一、甲方权利</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1.甲方有权对乙方提交的接入请求进行确认，对不符合相关接入条件的单位提交的请求有权予以退回。</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2.甲方有权对乙方提交的能力订阅请求进行确认，对于乙方所在行业不具备能力适用条件的情形，可退回其能力订阅请求。</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乙方发起的延期请求，甲方有权根据运营监控情况，确定延续期限。对于未在规定期限内发起延期请求的，甲方有权限制其业务处理并发量，若经提醒仍不发起延期请求的，甲方可以进一步降低并发量，直至终止乐企平台接入资格。</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有权通过设置监控指标，对乙方及其使用单位进行日常运行监控，根据其监测产生的风险预警信息将推送给乙方及其使用单位，要求其整改并反馈结果，甲方根据反馈后的处理结果采取不同的风险防范措施。</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5.甲方发现乙方及其使用单位不符合接入条件后，有权立即暂停其接入服务，并对其进行约谈；在</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个月（整改期限最</w:t>
      </w:r>
      <w:r>
        <w:rPr>
          <w:rFonts w:hint="eastAsia" w:ascii="仿宋_GB2312" w:hAnsi="仿宋_GB2312" w:eastAsia="仿宋_GB2312" w:cs="仿宋_GB2312"/>
          <w:sz w:val="32"/>
          <w:szCs w:val="32"/>
          <w:lang w:val="en-US" w:eastAsia="zh-Hans"/>
        </w:rPr>
        <w:t>长</w:t>
      </w:r>
      <w:r>
        <w:rPr>
          <w:rFonts w:hint="eastAsia" w:ascii="仿宋_GB2312" w:hAnsi="仿宋_GB2312" w:eastAsia="仿宋_GB2312" w:cs="仿宋_GB2312"/>
          <w:sz w:val="32"/>
          <w:szCs w:val="32"/>
        </w:rPr>
        <w:t>不超过3个月）内经过整改符合要求的，重新恢复接入服务；未达到整改要求的，终止其接入服务。</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6.若发现乙方或其使用单位存在对乐企平台直连网络、电子发票服务平台造成攻击或威胁等安全隐患的情况，甲方有权立即限制</w:t>
      </w:r>
      <w:r>
        <w:rPr>
          <w:rFonts w:hint="eastAsia" w:ascii="仿宋_GB2312" w:hAnsi="仿宋_GB2312" w:eastAsia="仿宋_GB2312" w:cs="仿宋_GB2312"/>
          <w:sz w:val="32"/>
          <w:szCs w:val="32"/>
          <w:lang w:val="en-US" w:eastAsia="zh-Hans"/>
        </w:rPr>
        <w:t>其</w:t>
      </w:r>
      <w:r>
        <w:rPr>
          <w:rFonts w:hint="eastAsia" w:ascii="仿宋_GB2312" w:hAnsi="仿宋_GB2312" w:eastAsia="仿宋_GB2312" w:cs="仿宋_GB2312"/>
          <w:sz w:val="32"/>
          <w:szCs w:val="32"/>
        </w:rPr>
        <w:t>业务处理并发量，并进行约谈。若在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个月（整改期限最</w:t>
      </w:r>
      <w:r>
        <w:rPr>
          <w:rFonts w:hint="eastAsia" w:ascii="仿宋_GB2312" w:hAnsi="仿宋_GB2312" w:eastAsia="仿宋_GB2312" w:cs="仿宋_GB2312"/>
          <w:sz w:val="32"/>
          <w:szCs w:val="32"/>
          <w:lang w:val="en-US" w:eastAsia="zh-Hans"/>
        </w:rPr>
        <w:t>长</w:t>
      </w:r>
      <w:r>
        <w:rPr>
          <w:rFonts w:hint="eastAsia" w:ascii="仿宋_GB2312" w:hAnsi="仿宋_GB2312" w:eastAsia="仿宋_GB2312" w:cs="仿宋_GB2312"/>
          <w:sz w:val="32"/>
          <w:szCs w:val="32"/>
        </w:rPr>
        <w:t>不超过3个月）内经过整改不再发生上述行为的，则恢复正常服务；再次发现存在上述行为的，甲方有权终止其接入服务。</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7.若乙方不履行本协议“乙方义务”或其使用单位违反乐企平台直连规范相关条款</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Hans"/>
        </w:rPr>
        <w:t>者</w:t>
      </w:r>
      <w:r>
        <w:rPr>
          <w:rFonts w:hint="eastAsia" w:ascii="仿宋_GB2312" w:hAnsi="仿宋_GB2312" w:eastAsia="仿宋_GB2312" w:cs="仿宋_GB2312"/>
          <w:sz w:val="32"/>
          <w:szCs w:val="32"/>
        </w:rPr>
        <w:t>存在不按照税务机关要求依法提供相关涉税数据</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不配合甲方管理</w:t>
      </w:r>
      <w:r>
        <w:rPr>
          <w:rFonts w:hint="eastAsia" w:ascii="仿宋_GB2312" w:hAnsi="仿宋_GB2312" w:eastAsia="仿宋_GB2312" w:cs="仿宋_GB2312"/>
          <w:sz w:val="32"/>
          <w:szCs w:val="32"/>
          <w:lang w:val="en-US" w:eastAsia="zh-Hans"/>
        </w:rPr>
        <w:t>等</w:t>
      </w:r>
      <w:r>
        <w:rPr>
          <w:rFonts w:hint="eastAsia" w:ascii="仿宋_GB2312" w:hAnsi="仿宋_GB2312" w:eastAsia="仿宋_GB2312" w:cs="仿宋_GB2312"/>
          <w:sz w:val="32"/>
          <w:szCs w:val="32"/>
        </w:rPr>
        <w:t>行为，甲方有权视情况严重性采取提醒、约谈、暂停乙方新增使用单位、暂停使用乐企能力、暂停接入服务等措施。若在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个月（整改期限最</w:t>
      </w:r>
      <w:r>
        <w:rPr>
          <w:rFonts w:hint="eastAsia" w:ascii="仿宋_GB2312" w:hAnsi="仿宋_GB2312" w:eastAsia="仿宋_GB2312" w:cs="仿宋_GB2312"/>
          <w:sz w:val="32"/>
          <w:szCs w:val="32"/>
          <w:lang w:val="en-US" w:eastAsia="zh-Hans"/>
        </w:rPr>
        <w:t>长</w:t>
      </w:r>
      <w:r>
        <w:rPr>
          <w:rFonts w:hint="eastAsia" w:ascii="仿宋_GB2312" w:hAnsi="仿宋_GB2312" w:eastAsia="仿宋_GB2312" w:cs="仿宋_GB2312"/>
          <w:sz w:val="32"/>
          <w:szCs w:val="32"/>
        </w:rPr>
        <w:t>不超过3个月）内经过整改符合要求的，恢复正常服务；经整改后仍未符合甲方管理要求的，终止其接入服务。</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8.若乙方及其使用单位存在虚开发票等严重违法行为的，甲方有权立即终止其接入服务，并依法追究法律责任。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9.乙方授权</w:t>
      </w:r>
      <w:r>
        <w:rPr>
          <w:rFonts w:hint="eastAsia" w:ascii="仿宋_GB2312" w:hAnsi="仿宋_GB2312" w:eastAsia="仿宋_GB2312" w:cs="仿宋_GB2312"/>
          <w:sz w:val="32"/>
          <w:szCs w:val="32"/>
          <w:lang w:eastAsia="zh-Hans"/>
        </w:rPr>
        <w:t>不具关联关系的第三方企业建设平台</w:t>
      </w:r>
      <w:r>
        <w:rPr>
          <w:rFonts w:hint="eastAsia" w:ascii="仿宋_GB2312" w:hAnsi="仿宋_GB2312" w:eastAsia="仿宋_GB2312" w:cs="仿宋_GB2312"/>
          <w:sz w:val="32"/>
          <w:szCs w:val="32"/>
          <w:lang w:eastAsia="zh-CN"/>
        </w:rPr>
        <w:t>的，若相关第三方企业建设平台发生擅自接入的情况，甲方有权立即中止乙方的乐企直连服务。相关的</w:t>
      </w:r>
      <w:r>
        <w:rPr>
          <w:rFonts w:hint="eastAsia" w:ascii="仿宋_GB2312" w:hAnsi="仿宋_GB2312" w:eastAsia="仿宋_GB2312" w:cs="仿宋_GB2312"/>
          <w:sz w:val="32"/>
          <w:szCs w:val="32"/>
          <w:lang w:eastAsia="zh-Hans"/>
        </w:rPr>
        <w:t>第三方企业</w:t>
      </w:r>
      <w:r>
        <w:rPr>
          <w:rFonts w:hint="eastAsia" w:ascii="仿宋_GB2312" w:hAnsi="仿宋_GB2312" w:eastAsia="仿宋_GB2312" w:cs="仿宋_GB2312"/>
          <w:sz w:val="32"/>
          <w:szCs w:val="32"/>
          <w:lang w:eastAsia="zh-CN"/>
        </w:rPr>
        <w:t>不允许再参与乐企直连服务的建设。</w:t>
      </w:r>
    </w:p>
    <w:p>
      <w:pPr>
        <w:overflowPunct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.甲方其他权利</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pStyle w:val="2"/>
        <w:spacing w:line="560" w:lineRule="exact"/>
        <w:ind w:left="0" w:leftChars="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rPr>
        <w:t xml:space="preserve"> </w:t>
      </w:r>
    </w:p>
    <w:p>
      <w:pPr>
        <w:pStyle w:val="2"/>
        <w:spacing w:line="560" w:lineRule="exact"/>
        <w:ind w:left="0" w:left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二、甲方义务</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1.甲方应及时受理并确认乙方及其使用单位提出的接入请求、能力订阅请求、资格延续请求等，并将结果通过乐企平台向乙方反馈。</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2.在乐企平台发生功能升级时，甲方应及时发布版本升级通知，通知并协助乙方及其使用单位同步完成系统改造与对接测试。</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3.对于乙方的资格延续、风险监控等管理事项，甲方应及时向乙方发送提醒。</w:t>
      </w:r>
    </w:p>
    <w:p>
      <w:pPr>
        <w:pStyle w:val="4"/>
        <w:overflowPunct w:val="0"/>
        <w:spacing w:line="560" w:lineRule="exact"/>
        <w:ind w:firstLine="640"/>
        <w:rPr>
          <w:rFonts w:hint="eastAsia" w:cs="仿宋_GB2312"/>
          <w:szCs w:val="32"/>
        </w:rPr>
      </w:pPr>
      <w:r>
        <w:rPr>
          <w:rFonts w:hint="eastAsia" w:cs="仿宋_GB2312"/>
          <w:szCs w:val="32"/>
        </w:rPr>
        <w:t>4.甲方应建立畅通的乐企平台运维沟通渠道，跟进乐企平台运行情况，推送乐企相关指引、变更、通知，及时收集并上报乐企纳税人报送的系统相关问题。</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乙方权利和义务</w:t>
      </w:r>
    </w:p>
    <w:p>
      <w:pPr>
        <w:pStyle w:val="2"/>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一、乙方权利</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1.乙方在遵守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规范指引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相关规定的前提下，有权使用乐企服务的各项功能。</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2.乙方有权向符合条件的使用单位发送邀请通知或审核通过使用单位的授权申请，协助使用单位向甲方发起使用请求。</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3.乙方有权授权其关联企业或第三方企业承担建设及管理等职责。</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4.若乙方具有特殊行业或领域经营资格，可提交非公用基础能力开通请求，经甲方确认通过后，开通相应的能力。</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5.对于在使用乐企服务过程中出现的相关问题，乙方有权通过电子税务局征纳互动平台、12366热线。甲方建立的乐企平台运维沟通渠道等方式，报送问题并在规定时间内得到答复。</w:t>
      </w:r>
    </w:p>
    <w:p>
      <w:pPr>
        <w:pStyle w:val="2"/>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二、乙方义务</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1.乙方负责对接乐企平台，对平台相关数据的安全承担责任，邀请或授权使用单位接入乐企平台并及时维护与使用单位的关联关系台账。乙方应确保自身及其使用单位符合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规范指引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的接入要求，同时</w:t>
      </w:r>
      <w:r>
        <w:rPr>
          <w:rFonts w:hint="eastAsia" w:ascii="仿宋_GB2312" w:hAnsi="仿宋_GB2312" w:eastAsia="仿宋_GB2312" w:cs="仿宋_GB2312"/>
          <w:sz w:val="32"/>
          <w:szCs w:val="32"/>
          <w:lang w:bidi="ar"/>
        </w:rPr>
        <w:t>做好变更事项报送、版本更新、资格延续、终止管理等相关维护保障工作。</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2.乙方应在乐企服务接入和使用过程中，对</w:t>
      </w:r>
      <w:r>
        <w:rPr>
          <w:rFonts w:ascii="仿宋_GB2312" w:hAnsi="仿宋_GB2312" w:eastAsia="仿宋_GB2312" w:cs="仿宋_GB2312"/>
          <w:sz w:val="32"/>
          <w:szCs w:val="32"/>
        </w:rPr>
        <w:t>乐企自用</w:t>
      </w:r>
      <w:r>
        <w:rPr>
          <w:rFonts w:hint="eastAsia" w:ascii="仿宋_GB2312" w:hAnsi="仿宋_GB2312" w:eastAsia="仿宋_GB2312" w:cs="仿宋_GB2312"/>
          <w:sz w:val="32"/>
          <w:szCs w:val="32"/>
        </w:rPr>
        <w:t>的运营及使用单位的日常涉税行为进行监管，如实向税务机关报告重大变化和使用单位情况，及时报送相关涉税数据，保证提交信息或材料的真实性，并承担提交非真实材料所造成的所有后果。</w:t>
      </w:r>
    </w:p>
    <w:p>
      <w:pPr>
        <w:pStyle w:val="2"/>
        <w:spacing w:line="560" w:lineRule="exact"/>
        <w:ind w:left="0" w:leftChars="0" w:firstLine="640" w:firstLineChars="200"/>
        <w:rPr>
          <w:rFonts w:hint="default" w:ascii="仿宋_GB2312" w:hAnsi="仿宋_GB2312" w:eastAsia="仿宋_GB2312" w:cs="仿宋_GB2312"/>
          <w:sz w:val="32"/>
          <w:szCs w:val="32"/>
          <w:lang w:eastAsia="zh-Hans"/>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Hans"/>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4">
            <o:LockedField>false</o:LockedField>
          </o:OLEObject>
        </w:object>
      </w:r>
      <w:r>
        <w:rPr>
          <w:rFonts w:hint="eastAsia" w:ascii="仿宋_GB2312" w:hAnsi="仿宋_GB2312" w:eastAsia="仿宋_GB2312" w:cs="仿宋_GB2312"/>
          <w:sz w:val="32"/>
          <w:szCs w:val="32"/>
          <w:lang w:val="en-US" w:eastAsia="zh-Hans"/>
        </w:rPr>
        <w:t>乙方应按照税务机关要求依法提供相关涉税数据，包括但不限于使用单位身份信息、取酬账户信息、经营收入情况等，以及需要特别提供的货物流、资金流等其他涉税数据。</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乙方应按照《中华人民共和国网络安全法》等有关法律法规的规定以及国家标准的强制性要求，采取技术措施和其他必要措施，保障网络安全、稳定运行，有效应对网络安全事件，防范网络违法犯罪活动，维护网络数据的完整性、保密性和可用性。履行下列安全保护义务，保障网络免受干扰、破坏或者未经授权的访问，防止网络数据泄露或者被窃取、篡改：</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（1）制定内部安全管理制度和操作规程，确定乐企服务运行环境网络安全负责人，落实网络安全保护责任；</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（2）采取防范计算机病毒和网络攻击、网络侵入等危害乐企服务运行环境安全行为的技术措施；</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采取监测、记录网络运行状态、网络安全事件的技术措施，并按照规定留存相关的网络日志不少于六个月；</w:t>
      </w:r>
    </w:p>
    <w:p>
      <w:pPr>
        <w:topLinePunct w:val="0"/>
        <w:adjustRightInd/>
        <w:snapToGrid/>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采取数据分类、重要数据备份和加密等措施。</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bidi="ar"/>
        </w:rPr>
        <w:t>按照《中华人民共和国数据安全法》等有关法律法规的规定以及国家标准的强制性要求，履行发票数据安全保护义务，保障发票数据安全：</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（1）建立健全全流程数据安全管理制度，组织开展数据安全教育培训，采取相应的技术措施和其他必要措施，保障发票数据安全。</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（2）建立健全发票数据保护责任，明确发票数据安全负责人和管理机构，落实数据安全保护责任。</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（按月、季度）开展发票数据风险监测，发现数据安全缺陷、漏洞等风险时，立即采取补救措施；发生数据安全事件时，立即采取处置措施，按照规定及时告知用户并向试点省税务局报告。</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（4）合理采集数据，在使用乐企服务过程中，未经授权不获取他人隐私数据或其他企业生产经营数据，未经授权不将所储存的发票数据提供给第三方。</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bidi="ar"/>
        </w:rPr>
        <w:t>在乐企服务使用过程中，确保按照《中华人民共和国税收征收管理法》及其实施细则、《中华人民共和国发票管理办法》及其实施细则、国家税务总局有关规范性文件开具使用发票：</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遵循税务机关的管理。按照税务机关发布的标准规范，对本单位自有业务系统进行升级完善，确保发票开具使用原始数据来源可追溯、可审计；向税务机关报送与发票使用相关的生产经营信息。</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（2）合规开具发票。按照《中华人民共和国发票管理办法》及其实施细则、国家税务总局有关规范性文件要求，规范开具使用</w:t>
      </w:r>
      <w:r>
        <w:rPr>
          <w:rFonts w:hint="eastAsia" w:ascii="仿宋_GB2312" w:hAnsi="仿宋_GB2312" w:eastAsia="仿宋_GB2312" w:cs="仿宋_GB2312"/>
          <w:sz w:val="32"/>
          <w:szCs w:val="32"/>
          <w:lang w:eastAsia="zh-CN" w:bidi="ar"/>
        </w:rPr>
        <w:t>数电票</w:t>
      </w:r>
      <w:r>
        <w:rPr>
          <w:rFonts w:hint="eastAsia" w:ascii="仿宋_GB2312" w:hAnsi="仿宋_GB2312" w:eastAsia="仿宋_GB2312" w:cs="仿宋_GB2312"/>
          <w:sz w:val="32"/>
          <w:szCs w:val="32"/>
          <w:lang w:bidi="ar"/>
        </w:rPr>
        <w:t>，有效防范通过乐企服务违规开具发票的情形，杜绝虚开虚抵违法行为。</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（3）按照税务机关下发的税收业务规则要求，合规使用已订阅的数字服务能力。当税务业务规则发生更新时，按照税务机关要求及时升级自有业务系统，有效保障各项税收政策及时落实。</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（4）杜绝违规收费。在使用乐企服务过程中，不向使用单位收取发票开具、生成、打印等基础服务费用，不倒卖税务机关提供的涉税数据，不变相通过乐企服务能力谋取私利。</w:t>
      </w:r>
    </w:p>
    <w:p>
      <w:pPr>
        <w:pStyle w:val="2"/>
        <w:spacing w:line="560" w:lineRule="exact"/>
        <w:ind w:left="0" w:leftChars="0" w:firstLine="640" w:firstLineChars="200"/>
        <w:rPr>
          <w:rFonts w:ascii="仿宋_GB2312" w:hAnsi="仿宋_GB2312" w:eastAsia="仿宋_GB2312" w:cs="仿宋_GB2312"/>
          <w:sz w:val="32"/>
          <w:szCs w:val="32"/>
          <w:u w:val="single"/>
          <w:lang w:bidi="ar"/>
        </w:rPr>
      </w:pPr>
      <w:r>
        <w:rPr>
          <w:rFonts w:hint="default" w:ascii="仿宋_GB2312" w:hAnsi="仿宋_GB2312" w:eastAsia="仿宋_GB2312" w:cs="仿宋_GB2312"/>
          <w:sz w:val="32"/>
          <w:szCs w:val="32"/>
          <w:u w:val="none"/>
          <w:lang w:bidi="ar"/>
        </w:rPr>
        <w:t>7</w:t>
      </w:r>
      <w:r>
        <w:rPr>
          <w:rFonts w:hint="eastAsia" w:ascii="仿宋_GB2312" w:hAnsi="仿宋_GB2312" w:eastAsia="仿宋_GB2312" w:cs="仿宋_GB2312"/>
          <w:sz w:val="32"/>
          <w:szCs w:val="32"/>
          <w:u w:val="none"/>
          <w:lang w:bidi="ar"/>
        </w:rPr>
        <w:t>.乙方其他义务</w:t>
      </w:r>
      <w:r>
        <w:rPr>
          <w:rFonts w:hint="eastAsia" w:ascii="仿宋_GB2312" w:hAnsi="仿宋_GB2312" w:eastAsia="仿宋_GB2312" w:cs="仿宋_GB2312"/>
          <w:sz w:val="32"/>
          <w:szCs w:val="32"/>
          <w:u w:val="none"/>
          <w:lang w:val="en-US" w:eastAsia="zh-CN"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p>
    <w:p>
      <w:pPr>
        <w:pStyle w:val="2"/>
        <w:spacing w:line="560" w:lineRule="exact"/>
        <w:ind w:left="0" w:leftChars="0" w:firstLine="0" w:firstLineChars="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p>
    <w:p>
      <w:pPr>
        <w:pStyle w:val="2"/>
        <w:spacing w:line="560" w:lineRule="exact"/>
        <w:ind w:left="0" w:leftChars="0"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其他事项</w:t>
      </w:r>
    </w:p>
    <w:p>
      <w:pPr>
        <w:pStyle w:val="2"/>
        <w:spacing w:line="560" w:lineRule="exact"/>
        <w:ind w:left="0" w:leftChars="0" w:firstLine="640" w:firstLineChars="200"/>
        <w:rPr>
          <w:rFonts w:hint="default" w:ascii="Times New Roman" w:hAnsi="Times New Roman" w:eastAsia="仿宋_GB2312"/>
          <w:sz w:val="32"/>
          <w:szCs w:val="32"/>
          <w:lang w:eastAsia="zh-Hans"/>
        </w:rPr>
      </w:pPr>
      <w:r>
        <w:rPr>
          <w:rFonts w:hint="eastAsia" w:ascii="Times New Roman" w:hAnsi="Times New Roman" w:eastAsia="仿宋_GB2312"/>
          <w:sz w:val="32"/>
          <w:szCs w:val="32"/>
          <w:lang w:val="en-US" w:eastAsia="zh-Hans"/>
        </w:rPr>
        <w:t>双方需补充的其他约定内容</w:t>
      </w:r>
      <w:r>
        <w:rPr>
          <w:rFonts w:hint="default" w:ascii="Times New Roman" w:hAnsi="Times New Roman" w:eastAsia="仿宋_GB2312"/>
          <w:sz w:val="32"/>
          <w:szCs w:val="32"/>
          <w:lang w:eastAsia="zh-Hans"/>
        </w:rPr>
        <w:t>：</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p>
    <w:p>
      <w:pPr>
        <w:pStyle w:val="2"/>
        <w:spacing w:line="560" w:lineRule="exact"/>
        <w:ind w:left="0" w:leftChars="0" w:firstLine="0" w:firstLineChars="0"/>
        <w:rPr>
          <w:rFonts w:hint="default" w:ascii="仿宋_GB2312" w:hAnsi="仿宋_GB2312" w:eastAsia="仿宋_GB2312" w:cs="仿宋_GB2312"/>
          <w:sz w:val="32"/>
          <w:szCs w:val="32"/>
          <w:u w:val="single"/>
          <w:lang w:bidi="ar"/>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p>
    <w:p>
      <w:pPr>
        <w:pStyle w:val="2"/>
        <w:spacing w:line="560" w:lineRule="exact"/>
        <w:ind w:left="0" w:leftChars="0" w:firstLine="0" w:firstLineChars="0"/>
        <w:rPr>
          <w:rFonts w:hint="default" w:ascii="仿宋_GB2312" w:hAnsi="仿宋_GB2312" w:eastAsia="仿宋_GB2312" w:cs="仿宋_GB2312"/>
          <w:sz w:val="32"/>
          <w:szCs w:val="32"/>
          <w:u w:val="single"/>
          <w:lang w:bidi="ar"/>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p>
    <w:p>
      <w:pPr>
        <w:pStyle w:val="2"/>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本协议自</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日生效，至乐企服务终止之日废止。本协议一式两份，甲乙双方各持一份，具有同等法律效力。协议中未尽事宜，应由双方协商并以书面形式补充协议后方可生效。</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甲 方：</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（盖章）       </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经办人：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（签字）                </w:t>
      </w:r>
    </w:p>
    <w:p>
      <w:pPr>
        <w:pStyle w:val="2"/>
        <w:spacing w:line="560" w:lineRule="exact"/>
        <w:ind w:left="0" w:leftChars="0" w:firstLine="3840" w:firstLineChars="1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日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 xml:space="preserve">   </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乙 方：</w:t>
      </w:r>
      <w:r>
        <w:rPr>
          <w:rFonts w:ascii="Times New Roman" w:hAnsi="Times New Roman" w:eastAsia="仿宋_GB2312"/>
          <w:sz w:val="32"/>
          <w:szCs w:val="32"/>
          <w:u w:val="single"/>
        </w:rPr>
        <w:t xml:space="preserve">                 </w:t>
      </w:r>
      <w:r>
        <w:rPr>
          <w:rFonts w:ascii="Times New Roman" w:hAnsi="Times New Roman" w:eastAsia="仿宋_GB2312"/>
          <w:sz w:val="32"/>
          <w:szCs w:val="32"/>
        </w:rPr>
        <w:t>（盖章）</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（签字）  </w:t>
      </w:r>
    </w:p>
    <w:p>
      <w:pPr>
        <w:pStyle w:val="2"/>
        <w:spacing w:line="560" w:lineRule="exact"/>
        <w:ind w:left="0" w:leftChars="0" w:firstLine="3840" w:firstLineChars="1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676DB"/>
    <w:multiLevelType w:val="singleLevel"/>
    <w:tmpl w:val="482676DB"/>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8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0" w:after="0" w:line="600" w:lineRule="exact"/>
      <w:jc w:val="center"/>
      <w:outlineLvl w:val="0"/>
    </w:pPr>
    <w:rPr>
      <w:rFonts w:eastAsia="方正小标宋_GBK"/>
      <w:kern w:val="44"/>
      <w:sz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0"/>
    <w:pPr>
      <w:adjustRightInd w:val="0"/>
      <w:snapToGrid w:val="0"/>
      <w:spacing w:line="580" w:lineRule="exact"/>
      <w:ind w:firstLine="880" w:firstLineChars="200"/>
    </w:pPr>
    <w:rPr>
      <w:rFonts w:ascii="仿宋_GB2312" w:hAnsi="仿宋_GB2312" w:eastAsia="仿宋_GB231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2023-09-08T07:11:13Z</dcterms:created>
  <dc:creator>admin</dc:creator>
  <cp:lastModifiedBy>梁顺萍</cp:lastModifiedBy>
  <dcterms:modified xsi:type="dcterms:W3CDTF">2023-09-08T07:11:23Z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