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center" w:pos="6520"/>
          <w:tab w:val="clear" w:pos="4678"/>
        </w:tabs>
        <w:rPr>
          <w:rFonts w:hint="eastAsia"/>
        </w:rPr>
      </w:pPr>
      <w:bookmarkStart w:id="0" w:name="_Toc10959"/>
      <w:bookmarkStart w:id="1" w:name="_Toc54267926"/>
      <w:bookmarkStart w:id="2" w:name="_Toc527722744"/>
      <w:r>
        <w:rPr>
          <w:rFonts w:hint="eastAsia"/>
        </w:rPr>
        <w:t>A105090</w:t>
      </w:r>
      <w:r>
        <w:rPr>
          <w:rFonts w:hint="eastAsia"/>
        </w:rPr>
        <w:tab/>
      </w:r>
      <w:r>
        <w:rPr>
          <w:rFonts w:hint="eastAsia"/>
        </w:rPr>
        <w:t>资产损失税前扣除及纳税调整明细表</w:t>
      </w:r>
      <w:bookmarkEnd w:id="0"/>
      <w:bookmarkEnd w:id="1"/>
    </w:p>
    <w:tbl>
      <w:tblPr>
        <w:tblStyle w:val="3"/>
        <w:tblW w:w="1522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
      <w:tblGrid>
        <w:gridCol w:w="682"/>
        <w:gridCol w:w="6401"/>
        <w:gridCol w:w="1155"/>
        <w:gridCol w:w="1155"/>
        <w:gridCol w:w="1155"/>
        <w:gridCol w:w="1155"/>
        <w:gridCol w:w="1155"/>
        <w:gridCol w:w="1155"/>
        <w:gridCol w:w="121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600" w:hRule="atLeast"/>
          <w:jc w:val="center"/>
        </w:trPr>
        <w:tc>
          <w:tcPr>
            <w:tcW w:w="682" w:type="dxa"/>
            <w:vMerge w:val="restart"/>
            <w:tcBorders>
              <w:top w:val="single" w:color="000000" w:sz="12"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行次</w:t>
            </w:r>
          </w:p>
        </w:tc>
        <w:tc>
          <w:tcPr>
            <w:tcW w:w="6401" w:type="dxa"/>
            <w:vMerge w:val="restart"/>
            <w:tcBorders>
              <w:top w:val="single" w:color="000000" w:sz="12"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项目</w:t>
            </w:r>
          </w:p>
        </w:tc>
        <w:tc>
          <w:tcPr>
            <w:tcW w:w="1155" w:type="dxa"/>
            <w:tcBorders>
              <w:top w:val="single" w:color="000000" w:sz="12"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资产损失直接计入本年损益金额</w:t>
            </w:r>
          </w:p>
        </w:tc>
        <w:tc>
          <w:tcPr>
            <w:tcW w:w="1155" w:type="dxa"/>
            <w:tcBorders>
              <w:top w:val="single" w:color="000000" w:sz="12"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kern w:val="0"/>
                <w:sz w:val="20"/>
                <w:szCs w:val="20"/>
              </w:rPr>
            </w:pPr>
            <w:r>
              <w:rPr>
                <w:rFonts w:hint="eastAsia" w:ascii="宋体" w:hAnsi="宋体" w:cs="宋体"/>
                <w:kern w:val="0"/>
                <w:sz w:val="20"/>
                <w:szCs w:val="20"/>
              </w:rPr>
              <w:t>资产损失准备金核销金额</w:t>
            </w:r>
          </w:p>
        </w:tc>
        <w:tc>
          <w:tcPr>
            <w:tcW w:w="1155" w:type="dxa"/>
            <w:tcBorders>
              <w:top w:val="single" w:color="000000" w:sz="12"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kern w:val="0"/>
                <w:sz w:val="20"/>
                <w:szCs w:val="20"/>
              </w:rPr>
            </w:pPr>
            <w:r>
              <w:rPr>
                <w:rFonts w:hint="eastAsia" w:ascii="宋体" w:hAnsi="宋体" w:cs="宋体"/>
                <w:kern w:val="0"/>
                <w:sz w:val="20"/>
                <w:szCs w:val="20"/>
              </w:rPr>
              <w:t>资产处置</w:t>
            </w:r>
          </w:p>
          <w:p>
            <w:pPr>
              <w:widowControl/>
              <w:jc w:val="center"/>
              <w:textAlignment w:val="center"/>
              <w:rPr>
                <w:rFonts w:hint="eastAsia" w:ascii="宋体" w:hAnsi="宋体" w:cs="宋体"/>
                <w:sz w:val="20"/>
                <w:szCs w:val="20"/>
              </w:rPr>
            </w:pPr>
            <w:r>
              <w:rPr>
                <w:rFonts w:hint="eastAsia" w:ascii="宋体" w:hAnsi="宋体" w:cs="宋体"/>
                <w:kern w:val="0"/>
                <w:sz w:val="20"/>
                <w:szCs w:val="20"/>
              </w:rPr>
              <w:t>收入</w:t>
            </w:r>
          </w:p>
        </w:tc>
        <w:tc>
          <w:tcPr>
            <w:tcW w:w="1155" w:type="dxa"/>
            <w:tcBorders>
              <w:top w:val="single" w:color="000000" w:sz="12"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赔偿收入</w:t>
            </w:r>
          </w:p>
        </w:tc>
        <w:tc>
          <w:tcPr>
            <w:tcW w:w="1155" w:type="dxa"/>
            <w:tcBorders>
              <w:top w:val="single" w:color="000000" w:sz="12"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kern w:val="0"/>
                <w:sz w:val="20"/>
                <w:szCs w:val="20"/>
              </w:rPr>
            </w:pPr>
            <w:r>
              <w:rPr>
                <w:rFonts w:hint="eastAsia" w:ascii="宋体" w:hAnsi="宋体" w:cs="宋体"/>
                <w:kern w:val="0"/>
                <w:sz w:val="20"/>
                <w:szCs w:val="20"/>
              </w:rPr>
              <w:t>资产计税</w:t>
            </w:r>
          </w:p>
          <w:p>
            <w:pPr>
              <w:widowControl/>
              <w:jc w:val="center"/>
              <w:textAlignment w:val="center"/>
              <w:rPr>
                <w:rFonts w:hint="eastAsia" w:ascii="宋体" w:hAnsi="宋体" w:cs="宋体"/>
                <w:sz w:val="20"/>
                <w:szCs w:val="20"/>
              </w:rPr>
            </w:pPr>
            <w:r>
              <w:rPr>
                <w:rFonts w:hint="eastAsia" w:ascii="宋体" w:hAnsi="宋体" w:cs="宋体"/>
                <w:kern w:val="0"/>
                <w:sz w:val="20"/>
                <w:szCs w:val="20"/>
              </w:rPr>
              <w:t>基础</w:t>
            </w:r>
          </w:p>
        </w:tc>
        <w:tc>
          <w:tcPr>
            <w:tcW w:w="1155" w:type="dxa"/>
            <w:tcBorders>
              <w:top w:val="single" w:color="000000" w:sz="12"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资产损失的税收金额</w:t>
            </w:r>
          </w:p>
        </w:tc>
        <w:tc>
          <w:tcPr>
            <w:tcW w:w="1213" w:type="dxa"/>
            <w:tcBorders>
              <w:top w:val="single" w:color="000000" w:sz="12" w:space="0"/>
              <w:left w:val="single" w:color="000000" w:sz="6" w:space="0"/>
              <w:bottom w:val="single" w:color="000000" w:sz="6" w:space="0"/>
              <w:right w:val="single" w:color="000000" w:sz="12" w:space="0"/>
            </w:tcBorders>
            <w:vAlign w:val="center"/>
          </w:tcPr>
          <w:p>
            <w:pPr>
              <w:widowControl/>
              <w:jc w:val="center"/>
              <w:textAlignment w:val="center"/>
              <w:rPr>
                <w:rFonts w:hint="eastAsia" w:ascii="宋体" w:hAnsi="宋体" w:cs="宋体"/>
                <w:kern w:val="0"/>
                <w:sz w:val="20"/>
                <w:szCs w:val="20"/>
              </w:rPr>
            </w:pPr>
            <w:r>
              <w:rPr>
                <w:rFonts w:hint="eastAsia" w:ascii="宋体" w:hAnsi="宋体" w:cs="宋体"/>
                <w:kern w:val="0"/>
                <w:sz w:val="20"/>
                <w:szCs w:val="20"/>
              </w:rPr>
              <w:t>纳税调整</w:t>
            </w:r>
          </w:p>
          <w:p>
            <w:pPr>
              <w:widowControl/>
              <w:jc w:val="center"/>
              <w:textAlignment w:val="center"/>
              <w:rPr>
                <w:rFonts w:hint="eastAsia" w:ascii="宋体" w:hAnsi="宋体" w:cs="宋体"/>
                <w:sz w:val="20"/>
                <w:szCs w:val="20"/>
              </w:rPr>
            </w:pPr>
            <w:r>
              <w:rPr>
                <w:rFonts w:hint="eastAsia" w:ascii="宋体" w:hAnsi="宋体" w:cs="宋体"/>
                <w:kern w:val="0"/>
                <w:sz w:val="20"/>
                <w:szCs w:val="20"/>
              </w:rPr>
              <w:t>金额</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77" w:hRule="atLeast"/>
          <w:jc w:val="center"/>
        </w:trPr>
        <w:tc>
          <w:tcPr>
            <w:tcW w:w="682" w:type="dxa"/>
            <w:vMerge w:val="continue"/>
            <w:tcBorders>
              <w:top w:val="single" w:color="000000" w:sz="6" w:space="0"/>
              <w:left w:val="single" w:color="000000" w:sz="12" w:space="0"/>
              <w:bottom w:val="single" w:color="000000" w:sz="6" w:space="0"/>
              <w:right w:val="single" w:color="000000" w:sz="6" w:space="0"/>
            </w:tcBorders>
            <w:vAlign w:val="center"/>
          </w:tcPr>
          <w:p>
            <w:pPr>
              <w:jc w:val="center"/>
              <w:rPr>
                <w:rFonts w:hint="eastAsia" w:ascii="宋体" w:hAnsi="宋体" w:cs="宋体"/>
                <w:sz w:val="20"/>
                <w:szCs w:val="20"/>
              </w:rPr>
            </w:pPr>
          </w:p>
        </w:tc>
        <w:tc>
          <w:tcPr>
            <w:tcW w:w="6401"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w:t>
            </w:r>
          </w:p>
        </w:tc>
        <w:tc>
          <w:tcPr>
            <w:tcW w:w="1155"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kern w:val="0"/>
                <w:sz w:val="20"/>
                <w:szCs w:val="20"/>
              </w:rPr>
            </w:pPr>
            <w:r>
              <w:rPr>
                <w:rFonts w:hint="eastAsia" w:ascii="宋体" w:hAnsi="宋体" w:cs="宋体"/>
                <w:kern w:val="0"/>
                <w:sz w:val="20"/>
                <w:szCs w:val="20"/>
              </w:rPr>
              <w:t>2</w:t>
            </w:r>
          </w:p>
        </w:tc>
        <w:tc>
          <w:tcPr>
            <w:tcW w:w="1155"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3</w:t>
            </w:r>
          </w:p>
        </w:tc>
        <w:tc>
          <w:tcPr>
            <w:tcW w:w="1155"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4</w:t>
            </w:r>
          </w:p>
        </w:tc>
        <w:tc>
          <w:tcPr>
            <w:tcW w:w="1155"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5</w:t>
            </w:r>
          </w:p>
        </w:tc>
        <w:tc>
          <w:tcPr>
            <w:tcW w:w="1155"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sz w:val="20"/>
                <w:szCs w:val="20"/>
              </w:rPr>
              <w:t>6</w:t>
            </w:r>
            <w:r>
              <w:rPr>
                <w:rFonts w:hint="eastAsia" w:ascii="宋体" w:hAnsi="宋体" w:cs="宋体"/>
                <w:kern w:val="0"/>
                <w:sz w:val="20"/>
                <w:szCs w:val="20"/>
              </w:rPr>
              <w:t>（5-3-4）</w:t>
            </w:r>
          </w:p>
        </w:tc>
        <w:tc>
          <w:tcPr>
            <w:tcW w:w="1213" w:type="dxa"/>
            <w:tcBorders>
              <w:top w:val="single" w:color="000000" w:sz="6" w:space="0"/>
              <w:left w:val="single" w:color="000000" w:sz="6" w:space="0"/>
              <w:bottom w:val="single" w:color="000000" w:sz="6" w:space="0"/>
              <w:right w:val="single" w:color="000000" w:sz="12"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7</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1"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一、现金及银行存款损失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r>
              <w:rPr>
                <w:rFonts w:hint="eastAsia" w:ascii="宋体" w:hAnsi="宋体" w:cs="宋体"/>
                <w:sz w:val="20"/>
                <w:szCs w:val="20"/>
              </w:rPr>
              <w:t>*</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7"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二、应收及预付款项坏账损失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37"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3</w:t>
            </w:r>
          </w:p>
        </w:tc>
        <w:tc>
          <w:tcPr>
            <w:tcW w:w="6401" w:type="dxa"/>
            <w:tcBorders>
              <w:top w:val="single" w:color="000000" w:sz="6" w:space="0"/>
              <w:left w:val="single" w:color="000000" w:sz="6" w:space="0"/>
              <w:bottom w:val="single" w:color="000000" w:sz="6" w:space="0"/>
              <w:right w:val="single" w:color="000000" w:sz="6" w:space="0"/>
            </w:tcBorders>
            <w:vAlign w:val="center"/>
          </w:tcPr>
          <w:p>
            <w:pPr>
              <w:kinsoku w:val="0"/>
              <w:ind w:left="420" w:leftChars="200"/>
              <w:textAlignment w:val="center"/>
              <w:rPr>
                <w:rFonts w:hint="eastAsia" w:ascii="宋体" w:hAnsi="宋体" w:cs="宋体"/>
                <w:sz w:val="20"/>
                <w:szCs w:val="20"/>
              </w:rPr>
            </w:pPr>
            <w:r>
              <w:rPr>
                <w:rFonts w:hint="eastAsia" w:ascii="宋体" w:hAnsi="宋体" w:cs="宋体"/>
                <w:kern w:val="0"/>
                <w:sz w:val="20"/>
                <w:szCs w:val="20"/>
              </w:rPr>
              <w:t>其中：逾期三年以上的应收款项损失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5"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4</w:t>
            </w:r>
          </w:p>
        </w:tc>
        <w:tc>
          <w:tcPr>
            <w:tcW w:w="6401" w:type="dxa"/>
            <w:tcBorders>
              <w:top w:val="single" w:color="000000" w:sz="6" w:space="0"/>
              <w:left w:val="single" w:color="000000" w:sz="6" w:space="0"/>
              <w:bottom w:val="single" w:color="000000" w:sz="6" w:space="0"/>
              <w:right w:val="single" w:color="000000" w:sz="6" w:space="0"/>
            </w:tcBorders>
            <w:vAlign w:val="center"/>
          </w:tcPr>
          <w:p>
            <w:pPr>
              <w:kinsoku w:val="0"/>
              <w:ind w:left="1050" w:leftChars="500"/>
              <w:textAlignment w:val="center"/>
              <w:rPr>
                <w:rFonts w:hint="eastAsia" w:ascii="宋体" w:hAnsi="宋体" w:cs="宋体"/>
                <w:sz w:val="20"/>
                <w:szCs w:val="20"/>
              </w:rPr>
            </w:pPr>
            <w:r>
              <w:rPr>
                <w:rFonts w:hint="eastAsia" w:ascii="宋体" w:hAnsi="宋体" w:cs="宋体"/>
                <w:kern w:val="0"/>
                <w:sz w:val="20"/>
                <w:szCs w:val="20"/>
              </w:rPr>
              <w:t>逾期一年以上的小额应收款项损失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5</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三、存货损失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3"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6</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20" w:leftChars="200"/>
              <w:textAlignment w:val="center"/>
              <w:rPr>
                <w:rFonts w:hint="eastAsia" w:ascii="宋体" w:hAnsi="宋体" w:cs="宋体"/>
                <w:sz w:val="20"/>
                <w:szCs w:val="20"/>
              </w:rPr>
            </w:pPr>
            <w:r>
              <w:rPr>
                <w:rFonts w:hint="eastAsia" w:ascii="宋体" w:hAnsi="宋体" w:cs="宋体"/>
                <w:kern w:val="0"/>
                <w:sz w:val="20"/>
                <w:szCs w:val="20"/>
              </w:rPr>
              <w:t>其中：存货盘亏、报废、损毁、变质或被盗损失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33"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7</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四、固定资产损失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1"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8</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20" w:leftChars="200"/>
              <w:textAlignment w:val="center"/>
              <w:rPr>
                <w:rFonts w:hint="eastAsia" w:ascii="宋体" w:hAnsi="宋体" w:cs="宋体"/>
                <w:sz w:val="20"/>
                <w:szCs w:val="20"/>
              </w:rPr>
            </w:pPr>
            <w:r>
              <w:rPr>
                <w:rFonts w:hint="eastAsia" w:ascii="宋体" w:hAnsi="宋体" w:cs="宋体"/>
                <w:kern w:val="0"/>
                <w:sz w:val="20"/>
                <w:szCs w:val="20"/>
              </w:rPr>
              <w:t>其中：固定资产盘亏、丢失、报废、损毁或被盗损失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31"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9</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五、无形资产损失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2"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10</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20" w:leftChars="200"/>
              <w:textAlignment w:val="center"/>
              <w:rPr>
                <w:rFonts w:hint="eastAsia" w:ascii="宋体" w:hAnsi="宋体" w:cs="宋体"/>
                <w:sz w:val="20"/>
                <w:szCs w:val="20"/>
              </w:rPr>
            </w:pPr>
            <w:r>
              <w:rPr>
                <w:rFonts w:hint="eastAsia" w:ascii="宋体" w:hAnsi="宋体" w:cs="宋体"/>
                <w:kern w:val="0"/>
                <w:sz w:val="20"/>
                <w:szCs w:val="20"/>
              </w:rPr>
              <w:t>其中：无形资产转让损失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8"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11</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1008" w:leftChars="480"/>
              <w:textAlignment w:val="center"/>
              <w:rPr>
                <w:rFonts w:hint="eastAsia" w:ascii="宋体" w:hAnsi="宋体" w:cs="宋体"/>
                <w:sz w:val="20"/>
                <w:szCs w:val="20"/>
              </w:rPr>
            </w:pPr>
            <w:r>
              <w:rPr>
                <w:rFonts w:hint="eastAsia" w:ascii="宋体" w:hAnsi="宋体" w:cs="宋体"/>
                <w:kern w:val="0"/>
                <w:sz w:val="20"/>
                <w:szCs w:val="20"/>
              </w:rPr>
              <w:t>无形资产被替代或超过法律保护期限形成的损失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1"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12</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六、在建工程损失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r>
              <w:rPr>
                <w:rFonts w:hint="eastAsia" w:ascii="宋体" w:hAnsi="宋体" w:cs="宋体"/>
                <w:sz w:val="20"/>
                <w:szCs w:val="20"/>
              </w:rPr>
              <w:t>*</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7"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13</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20" w:leftChars="200"/>
              <w:textAlignment w:val="center"/>
              <w:rPr>
                <w:rFonts w:hint="eastAsia" w:ascii="宋体" w:hAnsi="宋体" w:cs="宋体"/>
                <w:sz w:val="20"/>
                <w:szCs w:val="20"/>
              </w:rPr>
            </w:pPr>
            <w:r>
              <w:rPr>
                <w:rFonts w:hint="eastAsia" w:ascii="宋体" w:hAnsi="宋体" w:cs="宋体"/>
                <w:kern w:val="0"/>
                <w:sz w:val="20"/>
                <w:szCs w:val="20"/>
              </w:rPr>
              <w:t>其中：在建工程停建、报废损失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r>
              <w:rPr>
                <w:rFonts w:hint="eastAsia" w:ascii="宋体" w:hAnsi="宋体" w:cs="宋体"/>
                <w:sz w:val="20"/>
                <w:szCs w:val="20"/>
              </w:rPr>
              <w:t>*</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9"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14</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七、生产性生物资产损失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1"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15</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20" w:leftChars="200"/>
              <w:textAlignment w:val="center"/>
              <w:rPr>
                <w:rFonts w:hint="eastAsia" w:ascii="宋体" w:hAnsi="宋体" w:cs="宋体"/>
                <w:sz w:val="20"/>
                <w:szCs w:val="20"/>
              </w:rPr>
            </w:pPr>
            <w:r>
              <w:rPr>
                <w:rFonts w:hint="eastAsia" w:ascii="宋体" w:hAnsi="宋体" w:cs="宋体"/>
                <w:kern w:val="0"/>
                <w:sz w:val="20"/>
                <w:szCs w:val="20"/>
              </w:rPr>
              <w:t>其中：生产性生物资产盘亏、非正常死亡、被盗、丢失等产生的损失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30"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16</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八、债权性投资损失(17+23)</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82"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17</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 xml:space="preserve">    （一）金融企业债</w:t>
            </w:r>
            <w:r>
              <w:rPr>
                <w:rStyle w:val="7"/>
                <w:rFonts w:hint="eastAsia" w:cs="宋体"/>
                <w:color w:val="auto"/>
                <w:szCs w:val="20"/>
              </w:rPr>
              <w:t>权性投资损失（18+22）</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82"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kern w:val="0"/>
                <w:sz w:val="20"/>
                <w:szCs w:val="20"/>
              </w:rPr>
            </w:pPr>
            <w:r>
              <w:rPr>
                <w:rFonts w:hint="eastAsia" w:ascii="宋体" w:hAnsi="宋体" w:cs="宋体"/>
                <w:kern w:val="0"/>
                <w:sz w:val="20"/>
                <w:szCs w:val="20"/>
              </w:rPr>
              <w:t>18</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20" w:leftChars="200"/>
              <w:textAlignment w:val="center"/>
              <w:rPr>
                <w:rFonts w:hint="eastAsia" w:ascii="宋体" w:hAnsi="宋体" w:cs="宋体"/>
                <w:kern w:val="0"/>
                <w:sz w:val="20"/>
                <w:szCs w:val="20"/>
              </w:rPr>
            </w:pPr>
            <w:r>
              <w:rPr>
                <w:rFonts w:hint="eastAsia" w:ascii="宋体" w:hAnsi="宋体" w:cs="宋体"/>
                <w:kern w:val="0"/>
                <w:sz w:val="20"/>
                <w:szCs w:val="20"/>
              </w:rPr>
              <w:t xml:space="preserve">  1.贷款损失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kern w:val="0"/>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kern w:val="0"/>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kern w:val="0"/>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kern w:val="0"/>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kern w:val="0"/>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kern w:val="0"/>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8"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19</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20" w:leftChars="200"/>
              <w:textAlignment w:val="center"/>
              <w:rPr>
                <w:rFonts w:hint="eastAsia" w:ascii="宋体" w:hAnsi="宋体" w:cs="宋体"/>
                <w:sz w:val="20"/>
                <w:szCs w:val="20"/>
              </w:rPr>
            </w:pPr>
            <w:r>
              <w:rPr>
                <w:rFonts w:hint="eastAsia" w:ascii="宋体" w:hAnsi="宋体" w:cs="宋体"/>
                <w:kern w:val="0"/>
                <w:sz w:val="20"/>
                <w:szCs w:val="20"/>
              </w:rPr>
              <w:t xml:space="preserve">    其中：符合条件的涉农和中小企业贷款损失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71"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20</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630" w:leftChars="300"/>
              <w:textAlignment w:val="center"/>
              <w:rPr>
                <w:rFonts w:hint="eastAsia" w:ascii="宋体" w:hAnsi="宋体" w:cs="宋体"/>
                <w:sz w:val="20"/>
                <w:szCs w:val="20"/>
              </w:rPr>
            </w:pPr>
            <w:r>
              <w:rPr>
                <w:rFonts w:hint="eastAsia" w:ascii="宋体" w:hAnsi="宋体" w:cs="宋体"/>
                <w:kern w:val="0"/>
                <w:sz w:val="20"/>
                <w:szCs w:val="20"/>
              </w:rPr>
              <w:t xml:space="preserve">    其中：单户贷款余额300万（含）以下的贷款损失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1"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21</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1231" w:leftChars="586"/>
              <w:textAlignment w:val="center"/>
              <w:rPr>
                <w:rFonts w:hint="eastAsia" w:ascii="宋体" w:hAnsi="宋体" w:cs="宋体"/>
                <w:sz w:val="20"/>
                <w:szCs w:val="20"/>
              </w:rPr>
            </w:pPr>
            <w:r>
              <w:rPr>
                <w:rFonts w:hint="eastAsia" w:ascii="宋体" w:hAnsi="宋体" w:cs="宋体"/>
                <w:kern w:val="0"/>
                <w:sz w:val="20"/>
                <w:szCs w:val="20"/>
              </w:rPr>
              <w:t xml:space="preserve">    单户贷款余额300万元至1000万元（含）的 贷款损失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3"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22</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20" w:leftChars="200"/>
              <w:textAlignment w:val="center"/>
              <w:rPr>
                <w:rFonts w:hint="eastAsia" w:ascii="宋体" w:hAnsi="宋体" w:cs="宋体"/>
                <w:sz w:val="20"/>
                <w:szCs w:val="20"/>
              </w:rPr>
            </w:pPr>
            <w:r>
              <w:rPr>
                <w:rFonts w:hint="eastAsia" w:ascii="宋体" w:hAnsi="宋体" w:cs="宋体"/>
                <w:kern w:val="0"/>
                <w:sz w:val="20"/>
                <w:szCs w:val="20"/>
              </w:rPr>
              <w:t xml:space="preserve">  2.其他债权性投资损失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34"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23</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 xml:space="preserve">    （二）非金融企业债权</w:t>
            </w:r>
            <w:r>
              <w:rPr>
                <w:rStyle w:val="8"/>
                <w:rFonts w:hint="eastAsia" w:cs="宋体"/>
                <w:color w:val="auto"/>
                <w:szCs w:val="20"/>
              </w:rPr>
              <w:t>性投资损失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2"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24</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九、股权（权益）性投资损失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7"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25</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20" w:leftChars="200"/>
              <w:textAlignment w:val="center"/>
              <w:rPr>
                <w:rFonts w:hint="eastAsia" w:ascii="宋体" w:hAnsi="宋体" w:cs="宋体"/>
                <w:sz w:val="20"/>
                <w:szCs w:val="20"/>
              </w:rPr>
            </w:pPr>
            <w:r>
              <w:rPr>
                <w:rFonts w:hint="eastAsia" w:ascii="宋体" w:hAnsi="宋体" w:cs="宋体"/>
                <w:kern w:val="0"/>
                <w:sz w:val="20"/>
                <w:szCs w:val="20"/>
              </w:rPr>
              <w:t>其中：股权转让损失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26</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00" w:hanging="400" w:hangingChars="200"/>
              <w:textAlignment w:val="center"/>
              <w:rPr>
                <w:rFonts w:hint="eastAsia" w:ascii="宋体" w:hAnsi="宋体" w:cs="宋体"/>
                <w:sz w:val="20"/>
                <w:szCs w:val="20"/>
              </w:rPr>
            </w:pPr>
            <w:r>
              <w:rPr>
                <w:rFonts w:hint="eastAsia" w:ascii="宋体" w:hAnsi="宋体" w:cs="宋体"/>
                <w:kern w:val="0"/>
                <w:sz w:val="20"/>
                <w:szCs w:val="20"/>
              </w:rPr>
              <w:t>十、通过各种交易场所、市场买卖债券、股票、期货、基金以及金融衍生产品等发生的损失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87"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27</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十一、打包出售资产损失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3"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28</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十二、其他资产损失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5"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29</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合计（1+2+5+7+9+12+14+16+24+26+27+28）</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1" w:hRule="atLeast"/>
          <w:jc w:val="center"/>
        </w:trPr>
        <w:tc>
          <w:tcPr>
            <w:tcW w:w="682" w:type="dxa"/>
            <w:tcBorders>
              <w:top w:val="single" w:color="000000" w:sz="6" w:space="0"/>
              <w:left w:val="single" w:color="000000" w:sz="12" w:space="0"/>
              <w:bottom w:val="single" w:color="000000" w:sz="12"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30</w:t>
            </w:r>
          </w:p>
        </w:tc>
        <w:tc>
          <w:tcPr>
            <w:tcW w:w="6401" w:type="dxa"/>
            <w:tcBorders>
              <w:top w:val="single" w:color="000000" w:sz="6" w:space="0"/>
              <w:left w:val="single" w:color="000000" w:sz="6" w:space="0"/>
              <w:bottom w:val="single" w:color="000000" w:sz="12" w:space="0"/>
              <w:right w:val="single" w:color="000000" w:sz="6" w:space="0"/>
            </w:tcBorders>
            <w:vAlign w:val="center"/>
          </w:tcPr>
          <w:p>
            <w:pPr>
              <w:widowControl/>
              <w:ind w:firstLine="500" w:firstLineChars="250"/>
              <w:textAlignment w:val="center"/>
              <w:rPr>
                <w:rFonts w:hint="eastAsia" w:ascii="宋体" w:hAnsi="宋体" w:cs="宋体"/>
                <w:sz w:val="20"/>
                <w:szCs w:val="20"/>
              </w:rPr>
            </w:pPr>
            <w:r>
              <w:rPr>
                <w:rFonts w:hint="eastAsia" w:ascii="宋体" w:hAnsi="宋体" w:cs="宋体"/>
                <w:kern w:val="0"/>
                <w:sz w:val="20"/>
                <w:szCs w:val="20"/>
              </w:rPr>
              <w:t>其中：分支机构留存备查的资产损失</w:t>
            </w:r>
          </w:p>
        </w:tc>
        <w:tc>
          <w:tcPr>
            <w:tcW w:w="1155" w:type="dxa"/>
            <w:tcBorders>
              <w:top w:val="single" w:color="000000" w:sz="6" w:space="0"/>
              <w:left w:val="single" w:color="000000" w:sz="6" w:space="0"/>
              <w:bottom w:val="single" w:color="000000" w:sz="12"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12"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12"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12"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12"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12" w:space="0"/>
              <w:right w:val="single" w:color="000000" w:sz="6" w:space="0"/>
            </w:tcBorders>
            <w:vAlign w:val="center"/>
          </w:tcPr>
          <w:p>
            <w:pPr>
              <w:jc w:val="center"/>
              <w:rPr>
                <w:rFonts w:hint="eastAsia" w:ascii="宋体" w:hAnsi="宋体" w:cs="宋体"/>
                <w:sz w:val="22"/>
              </w:rPr>
            </w:pPr>
          </w:p>
        </w:tc>
        <w:tc>
          <w:tcPr>
            <w:tcW w:w="1213" w:type="dxa"/>
            <w:tcBorders>
              <w:top w:val="single" w:color="000000" w:sz="6" w:space="0"/>
              <w:left w:val="single" w:color="000000" w:sz="6" w:space="0"/>
              <w:bottom w:val="single" w:color="000000" w:sz="12" w:space="0"/>
              <w:right w:val="single" w:color="000000" w:sz="12" w:space="0"/>
            </w:tcBorders>
            <w:vAlign w:val="center"/>
          </w:tcPr>
          <w:p>
            <w:pPr>
              <w:jc w:val="center"/>
              <w:rPr>
                <w:rFonts w:hint="eastAsia" w:ascii="宋体" w:hAnsi="宋体" w:cs="宋体"/>
                <w:sz w:val="22"/>
              </w:rPr>
            </w:pPr>
          </w:p>
        </w:tc>
      </w:tr>
    </w:tbl>
    <w:p>
      <w:pPr>
        <w:rPr>
          <w:rFonts w:hint="eastAsia" w:ascii="宋体" w:hAnsi="宋体" w:cs="宋体"/>
        </w:rPr>
      </w:pPr>
    </w:p>
    <w:p>
      <w:pPr>
        <w:rPr>
          <w:rFonts w:hint="eastAsia" w:ascii="宋体" w:hAnsi="宋体" w:cs="宋体"/>
        </w:rPr>
        <w:sectPr>
          <w:pgSz w:w="16838" w:h="11906" w:orient="landscape"/>
          <w:pgMar w:top="1418" w:right="1928" w:bottom="1418" w:left="1985" w:header="851" w:footer="992" w:gutter="113"/>
          <w:pgNumType w:fmt="decimal"/>
          <w:cols w:space="720" w:num="1"/>
          <w:docGrid w:linePitch="312" w:charSpace="0"/>
        </w:sectPr>
      </w:pPr>
    </w:p>
    <w:p>
      <w:pPr>
        <w:pStyle w:val="5"/>
        <w:jc w:val="center"/>
        <w:rPr>
          <w:rFonts w:hint="eastAsia"/>
        </w:rPr>
      </w:pPr>
      <w:bookmarkStart w:id="3" w:name="_Toc3389"/>
      <w:bookmarkStart w:id="4" w:name="_Toc54267927"/>
      <w:r>
        <w:rPr>
          <w:rFonts w:hint="eastAsia"/>
        </w:rPr>
        <w:t>A105090</w:t>
      </w:r>
      <w:r>
        <w:rPr>
          <w:rFonts w:hint="eastAsia"/>
        </w:rPr>
        <w:tab/>
      </w:r>
      <w:r>
        <w:rPr>
          <w:rFonts w:hint="eastAsia"/>
        </w:rPr>
        <w:t>《资产损失税前扣除及纳税调整明细表》填报说明</w:t>
      </w:r>
      <w:bookmarkEnd w:id="3"/>
      <w:bookmarkEnd w:id="4"/>
    </w:p>
    <w:p>
      <w:pPr>
        <w:widowControl/>
        <w:spacing w:line="540" w:lineRule="atLeast"/>
        <w:ind w:firstLine="480" w:firstLineChars="200"/>
        <w:jc w:val="left"/>
        <w:rPr>
          <w:rFonts w:hint="eastAsia" w:ascii="宋体" w:hAnsi="宋体" w:cs="宋体"/>
          <w:sz w:val="24"/>
        </w:rPr>
      </w:pPr>
      <w:r>
        <w:rPr>
          <w:rFonts w:hint="eastAsia" w:ascii="宋体" w:hAnsi="宋体" w:cs="宋体"/>
          <w:sz w:val="24"/>
        </w:rPr>
        <w:t>本表适用于发生资产损失税前扣除项目及纳税调整项目的纳税人填报。纳税人根据税法、《财政部 国家税务总局关于企业资产损失税前扣除政策的通知》（财税〔2009〕57号）、《国家税务总局关于发布〈企业资产损失所得税税前扣除管理办法〉的公告》（2011年第25号发布、国家税务总局公告2018年第31号修改）、《国家税务总局关于商业零售企业存货损失税前扣除问题的公告》（2014年第3号）、《国家税务总局关于企业因国务院决定事项形成的资产损失税前扣除问题的公告》（2014年第18号）、《财政部 税务总局关于金融企业涉农贷款和中小企业贷款损失准备金税前扣除有关政策的公告》（2019年第85号）、《财政部 税务总局关于金融企业贷款损失准备金企业所得税税前扣除有关政策的公告》（2019年第86号）、《国家税务总局关于金融企业涉农贷款和中小企业贷款损失税前扣除问题的公告》（2015年第25号）、《国家税务总局关于企业所得税资产损失资料留存备查有关事项的公告》（2018年第15号）等相关规定，及国家统一企业会计制度，填报资产损失的会计处理、税收规定，以及纳税调整情况。</w:t>
      </w:r>
    </w:p>
    <w:p>
      <w:pPr>
        <w:pStyle w:val="9"/>
        <w:spacing w:before="156"/>
        <w:ind w:firstLine="482"/>
        <w:outlineLvl w:val="0"/>
        <w:rPr>
          <w:rFonts w:hint="eastAsia" w:cs="宋体"/>
        </w:rPr>
      </w:pPr>
      <w:bookmarkStart w:id="5" w:name="_Toc54267561"/>
      <w:bookmarkStart w:id="6" w:name="_Toc54267928"/>
      <w:r>
        <w:rPr>
          <w:rFonts w:hint="eastAsia" w:cs="宋体"/>
        </w:rPr>
        <w:t>一、有关项目填报说明</w:t>
      </w:r>
      <w:bookmarkEnd w:id="5"/>
      <w:bookmarkEnd w:id="6"/>
    </w:p>
    <w:p>
      <w:pPr>
        <w:pStyle w:val="10"/>
        <w:outlineLvl w:val="1"/>
        <w:rPr>
          <w:rFonts w:hint="eastAsia" w:ascii="宋体" w:hAnsi="宋体" w:eastAsia="宋体" w:cs="宋体"/>
        </w:rPr>
      </w:pPr>
      <w:bookmarkStart w:id="7" w:name="_Toc54267929"/>
      <w:bookmarkStart w:id="8" w:name="_Toc54267562"/>
      <w:r>
        <w:rPr>
          <w:rFonts w:hint="eastAsia" w:ascii="宋体" w:hAnsi="宋体" w:eastAsia="宋体" w:cs="宋体"/>
        </w:rPr>
        <w:t>（一）行次填报</w:t>
      </w:r>
      <w:bookmarkEnd w:id="7"/>
      <w:bookmarkEnd w:id="8"/>
    </w:p>
    <w:p>
      <w:pPr>
        <w:pStyle w:val="6"/>
        <w:rPr>
          <w:rFonts w:hint="eastAsia" w:cs="宋体"/>
        </w:rPr>
      </w:pPr>
      <w:r>
        <w:rPr>
          <w:rFonts w:hint="eastAsia" w:cs="宋体"/>
        </w:rPr>
        <w:t>纳税人在第1至28行按资产类型填报留存备查的资产损失情况，跨地区经营汇总纳税企业在第1行至28行应填报总机构和全部分支机构的资产损失情况，并在第30行填报各分支机构留存备查的资产损失汇总情况。</w:t>
      </w:r>
    </w:p>
    <w:p>
      <w:pPr>
        <w:pStyle w:val="6"/>
        <w:rPr>
          <w:rFonts w:hint="eastAsia" w:cs="宋体"/>
        </w:rPr>
      </w:pPr>
      <w:r>
        <w:rPr>
          <w:rFonts w:hint="eastAsia" w:cs="宋体"/>
        </w:rPr>
        <w:t>1.第1行“一、现金及银行存款损失”：填报纳税人当年发生的现金损失和银行存款损失的账载金额、资产处置收入、赔偿收入、资产计税基础、资产损失的税收金额及纳税调整金额。</w:t>
      </w:r>
    </w:p>
    <w:p>
      <w:pPr>
        <w:pStyle w:val="6"/>
        <w:rPr>
          <w:rFonts w:hint="eastAsia" w:cs="宋体"/>
        </w:rPr>
      </w:pPr>
      <w:r>
        <w:rPr>
          <w:rFonts w:hint="eastAsia" w:cs="宋体"/>
        </w:rPr>
        <w:t>2.第2行“二、应收及预付款项坏账损失”：填报纳税人当年发生的应收及预付款项坏账损失的账载金额、资产损失准备金核销金额、资产处置收入、赔偿收入、资产计税基础、资产损失的税收金额及纳税调整金额。</w:t>
      </w:r>
    </w:p>
    <w:p>
      <w:pPr>
        <w:pStyle w:val="6"/>
        <w:rPr>
          <w:rFonts w:hint="eastAsia" w:cs="宋体"/>
        </w:rPr>
      </w:pPr>
      <w:r>
        <w:rPr>
          <w:rFonts w:hint="eastAsia" w:cs="宋体"/>
        </w:rPr>
        <w:t>3.第3行“逾期三年以上的应收款项损失”：填报纳税人当年发生的应收及预付款项坏账损失中，逾期三年以上的应收款项且当年在会计上已作为损失处理的坏账损失的账载金额、资产损失准备金核销金额、资产处置收入、赔偿收入、资产计税基础、资产损失的税收金额及纳税调整金额。</w:t>
      </w:r>
    </w:p>
    <w:p>
      <w:pPr>
        <w:pStyle w:val="6"/>
        <w:rPr>
          <w:rFonts w:hint="eastAsia" w:cs="宋体"/>
        </w:rPr>
      </w:pPr>
      <w:r>
        <w:rPr>
          <w:rFonts w:hint="eastAsia" w:cs="宋体"/>
        </w:rPr>
        <w:t>4.第4行“逾期一年以上的小额应收款项损失”：填报纳税人当年发生的应收及预付款项坏账损失中，逾期一年以上，单笔数额不超过五万或者不超过企业年度收入总额万分之一的应收款项，会计上已经作为损失处理的坏账损失的账载金额、资产损失准备金核销金额、资产处置收入、赔偿收入、资产计税基础、资产损失的税收金额及纳税调整金额。</w:t>
      </w:r>
    </w:p>
    <w:p>
      <w:pPr>
        <w:pStyle w:val="6"/>
        <w:rPr>
          <w:rFonts w:hint="eastAsia" w:cs="宋体"/>
        </w:rPr>
      </w:pPr>
      <w:r>
        <w:rPr>
          <w:rFonts w:hint="eastAsia" w:cs="宋体"/>
        </w:rPr>
        <w:t>5.第5行“三、存货损失”：填报纳税人当年发生的存货损失的账载金额、资产损失准备金核销金额、资产处置收入、赔偿收入、资产计税基础、资产损失的税收金额及纳税调整金额。</w:t>
      </w:r>
    </w:p>
    <w:p>
      <w:pPr>
        <w:pStyle w:val="6"/>
        <w:rPr>
          <w:rFonts w:hint="eastAsia" w:cs="宋体"/>
        </w:rPr>
      </w:pPr>
      <w:r>
        <w:rPr>
          <w:rFonts w:hint="eastAsia" w:cs="宋体"/>
        </w:rPr>
        <w:t>6.第6行“存货盘亏、报废、损毁、变质或被盗损失”：填报纳税人当年发生的存货损失中，存货盘亏损失、存货报废、毁损或变质损失以及存货被盗损失的账载金额、资产损失准备金核销金额、资产处置收入、赔偿收入、资产计税基础、资产损失的税收金额及纳税调整金额。</w:t>
      </w:r>
    </w:p>
    <w:p>
      <w:pPr>
        <w:pStyle w:val="6"/>
        <w:rPr>
          <w:rFonts w:hint="eastAsia" w:cs="宋体"/>
        </w:rPr>
      </w:pPr>
      <w:r>
        <w:rPr>
          <w:rFonts w:hint="eastAsia" w:cs="宋体"/>
        </w:rPr>
        <w:t>7.第7行“四、固定资产损失”：填报纳税人当年发生的固定资产损失的账载金额、资产损失准备金核销金额、资产处置收入、赔偿收入、资产计税基础、资产损失的税收金额及纳税调整金额。</w:t>
      </w:r>
    </w:p>
    <w:p>
      <w:pPr>
        <w:pStyle w:val="6"/>
        <w:rPr>
          <w:rFonts w:hint="eastAsia" w:cs="宋体"/>
        </w:rPr>
      </w:pPr>
      <w:r>
        <w:rPr>
          <w:rFonts w:hint="eastAsia" w:cs="宋体"/>
        </w:rPr>
        <w:t>8.第8行“固定资产盘亏、丢失、报废、损毁或被盗损失”：填报纳税人当年发生的固定资产损失中，固定资产盘亏、丢失损失，报废、毁损损失以及被盗损失的账载金额、资产损失准备金核销金额、资产处置收入、赔偿收入、资产计税基础、资产损失的税收金额及纳税调整金额。</w:t>
      </w:r>
    </w:p>
    <w:p>
      <w:pPr>
        <w:pStyle w:val="6"/>
        <w:rPr>
          <w:rFonts w:hint="eastAsia" w:cs="宋体"/>
        </w:rPr>
      </w:pPr>
      <w:r>
        <w:rPr>
          <w:rFonts w:hint="eastAsia" w:cs="宋体"/>
        </w:rPr>
        <w:t>9.第9行“五、无形资产损失”：填报纳税人当年发生的无形资产损失的账载金额、资产损失准备金核销金额、资产处置收入、赔偿收入、资产计税基础、资产损失的税收金额及纳税调整金额。</w:t>
      </w:r>
    </w:p>
    <w:p>
      <w:pPr>
        <w:pStyle w:val="6"/>
        <w:rPr>
          <w:rFonts w:hint="eastAsia" w:cs="宋体"/>
        </w:rPr>
      </w:pPr>
      <w:r>
        <w:rPr>
          <w:rFonts w:hint="eastAsia" w:cs="宋体"/>
        </w:rPr>
        <w:t>10.第10行“无形资产转让损失”：填报纳税人当年在正常经营管理活动中，按照公允价格转让无形资产发生的损失的账载金额、资产损失准备金核销金额、资产处置收入、赔偿收入、资产计税基础、资产损失的税收金额及纳税调整金额。</w:t>
      </w:r>
    </w:p>
    <w:p>
      <w:pPr>
        <w:pStyle w:val="6"/>
        <w:rPr>
          <w:rFonts w:hint="eastAsia" w:cs="宋体"/>
        </w:rPr>
      </w:pPr>
      <w:r>
        <w:rPr>
          <w:rFonts w:hint="eastAsia" w:cs="宋体"/>
        </w:rPr>
        <w:t>11.第11行“无形资产被替代或超过法律保护期限形成的损失”：填报纳税人当年发生的无形资产损失中，被其他新技术所代替或超过法律保护期限，已经丧失使用价值和转让价值，尚未摊销的无形资产损失的账载金额、资产损失准备金核销金额、资产处置收入、赔偿收入、资产计税基础、资产损失的税收金额及纳税调整金额。</w:t>
      </w:r>
    </w:p>
    <w:p>
      <w:pPr>
        <w:pStyle w:val="6"/>
        <w:rPr>
          <w:rFonts w:hint="eastAsia" w:cs="宋体"/>
        </w:rPr>
      </w:pPr>
      <w:r>
        <w:rPr>
          <w:rFonts w:hint="eastAsia" w:cs="宋体"/>
        </w:rPr>
        <w:t>12.第12行“六、在建工程损失”：填报纳税人当年发生的在建工程损失的账载金额、资产处置收入、赔偿收入、资产计税基础、资产损失的税收金额及纳税调整金额。</w:t>
      </w:r>
    </w:p>
    <w:p>
      <w:pPr>
        <w:pStyle w:val="6"/>
        <w:rPr>
          <w:rFonts w:hint="eastAsia" w:cs="宋体"/>
        </w:rPr>
      </w:pPr>
      <w:r>
        <w:rPr>
          <w:rFonts w:hint="eastAsia" w:cs="宋体"/>
        </w:rPr>
        <w:t>13.第13行“在建工程停建、报废损失”：填报纳税人当年发生的在建工程损失中，在建工程停建、报废损失的账载金额、资产处置收入、赔偿收入、资产计税基础、资产损失的税收金额及纳税调整金额。</w:t>
      </w:r>
    </w:p>
    <w:p>
      <w:pPr>
        <w:pStyle w:val="6"/>
        <w:rPr>
          <w:rFonts w:hint="eastAsia" w:cs="宋体"/>
        </w:rPr>
      </w:pPr>
      <w:r>
        <w:rPr>
          <w:rFonts w:hint="eastAsia" w:cs="宋体"/>
        </w:rPr>
        <w:t>14.第14行“七、生产性生物资产损失”：填报纳税人当年发生的生产性生物资产损失的账载金额、资产损失准备金核销金额、资产处置收入、赔偿收入、资产计税基础、资产损失的税收金额及纳税调整金额。</w:t>
      </w:r>
    </w:p>
    <w:p>
      <w:pPr>
        <w:pStyle w:val="6"/>
        <w:rPr>
          <w:rFonts w:hint="eastAsia" w:cs="宋体"/>
        </w:rPr>
      </w:pPr>
      <w:r>
        <w:rPr>
          <w:rFonts w:hint="eastAsia" w:cs="宋体"/>
        </w:rPr>
        <w:t>15.第15行“生产性生物资产盘亏、非正常死亡、被盗、丢失等产生的损失”：填报纳税人当年发生的生产性生物资产损失中，生产性生物资产盘亏损失、因森林病虫害、疫情、死亡而产生的生产性生物资产损失以及被盗伐、被盗、丢失而产生的生产性生物资产损失的账载金额、资产损失准备金核销金额、资产处置收入、赔偿收入、资产计税基础、资产损失的税收金额及纳税调整金额。</w:t>
      </w:r>
    </w:p>
    <w:p>
      <w:pPr>
        <w:pStyle w:val="6"/>
        <w:rPr>
          <w:rFonts w:hint="eastAsia" w:cs="宋体"/>
        </w:rPr>
      </w:pPr>
      <w:r>
        <w:rPr>
          <w:rFonts w:hint="eastAsia" w:cs="宋体"/>
        </w:rPr>
        <w:t>16.第16行“八、债权性投资损失”：填报纳税人当年发生的债权性投资损失的账载金额、资产损失准备金核销金额、资产处置收入、赔偿收入、资产计税基础、资产损失的税收金额及纳税调整金额。</w:t>
      </w:r>
    </w:p>
    <w:p>
      <w:pPr>
        <w:pStyle w:val="6"/>
        <w:rPr>
          <w:rFonts w:hint="eastAsia" w:cs="宋体"/>
        </w:rPr>
      </w:pPr>
      <w:r>
        <w:rPr>
          <w:rFonts w:hint="eastAsia" w:cs="宋体"/>
        </w:rPr>
        <w:t>17.第17行“（一）金融企业债权性投资损失”：填报金融企业当年发生的债权性投资损失的账载金额、资产损失准备金核销金额、资产处置收入、赔偿收入、资产计税基础、资产损失的税收金额及纳税调整金额。</w:t>
      </w:r>
    </w:p>
    <w:p>
      <w:pPr>
        <w:pStyle w:val="6"/>
        <w:rPr>
          <w:rFonts w:hint="eastAsia" w:cs="宋体"/>
        </w:rPr>
      </w:pPr>
      <w:r>
        <w:rPr>
          <w:rFonts w:hint="eastAsia" w:cs="宋体"/>
        </w:rPr>
        <w:t>18.第18行“1.贷款损失”：填报金融企业当年发生的贷款损失的账载金额、资产损失准备金核销金额、资产处置收入、赔偿收入、资产计税基础、资产损失的税收金额及纳税调整金额。</w:t>
      </w:r>
    </w:p>
    <w:p>
      <w:pPr>
        <w:pStyle w:val="6"/>
        <w:rPr>
          <w:rFonts w:hint="eastAsia" w:cs="宋体"/>
        </w:rPr>
      </w:pPr>
      <w:r>
        <w:rPr>
          <w:rFonts w:hint="eastAsia" w:cs="宋体"/>
        </w:rPr>
        <w:t>19.第19行“符合条件的涉农和中小企业贷款损失”：填报金融企业当年发生的，符合规定条件的涉农和中小企业贷款形成的资产损失的账载金额、资产损失准备金核销金额、资产处置收入、赔偿收入、资产计税基础、资产损失的税收金额及纳税调整金额。</w:t>
      </w:r>
    </w:p>
    <w:p>
      <w:pPr>
        <w:pStyle w:val="6"/>
        <w:rPr>
          <w:rFonts w:hint="eastAsia" w:cs="宋体"/>
        </w:rPr>
      </w:pPr>
      <w:r>
        <w:rPr>
          <w:rFonts w:hint="eastAsia" w:cs="宋体"/>
        </w:rPr>
        <w:t>20.第20行“单户贷款余额300万（含）以下的贷款损失”：填报金融企业当年发生的符合条件的涉农和中小企业贷款损失中，单户贷款余额300万（含）以下的资产损失的账载金额、资产损失准备金核销金额、资产处置收入、赔偿收入、资产计税基础、资产损失的税收金额及纳税调整金额。</w:t>
      </w:r>
    </w:p>
    <w:p>
      <w:pPr>
        <w:pStyle w:val="6"/>
        <w:rPr>
          <w:rFonts w:hint="eastAsia" w:cs="宋体"/>
        </w:rPr>
      </w:pPr>
      <w:r>
        <w:rPr>
          <w:rFonts w:hint="eastAsia" w:cs="宋体"/>
        </w:rPr>
        <w:t>21.第21行“单户贷款余额300万元至1000万元（含）的贷款损失”：填报金融企业当年发生的符合条件的涉农和中小企业贷款损失中，单户余额300万元至1000万元（含）的资产损失的账载金额、资产损失准备金核销金额、资产处置收入、赔偿收入、资产计税基础、资产损失的税收金额及纳税调整金额。</w:t>
      </w:r>
    </w:p>
    <w:p>
      <w:pPr>
        <w:pStyle w:val="6"/>
        <w:rPr>
          <w:rFonts w:hint="eastAsia" w:cs="宋体"/>
        </w:rPr>
      </w:pPr>
      <w:r>
        <w:rPr>
          <w:rFonts w:hint="eastAsia" w:cs="宋体"/>
        </w:rPr>
        <w:t>22.第22行“2.其他债权性投资损失”：填报金融企业当年发生的，除贷款损失以外的其他债权性投资损失的账载金额、资产损失准备金核销金额、资产处置收入、赔偿收入、资产计税基础、资产损失的税收金额及纳税调整金额。</w:t>
      </w:r>
    </w:p>
    <w:p>
      <w:pPr>
        <w:pStyle w:val="6"/>
        <w:rPr>
          <w:rFonts w:hint="eastAsia" w:cs="宋体"/>
        </w:rPr>
      </w:pPr>
      <w:r>
        <w:rPr>
          <w:rFonts w:hint="eastAsia" w:cs="宋体"/>
        </w:rPr>
        <w:t>23.第23行“（二）非金融企业债权性投资损失”：填报非金融企业当年发生的债权性投资损失的账载金额、资产损失准备金核销金额、资产处置收入、赔偿收入、资产计税基础、资产损失的税收金额及纳税调整金额。</w:t>
      </w:r>
    </w:p>
    <w:p>
      <w:pPr>
        <w:pStyle w:val="6"/>
        <w:rPr>
          <w:rFonts w:hint="eastAsia" w:cs="宋体"/>
        </w:rPr>
      </w:pPr>
      <w:r>
        <w:rPr>
          <w:rFonts w:hint="eastAsia" w:cs="宋体"/>
        </w:rPr>
        <w:t>24.第24行“九、股权（权益）性投资损失”：填报纳税人当年发生的股权（权益）性投资损失的账载金额、资产损失准备金核销金额、资产处置收入、赔偿收入、资产计税基础、资产损失的税收金额及纳税调整金额。</w:t>
      </w:r>
    </w:p>
    <w:p>
      <w:pPr>
        <w:pStyle w:val="6"/>
        <w:rPr>
          <w:rFonts w:hint="eastAsia" w:cs="宋体"/>
        </w:rPr>
      </w:pPr>
      <w:r>
        <w:rPr>
          <w:rFonts w:hint="eastAsia" w:cs="宋体"/>
        </w:rPr>
        <w:t>25.第25行“股权转让损失”：填报纳税人当年发生的股权（权益）性投资损失中，因股权转让形成的资产损失的账载金额、资产损失准备金核销金额、资产处置收入、赔偿收入、资产计税基础、资产损失的税收金额及纳税调整金额。</w:t>
      </w:r>
    </w:p>
    <w:p>
      <w:pPr>
        <w:pStyle w:val="6"/>
        <w:rPr>
          <w:rFonts w:hint="eastAsia" w:cs="宋体"/>
        </w:rPr>
      </w:pPr>
      <w:r>
        <w:rPr>
          <w:rFonts w:hint="eastAsia" w:cs="宋体"/>
        </w:rPr>
        <w:t>26.第26行“十、通过各种场所、市场等买卖债券、股票、期货、基金以及金融衍生产品等发生的损失”：填报纳税人当年发生的，按照市场公平交易原则，通过各种交易场所、市场等买卖债券、股票、期货、基金以及金融衍生产品等发生的损失的账载金额、资产损失准备金核销金额、资产处置收入、赔偿收入、资产计税基础、资产损失的税收金额及纳税调整金额。</w:t>
      </w:r>
    </w:p>
    <w:p>
      <w:pPr>
        <w:pStyle w:val="6"/>
        <w:rPr>
          <w:rFonts w:hint="eastAsia" w:cs="宋体"/>
        </w:rPr>
      </w:pPr>
      <w:r>
        <w:rPr>
          <w:rFonts w:hint="eastAsia" w:cs="宋体"/>
        </w:rPr>
        <w:t>27.第27行“十一、打包出售资产损失”：填报纳税人当年发生的，将不同类别的资产捆绑（打包），以拍卖、询价、竞争性谈判、招标等市场方式出售形成的资产损失的账载金额、资产损失准备金核销金额、资产处置收入、赔偿收入、资产计税基础、资产损失的税收金额及纳税调整金额。</w:t>
      </w:r>
    </w:p>
    <w:p>
      <w:pPr>
        <w:pStyle w:val="6"/>
        <w:rPr>
          <w:rFonts w:hint="eastAsia" w:cs="宋体"/>
        </w:rPr>
      </w:pPr>
      <w:r>
        <w:rPr>
          <w:rFonts w:hint="eastAsia" w:cs="宋体"/>
        </w:rPr>
        <w:t>28.第28行“十二、其他资产损失”：填报纳税人当年发生的其他资产损失的账载金额、资产损失准备金核销金额、资产处置收入、赔偿收入、资产计税基础、资产损失的税收金额及纳税调整金额。</w:t>
      </w:r>
    </w:p>
    <w:p>
      <w:pPr>
        <w:pStyle w:val="6"/>
        <w:rPr>
          <w:rFonts w:hint="eastAsia" w:cs="宋体"/>
        </w:rPr>
      </w:pPr>
      <w:r>
        <w:rPr>
          <w:rFonts w:hint="eastAsia" w:cs="宋体"/>
        </w:rPr>
        <w:t>29.第29行“合计”行次：填报第1+2+5+7+9+12+14+16+24+26+27+28行的合计金额。</w:t>
      </w:r>
    </w:p>
    <w:p>
      <w:pPr>
        <w:pStyle w:val="6"/>
        <w:rPr>
          <w:rFonts w:hint="eastAsia" w:cs="宋体"/>
        </w:rPr>
      </w:pPr>
      <w:r>
        <w:rPr>
          <w:rFonts w:hint="eastAsia" w:cs="宋体"/>
        </w:rPr>
        <w:t>30.第30行“分支机构留存备查的资产损失”：填报跨地区经营企业各分支机构留存备查的资产损失的账载金额、资产损失准备金核销金额、资产处置收入、赔偿收入、资产计税基础、资产损失的税收金额及纳税调整金额。</w:t>
      </w:r>
    </w:p>
    <w:p>
      <w:pPr>
        <w:pStyle w:val="10"/>
        <w:outlineLvl w:val="1"/>
        <w:rPr>
          <w:rFonts w:hint="eastAsia" w:ascii="宋体" w:hAnsi="宋体" w:eastAsia="宋体" w:cs="宋体"/>
        </w:rPr>
      </w:pPr>
      <w:bookmarkStart w:id="9" w:name="_Toc54267563"/>
      <w:bookmarkStart w:id="10" w:name="_Toc54267930"/>
      <w:r>
        <w:rPr>
          <w:rFonts w:hint="eastAsia" w:ascii="宋体" w:hAnsi="宋体" w:eastAsia="宋体" w:cs="宋体"/>
        </w:rPr>
        <w:t>（二）列次填报</w:t>
      </w:r>
      <w:bookmarkEnd w:id="9"/>
      <w:bookmarkEnd w:id="10"/>
    </w:p>
    <w:p>
      <w:pPr>
        <w:pStyle w:val="6"/>
        <w:rPr>
          <w:rFonts w:hint="eastAsia" w:cs="宋体"/>
        </w:rPr>
      </w:pPr>
      <w:r>
        <w:rPr>
          <w:rFonts w:hint="eastAsia" w:cs="宋体"/>
        </w:rPr>
        <w:t>1.第1列“资产损失直接计入本年损益金额”：填报纳税人会计核算计入当期损益的对应项目的资产损失金额，不包含当年度通过准备金项目核销的资产损失金额。</w:t>
      </w:r>
    </w:p>
    <w:p>
      <w:pPr>
        <w:pStyle w:val="6"/>
        <w:rPr>
          <w:rFonts w:hint="eastAsia" w:cs="宋体"/>
        </w:rPr>
      </w:pPr>
      <w:r>
        <w:rPr>
          <w:rFonts w:hint="eastAsia" w:cs="宋体"/>
        </w:rPr>
        <w:t>2.第2列“资产损失准备金核销金额”：填报纳税人会计核算当年度通过准备金项目核销的资产损失金额。</w:t>
      </w:r>
    </w:p>
    <w:p>
      <w:pPr>
        <w:pStyle w:val="6"/>
        <w:rPr>
          <w:rFonts w:hint="eastAsia" w:cs="宋体"/>
        </w:rPr>
      </w:pPr>
      <w:r>
        <w:rPr>
          <w:rFonts w:hint="eastAsia" w:cs="宋体"/>
        </w:rPr>
        <w:t>3.第3列“资产处置收入”：填报纳税人处置发生损失的资产可收回的残值或处置收益。</w:t>
      </w:r>
    </w:p>
    <w:p>
      <w:pPr>
        <w:pStyle w:val="6"/>
        <w:rPr>
          <w:rFonts w:hint="eastAsia" w:cs="宋体"/>
        </w:rPr>
      </w:pPr>
      <w:r>
        <w:rPr>
          <w:rFonts w:hint="eastAsia" w:cs="宋体"/>
        </w:rPr>
        <w:t>4.第4列“赔偿收入”：填报纳税人发生的资产损失，取得的相关责任人、保险公司赔偿的金额。</w:t>
      </w:r>
    </w:p>
    <w:p>
      <w:pPr>
        <w:pStyle w:val="6"/>
        <w:rPr>
          <w:rFonts w:hint="eastAsia" w:cs="宋体"/>
        </w:rPr>
      </w:pPr>
      <w:r>
        <w:rPr>
          <w:rFonts w:hint="eastAsia" w:cs="宋体"/>
        </w:rPr>
        <w:t>5.第5列“资产计税基础”：填报纳税人按税收规定计算的发生损失时资产的计税基础，含损失资产涉及的不得抵扣增值税进项税额。</w:t>
      </w:r>
    </w:p>
    <w:p>
      <w:pPr>
        <w:pStyle w:val="6"/>
        <w:rPr>
          <w:rFonts w:hint="eastAsia" w:cs="宋体"/>
        </w:rPr>
      </w:pPr>
      <w:r>
        <w:rPr>
          <w:rFonts w:hint="eastAsia" w:cs="宋体"/>
        </w:rPr>
        <w:t>6.第6列“资产损失的税收金额”：填报按税收规定允许当期税前扣除的资产损失金额，按第5-3-4列金额填报。</w:t>
      </w:r>
    </w:p>
    <w:p>
      <w:pPr>
        <w:pStyle w:val="6"/>
        <w:rPr>
          <w:rFonts w:hint="eastAsia" w:cs="宋体"/>
        </w:rPr>
      </w:pPr>
      <w:r>
        <w:rPr>
          <w:rFonts w:hint="eastAsia" w:cs="宋体"/>
        </w:rPr>
        <w:t>7.第7列“纳税调整金额”：政策性银行、商业银行、财务公司、城乡信用社、金融租赁公司以及经省级金融管理部门（金融办、局等）批准成立的小额贷款公司第1至15行、第24至26行、第28行填报第1-6列金额；第17至22行、第27行填报第1+2-6列金额。其他企业填报第1-6列金额。</w:t>
      </w:r>
    </w:p>
    <w:p>
      <w:pPr>
        <w:pStyle w:val="9"/>
        <w:ind w:firstLine="482"/>
        <w:outlineLvl w:val="0"/>
        <w:rPr>
          <w:rFonts w:hint="eastAsia" w:cs="宋体"/>
        </w:rPr>
      </w:pPr>
      <w:bookmarkStart w:id="11" w:name="_Toc54267564"/>
      <w:bookmarkStart w:id="12" w:name="_Toc54267931"/>
      <w:r>
        <w:rPr>
          <w:rFonts w:hint="eastAsia" w:cs="宋体"/>
        </w:rPr>
        <w:t>二、表内、表间关系</w:t>
      </w:r>
      <w:bookmarkEnd w:id="11"/>
      <w:bookmarkEnd w:id="12"/>
    </w:p>
    <w:p>
      <w:pPr>
        <w:pStyle w:val="10"/>
        <w:outlineLvl w:val="1"/>
        <w:rPr>
          <w:rFonts w:hint="eastAsia" w:ascii="宋体" w:hAnsi="宋体" w:eastAsia="宋体" w:cs="宋体"/>
        </w:rPr>
      </w:pPr>
      <w:bookmarkStart w:id="13" w:name="_Toc54267932"/>
      <w:bookmarkStart w:id="14" w:name="_Toc54267565"/>
      <w:r>
        <w:rPr>
          <w:rFonts w:hint="eastAsia" w:ascii="宋体" w:hAnsi="宋体" w:eastAsia="宋体" w:cs="宋体"/>
        </w:rPr>
        <w:t>（一）表内关系</w:t>
      </w:r>
      <w:bookmarkEnd w:id="13"/>
      <w:bookmarkEnd w:id="14"/>
    </w:p>
    <w:p>
      <w:pPr>
        <w:pStyle w:val="6"/>
        <w:rPr>
          <w:rFonts w:hint="eastAsia" w:cs="宋体"/>
        </w:rPr>
      </w:pPr>
      <w:r>
        <w:rPr>
          <w:rFonts w:hint="eastAsia" w:cs="宋体"/>
        </w:rPr>
        <w:t>1.第16行＝第17+23行。</w:t>
      </w:r>
    </w:p>
    <w:p>
      <w:pPr>
        <w:pStyle w:val="6"/>
        <w:rPr>
          <w:rFonts w:hint="eastAsia" w:cs="宋体"/>
        </w:rPr>
      </w:pPr>
      <w:r>
        <w:rPr>
          <w:rFonts w:hint="eastAsia" w:cs="宋体"/>
        </w:rPr>
        <w:t>2.第17行＝第18+22行。</w:t>
      </w:r>
    </w:p>
    <w:p>
      <w:pPr>
        <w:pStyle w:val="6"/>
        <w:rPr>
          <w:rFonts w:hint="eastAsia" w:cs="宋体"/>
        </w:rPr>
      </w:pPr>
      <w:r>
        <w:rPr>
          <w:rFonts w:hint="eastAsia" w:cs="宋体"/>
        </w:rPr>
        <w:t>3.第29行＝第1+2+5+7+9+12+14+16+24+26+27+28行。</w:t>
      </w:r>
    </w:p>
    <w:p>
      <w:pPr>
        <w:pStyle w:val="6"/>
        <w:rPr>
          <w:rFonts w:hint="eastAsia" w:cs="宋体"/>
        </w:rPr>
      </w:pPr>
      <w:r>
        <w:rPr>
          <w:rFonts w:hint="eastAsia" w:cs="宋体"/>
        </w:rPr>
        <w:t>4.第6列＝第5-3-4列。</w:t>
      </w:r>
    </w:p>
    <w:p>
      <w:pPr>
        <w:pStyle w:val="6"/>
        <w:rPr>
          <w:rFonts w:hint="eastAsia" w:cs="宋体"/>
        </w:rPr>
      </w:pPr>
      <w:r>
        <w:rPr>
          <w:rFonts w:hint="eastAsia" w:cs="宋体"/>
        </w:rPr>
        <w:t>5.政策性银行、商业银行、财务公司、城乡信用社、金融租赁公司以及经省级金融管理部门（金融办、局等）批准成立的小额贷款公司：第1至15行、第24至26行、第28行第7列＝第1-6列金额；第17至22行、第27行第7列＝第1+2-6列金额。</w:t>
      </w:r>
    </w:p>
    <w:p>
      <w:pPr>
        <w:pStyle w:val="6"/>
        <w:rPr>
          <w:rFonts w:hint="eastAsia" w:cs="宋体"/>
        </w:rPr>
      </w:pPr>
      <w:r>
        <w:rPr>
          <w:rFonts w:hint="eastAsia" w:cs="宋体"/>
        </w:rPr>
        <w:t>其他企业：第7列＝第1-6列。</w:t>
      </w:r>
    </w:p>
    <w:p>
      <w:pPr>
        <w:pStyle w:val="10"/>
        <w:outlineLvl w:val="1"/>
        <w:rPr>
          <w:rFonts w:hint="eastAsia" w:ascii="宋体" w:hAnsi="宋体" w:eastAsia="宋体" w:cs="宋体"/>
        </w:rPr>
      </w:pPr>
      <w:bookmarkStart w:id="15" w:name="_Toc54267933"/>
      <w:bookmarkStart w:id="16" w:name="_Toc54267566"/>
      <w:r>
        <w:rPr>
          <w:rFonts w:hint="eastAsia" w:ascii="宋体" w:hAnsi="宋体" w:eastAsia="宋体" w:cs="宋体"/>
        </w:rPr>
        <w:t>（二）表间关系</w:t>
      </w:r>
      <w:bookmarkEnd w:id="15"/>
      <w:bookmarkEnd w:id="16"/>
    </w:p>
    <w:p>
      <w:pPr>
        <w:pStyle w:val="6"/>
        <w:rPr>
          <w:rFonts w:hint="eastAsia" w:cs="宋体"/>
        </w:rPr>
        <w:sectPr>
          <w:pgSz w:w="11906" w:h="16838"/>
          <w:pgMar w:top="1985" w:right="1418" w:bottom="1928" w:left="1418" w:header="851" w:footer="992" w:gutter="113"/>
          <w:pgNumType w:fmt="decimal"/>
          <w:cols w:space="720" w:num="1"/>
          <w:docGrid w:linePitch="312" w:charSpace="0"/>
        </w:sectPr>
      </w:pPr>
      <w:r>
        <w:rPr>
          <w:rFonts w:hint="eastAsia" w:cs="宋体"/>
        </w:rPr>
        <w:t>若第29行第7列≥0，第29行第7列＝表A105000第34行第3列；若第29行第7列＜0，第29行第7列的绝对值＝表A105000第34行第4列。</w:t>
      </w:r>
      <w:bookmarkStart w:id="17" w:name="_GoBack"/>
      <w:bookmarkEnd w:id="17"/>
    </w:p>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BE23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TableOfAuthoring"/>
    <w:basedOn w:val="1"/>
    <w:next w:val="1"/>
    <w:qFormat/>
    <w:uiPriority w:val="0"/>
    <w:pPr>
      <w:ind w:left="420" w:leftChars="200"/>
    </w:pPr>
  </w:style>
  <w:style w:type="paragraph" w:customStyle="1" w:styleId="5">
    <w:name w:val="SBBT1"/>
    <w:basedOn w:val="6"/>
    <w:qFormat/>
    <w:uiPriority w:val="0"/>
    <w:pPr>
      <w:tabs>
        <w:tab w:val="center" w:pos="4678"/>
      </w:tabs>
      <w:ind w:firstLine="0" w:firstLineChars="0"/>
      <w:jc w:val="left"/>
      <w:outlineLvl w:val="0"/>
    </w:pPr>
    <w:rPr>
      <w:rFonts w:cs="宋体"/>
      <w:b/>
      <w:bCs/>
      <w:kern w:val="0"/>
      <w:sz w:val="28"/>
      <w:szCs w:val="28"/>
    </w:rPr>
  </w:style>
  <w:style w:type="paragraph" w:customStyle="1" w:styleId="6">
    <w:name w:val="SBBZW"/>
    <w:basedOn w:val="1"/>
    <w:qFormat/>
    <w:uiPriority w:val="0"/>
    <w:pPr>
      <w:spacing w:line="360" w:lineRule="auto"/>
      <w:ind w:firstLine="480" w:firstLineChars="200"/>
    </w:pPr>
    <w:rPr>
      <w:rFonts w:ascii="宋体" w:hAnsi="宋体"/>
      <w:sz w:val="24"/>
    </w:rPr>
  </w:style>
  <w:style w:type="character" w:customStyle="1" w:styleId="7">
    <w:name w:val="font41"/>
    <w:qFormat/>
    <w:uiPriority w:val="0"/>
    <w:rPr>
      <w:rFonts w:ascii="宋体" w:hAnsi="宋体" w:eastAsia="宋体"/>
      <w:color w:val="000000"/>
      <w:sz w:val="20"/>
      <w:u w:val="none"/>
    </w:rPr>
  </w:style>
  <w:style w:type="character" w:customStyle="1" w:styleId="8">
    <w:name w:val="font11"/>
    <w:qFormat/>
    <w:uiPriority w:val="0"/>
    <w:rPr>
      <w:rFonts w:ascii="宋体" w:hAnsi="宋体" w:eastAsia="宋体"/>
      <w:color w:val="000000"/>
      <w:sz w:val="20"/>
      <w:u w:val="none"/>
    </w:rPr>
  </w:style>
  <w:style w:type="paragraph" w:customStyle="1" w:styleId="9">
    <w:name w:val="SBBL2"/>
    <w:basedOn w:val="1"/>
    <w:qFormat/>
    <w:uiPriority w:val="0"/>
    <w:pPr>
      <w:spacing w:line="360" w:lineRule="auto"/>
      <w:ind w:firstLine="200" w:firstLineChars="200"/>
      <w:jc w:val="left"/>
      <w:outlineLvl w:val="1"/>
    </w:pPr>
    <w:rPr>
      <w:rFonts w:ascii="宋体" w:hAnsi="宋体" w:cs="Calibri"/>
      <w:b/>
      <w:sz w:val="24"/>
    </w:rPr>
  </w:style>
  <w:style w:type="paragraph" w:customStyle="1" w:styleId="10">
    <w:name w:val="SBBL3"/>
    <w:basedOn w:val="1"/>
    <w:qFormat/>
    <w:uiPriority w:val="0"/>
    <w:pPr>
      <w:spacing w:line="360" w:lineRule="auto"/>
      <w:ind w:firstLine="480" w:firstLineChars="200"/>
      <w:outlineLvl w:val="2"/>
    </w:pPr>
    <w:rPr>
      <w:rFonts w:ascii="黑体" w:hAnsi="黑体" w:eastAsia="黑体" w:cs="Calibri"/>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2023-03-02T04:02:00Z</dcterms:created>
  <dc:creator>陈东柱</dc:creator>
  <cp:lastModifiedBy>陈东柱</cp:lastModifiedBy>
  <dcterms:modified xsi:type="dcterms:W3CDTF">2023-03-02T04:46:43Z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