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center" w:pos="6520"/>
          <w:tab w:val="clear" w:pos="4678"/>
        </w:tabs>
        <w:rPr>
          <w:rFonts w:hint="eastAsia"/>
        </w:rPr>
      </w:pPr>
      <w:bookmarkStart w:id="0" w:name="_Toc24674"/>
      <w:bookmarkStart w:id="1" w:name="_Toc54267918"/>
      <w:bookmarkStart w:id="2" w:name="_Toc1822427688_WPSOffice_Level1"/>
      <w:bookmarkStart w:id="3" w:name="_Toc420684843_WPSOffice_Level1"/>
      <w:r>
        <w:rPr>
          <w:rFonts w:hint="eastAsia"/>
        </w:rPr>
        <w:t>A105080</w:t>
      </w:r>
      <w:r>
        <w:rPr>
          <w:rFonts w:hint="eastAsia"/>
        </w:rPr>
        <w:tab/>
      </w:r>
      <w:bookmarkStart w:id="21" w:name="_GoBack"/>
      <w:r>
        <w:rPr>
          <w:rFonts w:hint="eastAsia"/>
        </w:rPr>
        <w:t>资产折旧、摊销及纳税调整明细表</w:t>
      </w:r>
      <w:bookmarkEnd w:id="0"/>
      <w:bookmarkEnd w:id="1"/>
      <w:bookmarkEnd w:id="21"/>
    </w:p>
    <w:bookmarkEnd w:id="2"/>
    <w:bookmarkEnd w:id="3"/>
    <w:tbl>
      <w:tblPr>
        <w:tblStyle w:val="3"/>
        <w:tblW w:w="14610"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16"/>
        <w:gridCol w:w="900"/>
        <w:gridCol w:w="1468"/>
        <w:gridCol w:w="2900"/>
        <w:gridCol w:w="745"/>
        <w:gridCol w:w="913"/>
        <w:gridCol w:w="1075"/>
        <w:gridCol w:w="791"/>
        <w:gridCol w:w="1075"/>
        <w:gridCol w:w="1075"/>
        <w:gridCol w:w="1078"/>
        <w:gridCol w:w="1075"/>
        <w:gridCol w:w="89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616" w:type="dxa"/>
            <w:vMerge w:val="restart"/>
            <w:tcBorders>
              <w:top w:val="single" w:color="000000" w:sz="12"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行次</w:t>
            </w:r>
          </w:p>
        </w:tc>
        <w:tc>
          <w:tcPr>
            <w:tcW w:w="5268" w:type="dxa"/>
            <w:gridSpan w:val="3"/>
            <w:vMerge w:val="restart"/>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项目</w:t>
            </w:r>
          </w:p>
        </w:tc>
        <w:tc>
          <w:tcPr>
            <w:tcW w:w="2733" w:type="dxa"/>
            <w:gridSpan w:val="3"/>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账载金额</w:t>
            </w:r>
          </w:p>
        </w:tc>
        <w:tc>
          <w:tcPr>
            <w:tcW w:w="5094" w:type="dxa"/>
            <w:gridSpan w:val="5"/>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税收金额</w:t>
            </w:r>
          </w:p>
        </w:tc>
        <w:tc>
          <w:tcPr>
            <w:tcW w:w="899" w:type="dxa"/>
            <w:vMerge w:val="restart"/>
            <w:tcBorders>
              <w:top w:val="single" w:color="000000" w:sz="12"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纳税调整金额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0" w:type="auto"/>
            <w:vMerge w:val="continue"/>
            <w:tcBorders>
              <w:top w:val="single" w:color="000000" w:sz="12" w:space="0"/>
              <w:left w:val="single" w:color="000000" w:sz="12"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0" w:type="auto"/>
            <w:gridSpan w:val="3"/>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资产原值</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本年折旧、摊销额</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累计折旧、摊销额</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资产计税基础</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税收折旧、摊销额</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享受加速折旧政策的资产按税收一般规定计算的折旧、摊销额</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加速折旧、摊销统计额</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累计折旧、摊销额</w:t>
            </w:r>
          </w:p>
        </w:tc>
        <w:tc>
          <w:tcPr>
            <w:tcW w:w="0" w:type="auto"/>
            <w:vMerge w:val="continue"/>
            <w:tcBorders>
              <w:top w:val="single" w:color="000000" w:sz="12" w:space="0"/>
              <w:left w:val="single" w:color="000000" w:sz="4" w:space="0"/>
              <w:bottom w:val="single" w:color="000000" w:sz="4" w:space="0"/>
              <w:right w:val="single" w:color="000000" w:sz="12" w:space="0"/>
            </w:tcBorders>
            <w:noWrap w:val="0"/>
            <w:vAlign w:val="center"/>
          </w:tcPr>
          <w:p>
            <w:pPr>
              <w:widowControl/>
              <w:jc w:val="left"/>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0" w:type="auto"/>
            <w:vMerge w:val="continue"/>
            <w:tcBorders>
              <w:top w:val="single" w:color="000000" w:sz="12" w:space="0"/>
              <w:left w:val="single" w:color="000000" w:sz="12"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0" w:type="auto"/>
            <w:gridSpan w:val="3"/>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1</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2</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3</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4</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5</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6</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7（5-6）</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8</w:t>
            </w: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9(2-5)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一、固定资产（2+3+4+5+6+7）</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所有固定资产</w:t>
            </w: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（一）房屋、建筑物</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（二）飞机、火车、轮船、机器、机械和其他生产设备</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（三）与生产经营活动有关的器具、工具、家具等</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5</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（四）飞机、火车、轮船以外的运输工具</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6</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（五）电子设备</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（六）其他</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8</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40" w:lineRule="exact"/>
              <w:jc w:val="center"/>
              <w:textAlignment w:val="center"/>
              <w:rPr>
                <w:rFonts w:ascii="宋体" w:hAnsi="宋体"/>
                <w:sz w:val="20"/>
                <w:szCs w:val="20"/>
              </w:rPr>
            </w:pPr>
            <w:r>
              <w:rPr>
                <w:rFonts w:hint="eastAsia" w:ascii="宋体" w:hAnsi="宋体"/>
                <w:kern w:val="0"/>
                <w:sz w:val="20"/>
                <w:szCs w:val="20"/>
              </w:rPr>
              <w:t>其中：享受固定资产加速折旧及一次性扣除政策的资产加速折旧额大于一般折旧额的部分</w:t>
            </w: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（一）重要行业固定资产加速折旧（不含一次性扣除）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（二）其他行业研发设备加速折旧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（三）特定地区企业固定资产加速折旧（10.1+10.2）</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10.1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1.海南自由贸易港企业固定资产加速折旧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10.2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2.横琴粤澳深度合作区企业固定资产加速折旧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（四）500万元以下设备器具一次性扣除（11.1+11.2）</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1.1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1.高新技术企业2022年第四季度</w:t>
            </w:r>
            <w:r>
              <w:rPr>
                <w:rFonts w:ascii="宋体" w:hAnsi="宋体"/>
                <w:kern w:val="0"/>
                <w:sz w:val="20"/>
                <w:szCs w:val="20"/>
                <w:lang w:val="en"/>
              </w:rPr>
              <w:t>(</w:t>
            </w:r>
            <w:r>
              <w:rPr>
                <w:rFonts w:hint="eastAsia" w:ascii="宋体" w:hAnsi="宋体"/>
                <w:kern w:val="0"/>
                <w:sz w:val="20"/>
                <w:szCs w:val="20"/>
              </w:rPr>
              <w:t>10月-12月）购置单价5</w:t>
            </w:r>
            <w:r>
              <w:rPr>
                <w:rFonts w:ascii="宋体" w:hAnsi="宋体"/>
                <w:kern w:val="0"/>
                <w:sz w:val="20"/>
                <w:szCs w:val="20"/>
              </w:rPr>
              <w:t>00</w:t>
            </w:r>
            <w:r>
              <w:rPr>
                <w:rFonts w:hint="eastAsia" w:ascii="宋体" w:hAnsi="宋体"/>
                <w:kern w:val="0"/>
                <w:sz w:val="20"/>
                <w:szCs w:val="20"/>
              </w:rPr>
              <w:t>万元以下设备器具一次性扣除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kern w:val="0"/>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lang w:val="en"/>
              </w:rPr>
            </w:pPr>
            <w:r>
              <w:rPr>
                <w:rFonts w:hint="eastAsia" w:ascii="宋体" w:hAnsi="宋体"/>
                <w:kern w:val="0"/>
                <w:sz w:val="20"/>
                <w:szCs w:val="20"/>
              </w:rPr>
              <w:t>2.购置单价5</w:t>
            </w:r>
            <w:r>
              <w:rPr>
                <w:rFonts w:ascii="宋体" w:hAnsi="宋体"/>
                <w:kern w:val="0"/>
                <w:sz w:val="20"/>
                <w:szCs w:val="20"/>
              </w:rPr>
              <w:t>00</w:t>
            </w:r>
            <w:r>
              <w:rPr>
                <w:rFonts w:hint="eastAsia" w:ascii="宋体" w:hAnsi="宋体"/>
                <w:kern w:val="0"/>
                <w:sz w:val="20"/>
                <w:szCs w:val="20"/>
              </w:rPr>
              <w:t>万元以下设备器具一次性扣除</w:t>
            </w:r>
            <w:r>
              <w:rPr>
                <w:rFonts w:ascii="宋体" w:hAnsi="宋体"/>
                <w:kern w:val="0"/>
                <w:sz w:val="20"/>
                <w:szCs w:val="20"/>
                <w:lang w:val="en"/>
              </w:rPr>
              <w:t>(</w:t>
            </w:r>
            <w:r>
              <w:rPr>
                <w:rFonts w:hint="eastAsia" w:ascii="宋体" w:hAnsi="宋体"/>
                <w:kern w:val="0"/>
                <w:sz w:val="20"/>
                <w:szCs w:val="20"/>
                <w:lang w:val="en"/>
              </w:rPr>
              <w:t>不包含高新技术企业</w:t>
            </w:r>
            <w:r>
              <w:rPr>
                <w:rFonts w:hint="eastAsia" w:ascii="宋体" w:hAnsi="宋体"/>
                <w:kern w:val="0"/>
                <w:sz w:val="20"/>
                <w:szCs w:val="20"/>
              </w:rPr>
              <w:t>2022年第四季度购置</w:t>
            </w:r>
            <w:r>
              <w:rPr>
                <w:rFonts w:ascii="宋体" w:hAnsi="宋体"/>
                <w:kern w:val="0"/>
                <w:sz w:val="20"/>
                <w:szCs w:val="20"/>
                <w:lang w:val="en"/>
              </w:rPr>
              <w:t>)</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kern w:val="0"/>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（五）500万元以上设备器具一次性扣除（1</w:t>
            </w:r>
            <w:r>
              <w:rPr>
                <w:rFonts w:ascii="宋体" w:hAnsi="宋体"/>
                <w:kern w:val="0"/>
                <w:sz w:val="20"/>
                <w:szCs w:val="20"/>
              </w:rPr>
              <w:t>2.1+12.2+12.3</w:t>
            </w:r>
            <w:r>
              <w:rPr>
                <w:rFonts w:hint="eastAsia" w:ascii="宋体" w:hAnsi="宋体"/>
                <w:kern w:val="0"/>
                <w:sz w:val="20"/>
                <w:szCs w:val="20"/>
              </w:rPr>
              <w:t>+12.4）</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2.1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1468" w:type="dxa"/>
            <w:vMerge w:val="restart"/>
            <w:tcBorders>
              <w:top w:val="single" w:color="000000" w:sz="4" w:space="0"/>
              <w:left w:val="single" w:color="000000" w:sz="4" w:space="0"/>
              <w:right w:val="single" w:color="000000" w:sz="4" w:space="0"/>
            </w:tcBorders>
            <w:noWrap w:val="0"/>
            <w:vAlign w:val="center"/>
          </w:tcPr>
          <w:p>
            <w:pPr>
              <w:jc w:val="center"/>
              <w:rPr>
                <w:rFonts w:ascii="宋体" w:hAnsi="宋体"/>
                <w:kern w:val="0"/>
                <w:sz w:val="20"/>
                <w:szCs w:val="20"/>
              </w:rPr>
            </w:pPr>
            <w:r>
              <w:rPr>
                <w:rFonts w:hint="eastAsia" w:ascii="宋体" w:hAnsi="宋体"/>
                <w:kern w:val="0"/>
                <w:sz w:val="20"/>
                <w:szCs w:val="20"/>
              </w:rPr>
              <w:t>中小微企业购置单价500万元以上设备器具</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1.最低折旧年限为3年的设备器具一次性扣除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kern w:val="0"/>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2.2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1468" w:type="dxa"/>
            <w:vMerge w:val="continue"/>
            <w:tcBorders>
              <w:left w:val="single" w:color="000000" w:sz="4" w:space="0"/>
              <w:right w:val="single" w:color="000000" w:sz="4" w:space="0"/>
            </w:tcBorders>
            <w:noWrap w:val="0"/>
            <w:vAlign w:val="center"/>
          </w:tcPr>
          <w:p>
            <w:pPr>
              <w:widowControl/>
              <w:jc w:val="left"/>
              <w:textAlignment w:val="center"/>
              <w:rPr>
                <w:rFonts w:ascii="宋体" w:hAnsi="宋体"/>
                <w:kern w:val="0"/>
                <w:sz w:val="20"/>
                <w:szCs w:val="20"/>
              </w:rPr>
            </w:pPr>
          </w:p>
        </w:tc>
        <w:tc>
          <w:tcPr>
            <w:tcW w:w="2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2.最低折旧年限为4、5年的设备器具50%部分一次性扣除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kern w:val="0"/>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2.3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1468" w:type="dxa"/>
            <w:vMerge w:val="continue"/>
            <w:tcBorders>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p>
        </w:tc>
        <w:tc>
          <w:tcPr>
            <w:tcW w:w="2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3.最低折旧年限为10年的设备器具50%部分一次性扣除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kern w:val="0"/>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2.4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4.高新技术企业2022年第四季度（10月-12月）购置单价500万元以上设备器具一次性扣除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kern w:val="0"/>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（六）特定地区企业固定资产一次性扣除（13.1+13.2）</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13.1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1.海南自由贸易港企业固定资产一次性扣除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13.2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2.横琴粤澳深度合作区企业固定资产一次性扣除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（七）技术进步、更新换代固定资产加速折旧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（八）常年强震动、高腐蚀固定资产加速折旧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16</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（九）外购软件加速折旧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（十）集成电路企业生产设备加速折旧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18</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二、生产性生物资产（19+20）</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19</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（一）林木类</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20</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（二）畜类</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21</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三、无形资产（22+23+24+25+26+27+28+29）</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22</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所有无形资产</w:t>
            </w: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（一）专利权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（二）商标权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（三）著作权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25</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（四）土地使用权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26</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（五）非专利技术</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27</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（六）特许权使用费</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28</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（七）软件</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29</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（八）其他</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30</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40" w:lineRule="exact"/>
              <w:jc w:val="center"/>
              <w:textAlignment w:val="center"/>
              <w:rPr>
                <w:rFonts w:ascii="宋体" w:hAnsi="宋体"/>
                <w:sz w:val="20"/>
                <w:szCs w:val="20"/>
              </w:rPr>
            </w:pPr>
            <w:r>
              <w:rPr>
                <w:rFonts w:hint="eastAsia" w:ascii="宋体" w:hAnsi="宋体"/>
                <w:kern w:val="0"/>
                <w:sz w:val="20"/>
                <w:szCs w:val="20"/>
              </w:rPr>
              <w:t>其中：享受无形资产加速摊销及一次性摊销政策的资产加速摊销额大于一般摊销额的部分</w:t>
            </w: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（一）企业外购软件加速摊销</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（二）特定地区企业无形资产加速摊销（31.1+31.2）</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31.1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1.海南自由贸易港企业无形资产加速摊销</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31.2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2.横琴粤澳深度合作区企业无形资产加速摊销</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（三）特定地区企业无形资产一次性摊销（32.1+32.2）</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32.1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1.海南自由贸易港企业无形资产一次性摊销</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32.2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2.横琴粤澳深度合作区企业无形资产一次性摊销</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33</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四、长期待摊费用（34+35+36+37+38）</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34</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（一）已足额提取折旧的固定资产的改建支出</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35</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（二）租入固定资产的改建支出</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36</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（三）固定资产的大修理支出</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37</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（四）开办费</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38</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（五）其他</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39</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五、油气勘探投资</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40</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六、油气开发投资</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41</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合计（1+18+21+33+39+40）</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16" w:type="dxa"/>
            <w:gridSpan w:val="2"/>
            <w:tcBorders>
              <w:top w:val="single" w:color="000000" w:sz="4" w:space="0"/>
              <w:left w:val="single" w:color="000000" w:sz="12" w:space="0"/>
              <w:bottom w:val="single" w:color="000000" w:sz="12"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附列资料</w:t>
            </w:r>
          </w:p>
        </w:tc>
        <w:tc>
          <w:tcPr>
            <w:tcW w:w="4368" w:type="dxa"/>
            <w:gridSpan w:val="2"/>
            <w:tcBorders>
              <w:top w:val="single" w:color="000000" w:sz="4" w:space="0"/>
              <w:left w:val="single" w:color="000000" w:sz="4" w:space="0"/>
              <w:bottom w:val="single" w:color="000000" w:sz="12"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全民所有制企业公司制改制资产评估增值政策资产</w:t>
            </w:r>
          </w:p>
        </w:tc>
        <w:tc>
          <w:tcPr>
            <w:tcW w:w="745"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12"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12"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12" w:space="0"/>
              <w:right w:val="single" w:color="000000" w:sz="12" w:space="0"/>
            </w:tcBorders>
            <w:noWrap w:val="0"/>
            <w:vAlign w:val="center"/>
          </w:tcPr>
          <w:p>
            <w:pPr>
              <w:jc w:val="center"/>
              <w:rPr>
                <w:rFonts w:ascii="宋体" w:hAnsi="宋体"/>
                <w:sz w:val="20"/>
                <w:szCs w:val="20"/>
              </w:rPr>
            </w:pPr>
          </w:p>
        </w:tc>
      </w:tr>
    </w:tbl>
    <w:p>
      <w:pPr>
        <w:pStyle w:val="7"/>
        <w:ind w:firstLine="0" w:firstLineChars="0"/>
        <w:rPr>
          <w:rFonts w:hint="eastAsia" w:ascii="宋体" w:hAnsi="宋体" w:eastAsia="宋体" w:cs="宋体"/>
        </w:rPr>
      </w:pPr>
    </w:p>
    <w:p>
      <w:pPr>
        <w:pStyle w:val="7"/>
        <w:ind w:firstLine="480"/>
        <w:rPr>
          <w:rFonts w:hint="eastAsia" w:ascii="宋体" w:hAnsi="宋体" w:eastAsia="宋体" w:cs="宋体"/>
        </w:rPr>
        <w:sectPr>
          <w:pgSz w:w="16838" w:h="11906" w:orient="landscape"/>
          <w:pgMar w:top="1134" w:right="1100" w:bottom="1134" w:left="1100" w:header="851" w:footer="680" w:gutter="113"/>
          <w:pgNumType w:fmt="decimal"/>
          <w:cols w:space="720" w:num="1"/>
          <w:docGrid w:linePitch="312" w:charSpace="0"/>
        </w:sectPr>
      </w:pPr>
    </w:p>
    <w:p>
      <w:pPr>
        <w:pStyle w:val="5"/>
        <w:jc w:val="center"/>
        <w:rPr>
          <w:rFonts w:hint="eastAsia"/>
        </w:rPr>
      </w:pPr>
      <w:bookmarkStart w:id="4" w:name="_Toc14387"/>
      <w:r>
        <w:rPr>
          <w:rFonts w:hint="eastAsia"/>
        </w:rPr>
        <w:t>A105080《资产折旧、摊销及纳税调整明细表》填报说明</w:t>
      </w:r>
      <w:bookmarkEnd w:id="4"/>
    </w:p>
    <w:p>
      <w:pPr>
        <w:pStyle w:val="7"/>
        <w:spacing w:line="360" w:lineRule="auto"/>
        <w:ind w:firstLine="480"/>
        <w:rPr>
          <w:rFonts w:ascii="宋体" w:hAnsi="宋体" w:eastAsia="宋体"/>
        </w:rPr>
      </w:pPr>
      <w:r>
        <w:rPr>
          <w:rFonts w:hint="eastAsia" w:ascii="宋体" w:hAnsi="宋体" w:eastAsia="宋体"/>
        </w:rPr>
        <w:t>本表适用于发生资产折旧、摊销的纳税人填报。纳税人根据税法、《国家税务总局关于企业固定资产加速折旧所得税处理有关问题的通知》（国税发〔2009〕81号）、《国家税务总局关于融资性售后回租业务中承租方出售资产行为有关税收问题的公告》（2010年第13号）、《国家税务总局关于企业所得税若干问题的公告》（2011年第34号）、《国家税务总局关于发布〈企业所得税政策性搬迁所得税管理办法〉的公告》（2012年第40号）、《财政部 国家税务总局关于进一步鼓励软件产业和集成电路产业发展企业所得税政策的通知》（财税〔2012〕27号）、《国家税务总局关于企业所得税应纳税所得额若干问题的公告》（2014年第29号）、《财政部 国家税务总局关于完善固定资产加速折旧税收政策有关问题的通知》（财税〔2014〕75号）、《财政部 国家税务总局关于进一步完善固定资产加速折旧企业所得税政策的通知》（财税〔2015〕106号）、《国家税务总局关于全民所有制企业公司制改制企业所得税处理问题的公告》（2017年第34号）、《财政部 税务总局关于设备器具扣除有关企业所得税政策的通知》（财税〔2018〕54号）、《国家税务总局关于设备器具扣除有关企业所得税政策执行问题的公告》（2018年第46号）、《财政部 税务总局关于扩大固定资产加速折旧优惠政策适用范围的公告》（2019年第66号）、《财政部 税务总局关于海南自由贸易港企业所得税优惠政策的通知》（财税〔2020〕31号）、《财政部 税务总局关于延长部分税收优惠政策执行期限的公告》（2021年第6号）、《财政部 税务总局关于中小微企业设备器具所得税税前扣除有关政策的公告》（2</w:t>
      </w:r>
      <w:r>
        <w:rPr>
          <w:rFonts w:ascii="宋体" w:hAnsi="宋体" w:eastAsia="宋体"/>
        </w:rPr>
        <w:t>022</w:t>
      </w:r>
      <w:r>
        <w:rPr>
          <w:rFonts w:hint="eastAsia" w:ascii="宋体" w:hAnsi="宋体" w:eastAsia="宋体"/>
        </w:rPr>
        <w:t>年第1</w:t>
      </w:r>
      <w:r>
        <w:rPr>
          <w:rFonts w:ascii="宋体" w:hAnsi="宋体" w:eastAsia="宋体"/>
        </w:rPr>
        <w:t>2</w:t>
      </w:r>
      <w:r>
        <w:rPr>
          <w:rFonts w:hint="eastAsia" w:ascii="宋体" w:hAnsi="宋体" w:eastAsia="宋体"/>
        </w:rPr>
        <w:t>号）、《财政部 税务总局 科技部关于加大支持科技创新税前扣除力度的公告》（2022年第28号）、</w:t>
      </w:r>
      <w:r>
        <w:rPr>
          <w:rFonts w:ascii="宋体" w:hAnsi="宋体" w:eastAsia="宋体"/>
          <w:lang w:val="en"/>
        </w:rPr>
        <w:t>《财政部 税务总局关于横琴粤澳深度合作区企业所得税优惠政策的通知》（财税〔2022〕19号）</w:t>
      </w:r>
      <w:r>
        <w:rPr>
          <w:rFonts w:hint="eastAsia" w:ascii="宋体" w:hAnsi="宋体" w:eastAsia="宋体"/>
        </w:rPr>
        <w:t>等相关规定，以及国家统一企业会计制度，填报资产折旧、摊销的会计处理、税收规定，以及纳税调整情况。纳税人只要发生相关事项，均需填报本表。</w:t>
      </w:r>
    </w:p>
    <w:p>
      <w:pPr>
        <w:pStyle w:val="7"/>
        <w:spacing w:line="360" w:lineRule="auto"/>
        <w:ind w:firstLine="482"/>
        <w:outlineLvl w:val="0"/>
        <w:rPr>
          <w:rFonts w:ascii="宋体" w:hAnsi="宋体" w:eastAsia="宋体"/>
          <w:b/>
          <w:bCs/>
        </w:rPr>
      </w:pPr>
      <w:bookmarkStart w:id="5" w:name="_Toc1483612704_WPSOffice_Level1"/>
      <w:bookmarkEnd w:id="5"/>
      <w:bookmarkStart w:id="6" w:name="_Toc327713172_WPSOffice_Level1"/>
      <w:bookmarkStart w:id="7" w:name="_Toc463474984_WPSOffice_Level1"/>
      <w:bookmarkStart w:id="8" w:name="_Toc196972449_WPSOffice_Level1"/>
      <w:r>
        <w:rPr>
          <w:rFonts w:hint="eastAsia" w:ascii="宋体" w:hAnsi="宋体" w:eastAsia="宋体"/>
          <w:b/>
          <w:bCs/>
        </w:rPr>
        <w:t>一、有关项目填报说明</w:t>
      </w:r>
      <w:bookmarkEnd w:id="6"/>
      <w:bookmarkEnd w:id="7"/>
      <w:bookmarkEnd w:id="8"/>
    </w:p>
    <w:p>
      <w:pPr>
        <w:pStyle w:val="7"/>
        <w:spacing w:line="360" w:lineRule="auto"/>
        <w:ind w:firstLine="480"/>
        <w:outlineLvl w:val="1"/>
        <w:rPr>
          <w:rFonts w:ascii="宋体" w:hAnsi="宋体" w:eastAsia="宋体"/>
        </w:rPr>
      </w:pPr>
      <w:bookmarkStart w:id="9" w:name="_Toc77493887_WPSOffice_Level2"/>
      <w:bookmarkEnd w:id="9"/>
      <w:bookmarkStart w:id="10" w:name="_Toc650894371_WPSOffice_Level2"/>
      <w:r>
        <w:rPr>
          <w:rFonts w:hint="eastAsia" w:ascii="宋体" w:hAnsi="宋体" w:eastAsia="宋体"/>
        </w:rPr>
        <w:t>（一）列次填报</w:t>
      </w:r>
      <w:bookmarkEnd w:id="10"/>
    </w:p>
    <w:p>
      <w:pPr>
        <w:pStyle w:val="7"/>
        <w:spacing w:line="360" w:lineRule="auto"/>
        <w:ind w:firstLine="480"/>
        <w:rPr>
          <w:rFonts w:ascii="宋体" w:hAnsi="宋体" w:eastAsia="宋体"/>
        </w:rPr>
      </w:pPr>
      <w:r>
        <w:rPr>
          <w:rFonts w:hint="eastAsia" w:ascii="宋体" w:hAnsi="宋体" w:eastAsia="宋体"/>
        </w:rPr>
        <w:t>对于不征税收入形成的资产，其折旧、摊销额不得税前扣除。第4列至第8列税收金额不包含不征税收入所形成资产的折旧、摊销额。</w:t>
      </w:r>
    </w:p>
    <w:p>
      <w:pPr>
        <w:pStyle w:val="7"/>
        <w:spacing w:line="360" w:lineRule="auto"/>
        <w:ind w:firstLine="480"/>
        <w:rPr>
          <w:rFonts w:ascii="宋体" w:hAnsi="宋体" w:eastAsia="宋体"/>
        </w:rPr>
      </w:pPr>
      <w:r>
        <w:rPr>
          <w:rFonts w:hint="eastAsia" w:ascii="宋体" w:hAnsi="宋体" w:eastAsia="宋体"/>
        </w:rPr>
        <w:t>1.第1列“资产原值”：填报纳税人会计处理计提折旧、摊销的资产原值（或历史成本）的金额。</w:t>
      </w:r>
    </w:p>
    <w:p>
      <w:pPr>
        <w:pStyle w:val="7"/>
        <w:spacing w:line="360" w:lineRule="auto"/>
        <w:ind w:firstLine="480"/>
        <w:rPr>
          <w:rFonts w:ascii="宋体" w:hAnsi="宋体" w:eastAsia="宋体"/>
        </w:rPr>
      </w:pPr>
      <w:r>
        <w:rPr>
          <w:rFonts w:hint="eastAsia" w:ascii="宋体" w:hAnsi="宋体" w:eastAsia="宋体"/>
        </w:rPr>
        <w:t>2.第2列“本年折旧、摊销额”：填报纳税人会计核算的本年资产折旧、摊销额。</w:t>
      </w:r>
    </w:p>
    <w:p>
      <w:pPr>
        <w:pStyle w:val="7"/>
        <w:spacing w:line="360" w:lineRule="auto"/>
        <w:ind w:firstLine="480"/>
        <w:rPr>
          <w:rFonts w:hint="eastAsia" w:ascii="宋体" w:hAnsi="宋体" w:eastAsia="宋体"/>
        </w:rPr>
      </w:pPr>
      <w:r>
        <w:rPr>
          <w:rFonts w:hint="eastAsia" w:ascii="宋体" w:hAnsi="宋体" w:eastAsia="宋体"/>
        </w:rPr>
        <w:t>3.第3列“累计折旧、摊销额”：填报纳税人会计核算的累计（含本年）资产折旧、摊销额。</w:t>
      </w:r>
    </w:p>
    <w:p>
      <w:pPr>
        <w:pStyle w:val="7"/>
        <w:spacing w:line="360" w:lineRule="auto"/>
        <w:ind w:firstLine="480"/>
        <w:rPr>
          <w:rFonts w:ascii="宋体" w:hAnsi="宋体" w:eastAsia="宋体"/>
        </w:rPr>
      </w:pPr>
      <w:r>
        <w:rPr>
          <w:rFonts w:hint="eastAsia" w:ascii="宋体" w:hAnsi="宋体" w:eastAsia="宋体"/>
        </w:rPr>
        <w:t>4.第4列“资产计税基础”：填报纳税人按照税收规定据以计算折旧、摊销的资产原值（或历史成本）的金额。</w:t>
      </w:r>
    </w:p>
    <w:p>
      <w:pPr>
        <w:pStyle w:val="7"/>
        <w:ind w:firstLine="480"/>
        <w:rPr>
          <w:rFonts w:ascii="宋体" w:hAnsi="宋体" w:eastAsia="宋体"/>
        </w:rPr>
      </w:pPr>
      <w:r>
        <w:rPr>
          <w:rFonts w:hint="eastAsia" w:ascii="宋体" w:hAnsi="宋体" w:eastAsia="宋体"/>
        </w:rPr>
        <w:t>5.第5列“税收折旧、摊销额”：填报纳税人按照税收规定计算的允许税前扣除的本年资产折旧、摊销额。</w:t>
      </w:r>
    </w:p>
    <w:p>
      <w:pPr>
        <w:pStyle w:val="7"/>
        <w:ind w:firstLine="480"/>
        <w:rPr>
          <w:rFonts w:ascii="宋体" w:hAnsi="宋体" w:eastAsia="宋体"/>
        </w:rPr>
      </w:pPr>
      <w:r>
        <w:rPr>
          <w:rFonts w:hint="eastAsia" w:ascii="宋体" w:hAnsi="宋体" w:eastAsia="宋体"/>
        </w:rPr>
        <w:t>第8行至第17行、第30行至第32行第5列“税收折旧、摊销额”：填报享受相关加速折旧、摊销优惠政策的资产，采取税收加速折旧、摊销或一次性扣除方式计算的税收折旧额合计金额、摊销额合计金额。本列仅填报“税收折旧、摊销额”大于“享受加速折旧政策的资产按税收一般规定计算的折旧、摊销额”月份的金额合计。如，享受加速折旧、摊销优惠政策的资产，发生本年度某些月份其“税收折旧、摊销额”大于“享受加速折旧政策的资产按税收一般规定计算的折旧、摊销额”，其余月份其“税收折旧、摊销额”小于“享受加速折旧政策的资产按税收一般规定计算的折旧、摊销额”的情形，仅填报“税收折旧、摊销额”大于“享受加速折旧政策的资产按税收一般规定计算的折旧、摊销额”月份的税收折旧额合计金额、摊销额合计金额。</w:t>
      </w:r>
    </w:p>
    <w:p>
      <w:pPr>
        <w:pStyle w:val="7"/>
        <w:ind w:firstLine="480"/>
        <w:rPr>
          <w:rFonts w:ascii="宋体" w:hAnsi="宋体" w:eastAsia="宋体"/>
        </w:rPr>
      </w:pPr>
      <w:r>
        <w:rPr>
          <w:rFonts w:hint="eastAsia" w:ascii="宋体" w:hAnsi="宋体" w:eastAsia="宋体"/>
        </w:rPr>
        <w:t>6.第6列“享受加速折旧政策的资产按税收一般规定计算的折旧、摊销额”：仅适用于第8行至第17行、第30行至第32行，填报纳税人享受加速折旧、摊销优惠政策的资产，按照税收一般规定计算的折旧额合计金额、摊销额合计金额。按照税收一般规定计算的折旧、摊销额，是指该资产在不享受加速折旧、摊销优惠政策情况下，按照税收规定的最低折旧年限以直线法计算的折旧额、摊销额。本列仅填报“税收折旧、摊销额”大于“享受加速折旧政策的资产按税收一般规定计算的折旧、摊销额”月份的按税收一般规定计算的折旧额合计金额、摊销额合计金额。</w:t>
      </w:r>
    </w:p>
    <w:p>
      <w:pPr>
        <w:pStyle w:val="7"/>
        <w:ind w:firstLine="480"/>
        <w:rPr>
          <w:rFonts w:ascii="宋体" w:hAnsi="宋体" w:eastAsia="宋体"/>
        </w:rPr>
      </w:pPr>
      <w:r>
        <w:rPr>
          <w:rFonts w:hint="eastAsia" w:ascii="宋体" w:hAnsi="宋体" w:eastAsia="宋体"/>
        </w:rPr>
        <w:t>7.第7列“加速折旧、摊销统计额”：用于统计纳税人享受各类固定资产加速折旧政策的优惠金额，按第5-6列金额填报。</w:t>
      </w:r>
    </w:p>
    <w:p>
      <w:pPr>
        <w:pStyle w:val="7"/>
        <w:ind w:firstLine="480"/>
        <w:rPr>
          <w:rFonts w:ascii="宋体" w:hAnsi="宋体" w:eastAsia="宋体"/>
        </w:rPr>
      </w:pPr>
      <w:r>
        <w:rPr>
          <w:rFonts w:hint="eastAsia" w:ascii="宋体" w:hAnsi="宋体" w:eastAsia="宋体"/>
        </w:rPr>
        <w:t>8.第8列“累计折旧、摊销额”：填报纳税人按照税收规定计算的累计（含本年）资产折旧、摊销额。</w:t>
      </w:r>
    </w:p>
    <w:p>
      <w:pPr>
        <w:pStyle w:val="7"/>
        <w:ind w:firstLine="480"/>
        <w:rPr>
          <w:rFonts w:ascii="宋体" w:hAnsi="宋体" w:eastAsia="宋体"/>
        </w:rPr>
      </w:pPr>
      <w:r>
        <w:rPr>
          <w:rFonts w:hint="eastAsia" w:ascii="宋体" w:hAnsi="宋体" w:eastAsia="宋体"/>
        </w:rPr>
        <w:t>9.第9列“纳税调整金额”：填报第2-5列金额。</w:t>
      </w:r>
    </w:p>
    <w:p>
      <w:pPr>
        <w:pStyle w:val="7"/>
        <w:ind w:firstLine="480"/>
        <w:outlineLvl w:val="1"/>
        <w:rPr>
          <w:rFonts w:ascii="宋体" w:hAnsi="宋体" w:eastAsia="宋体"/>
        </w:rPr>
      </w:pPr>
      <w:bookmarkStart w:id="11" w:name="_Toc2143575215_WPSOffice_Level2"/>
      <w:bookmarkEnd w:id="11"/>
      <w:bookmarkStart w:id="12" w:name="_Toc2134285112_WPSOffice_Level2"/>
      <w:r>
        <w:rPr>
          <w:rFonts w:hint="eastAsia" w:ascii="宋体" w:hAnsi="宋体" w:eastAsia="宋体"/>
        </w:rPr>
        <w:t>（二）行次填报</w:t>
      </w:r>
      <w:bookmarkEnd w:id="12"/>
    </w:p>
    <w:p>
      <w:pPr>
        <w:pStyle w:val="7"/>
        <w:ind w:firstLine="480"/>
        <w:rPr>
          <w:rFonts w:ascii="宋体" w:hAnsi="宋体" w:eastAsia="宋体"/>
        </w:rPr>
      </w:pPr>
      <w:r>
        <w:rPr>
          <w:rFonts w:hint="eastAsia" w:ascii="宋体" w:hAnsi="宋体" w:eastAsia="宋体"/>
        </w:rPr>
        <w:t>1.第2行至第7行、第19行至第20行、第22行至第29行、第34行至第40行：填报各类资产有关情况。</w:t>
      </w:r>
    </w:p>
    <w:p>
      <w:pPr>
        <w:pStyle w:val="7"/>
        <w:ind w:firstLine="480"/>
        <w:rPr>
          <w:rFonts w:ascii="宋体" w:hAnsi="宋体" w:eastAsia="宋体"/>
        </w:rPr>
      </w:pPr>
      <w:r>
        <w:rPr>
          <w:rFonts w:hint="eastAsia" w:ascii="宋体" w:hAnsi="宋体" w:eastAsia="宋体"/>
        </w:rPr>
        <w:t>2. 第8行至第17行、第30行至第32行：填报纳税人享受相关加速折旧、摊销优惠政策的资产有关情况及优惠统计情况。若固定资产或无形资产同时适用多项政策，由纳税人自行选择一项政策填报。同一项固定资产或无形资产不得重复填报。</w:t>
      </w:r>
    </w:p>
    <w:p>
      <w:pPr>
        <w:pStyle w:val="7"/>
        <w:ind w:firstLine="480"/>
        <w:rPr>
          <w:rFonts w:ascii="宋体" w:hAnsi="宋体" w:eastAsia="宋体"/>
        </w:rPr>
      </w:pPr>
      <w:r>
        <w:rPr>
          <w:rFonts w:hint="eastAsia" w:ascii="宋体" w:hAnsi="宋体" w:eastAsia="宋体"/>
        </w:rPr>
        <w:t>第8行“（一）重要行业固定资产加速折旧”：适用于符合财税〔2014〕75号、财税〔2015〕106号和财政部、税务总局公告2019年第66号文件规定的制造业，信息传输、软件和信息技术服务业行业（以下称“重要行业”）的企业填报，填报新购进固定资产享受加速折旧政策的有关情况及优惠统计情况。</w:t>
      </w:r>
    </w:p>
    <w:p>
      <w:pPr>
        <w:pStyle w:val="7"/>
        <w:ind w:firstLine="480"/>
        <w:rPr>
          <w:rFonts w:ascii="宋体" w:hAnsi="宋体" w:eastAsia="宋体"/>
        </w:rPr>
      </w:pPr>
      <w:r>
        <w:rPr>
          <w:rFonts w:hint="eastAsia" w:ascii="宋体" w:hAnsi="宋体" w:eastAsia="宋体"/>
        </w:rPr>
        <w:t>第9行“（二）其他行业研发设备加速折旧”：适用于重要行业以外的其他企业填报，填报单位价值超过100万元以上专用研发设备采取缩短折旧年限或加速折旧方法的有关情况及优惠统计情况。</w:t>
      </w:r>
    </w:p>
    <w:p>
      <w:pPr>
        <w:pStyle w:val="7"/>
        <w:ind w:firstLine="480"/>
        <w:rPr>
          <w:rFonts w:ascii="宋体" w:hAnsi="宋体" w:eastAsia="宋体"/>
        </w:rPr>
      </w:pPr>
      <w:r>
        <w:rPr>
          <w:rFonts w:hint="eastAsia" w:ascii="宋体" w:hAnsi="宋体" w:eastAsia="宋体"/>
        </w:rPr>
        <w:t>第10行“（三）特定地区企业固定资产加速折旧”：适用于海南自由贸易港等特定地区设立的企业填报享受固定资产加速折旧政策有关情况。本行填报第10.1+10.2行金额。</w:t>
      </w:r>
    </w:p>
    <w:p>
      <w:pPr>
        <w:pStyle w:val="7"/>
        <w:ind w:firstLine="480"/>
        <w:rPr>
          <w:rFonts w:ascii="宋体" w:hAnsi="宋体" w:eastAsia="宋体"/>
        </w:rPr>
      </w:pPr>
      <w:r>
        <w:rPr>
          <w:rFonts w:hint="eastAsia" w:ascii="宋体" w:hAnsi="宋体" w:eastAsia="宋体"/>
        </w:rPr>
        <w:t>第10.1行“1.海南自由贸易港企业固定资产加速折旧”：海南自由贸易港企业填报新购置（含自建）单位价值500万元以上的固定资产，按照税收规定采取缩短折旧年限或加速折旧方法的有关情况及优惠统计情况。</w:t>
      </w:r>
    </w:p>
    <w:p>
      <w:pPr>
        <w:pStyle w:val="7"/>
        <w:ind w:firstLine="480"/>
        <w:rPr>
          <w:rFonts w:ascii="宋体" w:hAnsi="宋体" w:eastAsia="宋体"/>
        </w:rPr>
      </w:pPr>
      <w:r>
        <w:rPr>
          <w:rFonts w:hint="eastAsia" w:ascii="宋体" w:hAnsi="宋体" w:eastAsia="宋体"/>
        </w:rPr>
        <w:t>第10.2行“2.横琴粤澳深度合作区企业固定资产加速折旧”：横琴粤澳深度合作区企业填报新购置(含自建)单位价值500万元以上的固定资产，按照税收规定采取缩短折旧年限或加速折旧方法的固定资产有关情况及优惠统计情况。</w:t>
      </w:r>
    </w:p>
    <w:p>
      <w:pPr>
        <w:pStyle w:val="7"/>
        <w:ind w:firstLine="480"/>
        <w:rPr>
          <w:rFonts w:ascii="宋体" w:hAnsi="宋体" w:eastAsia="宋体"/>
        </w:rPr>
      </w:pPr>
      <w:r>
        <w:rPr>
          <w:rFonts w:hint="eastAsia" w:ascii="宋体" w:hAnsi="宋体" w:eastAsia="宋体"/>
        </w:rPr>
        <w:t>第11行“（四）500万元以下设备器具一次性扣除”：填报新购置单位价值不超过500万元的设备器具等，按照税收规定一次性扣除的有关情况及优惠统计情况。本行填报第11.1+11.2行金额。</w:t>
      </w:r>
    </w:p>
    <w:p>
      <w:pPr>
        <w:pStyle w:val="7"/>
        <w:ind w:firstLine="480"/>
        <w:rPr>
          <w:rFonts w:ascii="宋体" w:hAnsi="宋体" w:eastAsia="宋体"/>
        </w:rPr>
      </w:pPr>
      <w:r>
        <w:rPr>
          <w:rFonts w:hint="eastAsia" w:ascii="宋体" w:hAnsi="宋体" w:eastAsia="宋体"/>
        </w:rPr>
        <w:t>第1</w:t>
      </w:r>
      <w:r>
        <w:rPr>
          <w:rFonts w:ascii="宋体" w:hAnsi="宋体" w:eastAsia="宋体"/>
        </w:rPr>
        <w:t>1.1</w:t>
      </w:r>
      <w:r>
        <w:rPr>
          <w:rFonts w:hint="eastAsia" w:ascii="宋体" w:hAnsi="宋体" w:eastAsia="宋体"/>
        </w:rPr>
        <w:t>行“高新技术企业2022年第四季度（10月-12月）购置单价500万元以下设备器具一次性扣除”：高新技术企业填报2022年第四季度（10月-12月）新购置单位价值不超过500万元的设备器具等，按照税收规定一次性扣除的有关情况及优惠统计情况。</w:t>
      </w:r>
    </w:p>
    <w:p>
      <w:pPr>
        <w:pStyle w:val="7"/>
        <w:ind w:firstLine="480"/>
        <w:rPr>
          <w:rFonts w:ascii="宋体" w:hAnsi="宋体" w:eastAsia="宋体"/>
        </w:rPr>
      </w:pPr>
      <w:r>
        <w:rPr>
          <w:rFonts w:hint="eastAsia" w:ascii="宋体" w:hAnsi="宋体" w:eastAsia="宋体"/>
        </w:rPr>
        <w:t>第1</w:t>
      </w:r>
      <w:r>
        <w:rPr>
          <w:rFonts w:ascii="宋体" w:hAnsi="宋体" w:eastAsia="宋体"/>
        </w:rPr>
        <w:t>1.2</w:t>
      </w:r>
      <w:r>
        <w:rPr>
          <w:rFonts w:hint="eastAsia" w:ascii="宋体" w:hAnsi="宋体" w:eastAsia="宋体"/>
        </w:rPr>
        <w:t>行“购置单价500万元以下设备器具一次性扣除</w:t>
      </w:r>
      <w:r>
        <w:rPr>
          <w:rFonts w:hint="eastAsia" w:ascii="宋体" w:hAnsi="宋体" w:eastAsia="宋体"/>
          <w:lang w:val="en"/>
        </w:rPr>
        <w:t>(不包含高新技术企业</w:t>
      </w:r>
      <w:r>
        <w:rPr>
          <w:rFonts w:hint="eastAsia" w:ascii="宋体" w:hAnsi="宋体" w:eastAsia="宋体"/>
        </w:rPr>
        <w:t>2022年第四季度购置</w:t>
      </w:r>
      <w:r>
        <w:rPr>
          <w:rFonts w:hint="eastAsia" w:ascii="宋体" w:hAnsi="宋体" w:eastAsia="宋体"/>
          <w:lang w:val="en"/>
        </w:rPr>
        <w:t>)</w:t>
      </w:r>
      <w:r>
        <w:rPr>
          <w:rFonts w:hint="eastAsia" w:ascii="宋体" w:hAnsi="宋体" w:eastAsia="宋体"/>
        </w:rPr>
        <w:t>”：除高新技术企业以外的其他企业填报新购置单位价值不超过500万元的设备器具或者高新技术企业填报除2022年第四季度（10月-12月）以外新购置单位价值不超过500万元的设备器具，按照税收规定一次性扣除的有关情况及优惠统计情况。高新技术企业2022年第四季度（10月-12月）新购置单位价值不超过500万元的设备器具等一次性扣除情况，在第11.1行“高新技术企业2022年第四季度（10月-12月）购置单价500万元以下设备器具一次性扣除”填报。</w:t>
      </w:r>
    </w:p>
    <w:p>
      <w:pPr>
        <w:pStyle w:val="7"/>
        <w:ind w:firstLine="480"/>
        <w:rPr>
          <w:rFonts w:ascii="宋体" w:hAnsi="宋体" w:eastAsia="宋体"/>
        </w:rPr>
      </w:pPr>
      <w:r>
        <w:rPr>
          <w:rFonts w:hint="eastAsia" w:ascii="宋体" w:hAnsi="宋体" w:eastAsia="宋体"/>
        </w:rPr>
        <w:t>第1</w:t>
      </w:r>
      <w:r>
        <w:rPr>
          <w:rFonts w:ascii="宋体" w:hAnsi="宋体" w:eastAsia="宋体"/>
        </w:rPr>
        <w:t>2</w:t>
      </w:r>
      <w:r>
        <w:rPr>
          <w:rFonts w:hint="eastAsia" w:ascii="宋体" w:hAnsi="宋体" w:eastAsia="宋体"/>
        </w:rPr>
        <w:t>行“（五）500万元以上设备器具一次性扣除”：填报新购置单位价值超过500万元的设备器具等，按照税收规定部分或全部一次性扣除的有关情况及优惠统计情况。第1</w:t>
      </w:r>
      <w:r>
        <w:rPr>
          <w:rFonts w:ascii="宋体" w:hAnsi="宋体" w:eastAsia="宋体"/>
        </w:rPr>
        <w:t>2.1</w:t>
      </w:r>
      <w:r>
        <w:rPr>
          <w:rFonts w:hint="eastAsia" w:ascii="宋体" w:hAnsi="宋体" w:eastAsia="宋体"/>
        </w:rPr>
        <w:t>行、第12.2行、第</w:t>
      </w:r>
      <w:r>
        <w:rPr>
          <w:rFonts w:ascii="宋体" w:hAnsi="宋体" w:eastAsia="宋体"/>
        </w:rPr>
        <w:t>12.3</w:t>
      </w:r>
      <w:r>
        <w:rPr>
          <w:rFonts w:hint="eastAsia" w:ascii="宋体" w:hAnsi="宋体" w:eastAsia="宋体"/>
        </w:rPr>
        <w:t>行适用中小微企业填报2022年1月1日至2022年12月31日期间新购置的设备器具所得税税前扣除政策有关情况，第1</w:t>
      </w:r>
      <w:r>
        <w:rPr>
          <w:rFonts w:ascii="宋体" w:hAnsi="宋体" w:eastAsia="宋体"/>
        </w:rPr>
        <w:t>2.4</w:t>
      </w:r>
      <w:r>
        <w:rPr>
          <w:rFonts w:hint="eastAsia" w:ascii="宋体" w:hAnsi="宋体" w:eastAsia="宋体"/>
        </w:rPr>
        <w:t>行适用高新技术企业填报2022年第四季度购置设备器具所得税税前扣除政策有关情况。本行填报第12.1+12.2+12.3+12.4行金额。</w:t>
      </w:r>
    </w:p>
    <w:p>
      <w:pPr>
        <w:spacing w:line="480" w:lineRule="exact"/>
        <w:ind w:firstLine="480" w:firstLineChars="200"/>
        <w:rPr>
          <w:rFonts w:ascii="宋体" w:hAnsi="宋体"/>
          <w:sz w:val="24"/>
        </w:rPr>
      </w:pPr>
      <w:r>
        <w:rPr>
          <w:rFonts w:hint="eastAsia" w:ascii="宋体" w:hAnsi="宋体"/>
          <w:sz w:val="24"/>
        </w:rPr>
        <w:t>第1</w:t>
      </w:r>
      <w:r>
        <w:rPr>
          <w:rFonts w:ascii="宋体" w:hAnsi="宋体"/>
          <w:sz w:val="24"/>
        </w:rPr>
        <w:t>2.1</w:t>
      </w:r>
      <w:r>
        <w:rPr>
          <w:rFonts w:hint="eastAsia" w:ascii="宋体" w:hAnsi="宋体"/>
          <w:sz w:val="24"/>
        </w:rPr>
        <w:t>行“</w:t>
      </w:r>
      <w:r>
        <w:rPr>
          <w:rFonts w:ascii="宋体" w:hAnsi="宋体"/>
          <w:sz w:val="24"/>
        </w:rPr>
        <w:t>1.</w:t>
      </w:r>
      <w:r>
        <w:rPr>
          <w:rFonts w:hint="eastAsia" w:ascii="宋体" w:hAnsi="宋体"/>
          <w:sz w:val="24"/>
        </w:rPr>
        <w:t>中小微企业购置单价500万元以上设备器具—最低折旧年限为3年的设备器具一次性扣除”，填报中小微企业新购置单位价值5</w:t>
      </w:r>
      <w:r>
        <w:rPr>
          <w:rFonts w:ascii="宋体" w:hAnsi="宋体"/>
          <w:sz w:val="24"/>
        </w:rPr>
        <w:t>00</w:t>
      </w:r>
      <w:r>
        <w:rPr>
          <w:rFonts w:hint="eastAsia" w:ascii="宋体" w:hAnsi="宋体"/>
          <w:sz w:val="24"/>
        </w:rPr>
        <w:t>万元以上的设备器具（折旧年限为3年），按照税收规定一次性扣除的有关情况及优惠统计情况。</w:t>
      </w:r>
    </w:p>
    <w:p>
      <w:pPr>
        <w:spacing w:line="480" w:lineRule="exact"/>
        <w:ind w:firstLine="480" w:firstLineChars="200"/>
        <w:rPr>
          <w:rFonts w:ascii="宋体" w:hAnsi="宋体"/>
          <w:sz w:val="24"/>
        </w:rPr>
      </w:pPr>
      <w:r>
        <w:rPr>
          <w:rFonts w:hint="eastAsia" w:ascii="宋体" w:hAnsi="宋体"/>
          <w:sz w:val="24"/>
        </w:rPr>
        <w:t>第1</w:t>
      </w:r>
      <w:r>
        <w:rPr>
          <w:rFonts w:ascii="宋体" w:hAnsi="宋体"/>
          <w:sz w:val="24"/>
        </w:rPr>
        <w:t>2.2</w:t>
      </w:r>
      <w:r>
        <w:rPr>
          <w:rFonts w:hint="eastAsia" w:ascii="宋体" w:hAnsi="宋体"/>
          <w:sz w:val="24"/>
        </w:rPr>
        <w:t>行“</w:t>
      </w:r>
      <w:r>
        <w:rPr>
          <w:rFonts w:ascii="宋体" w:hAnsi="宋体"/>
          <w:sz w:val="24"/>
        </w:rPr>
        <w:t>2.</w:t>
      </w:r>
      <w:r>
        <w:rPr>
          <w:rFonts w:hint="eastAsia" w:ascii="宋体" w:hAnsi="宋体"/>
          <w:sz w:val="24"/>
        </w:rPr>
        <w:t>中小微企业购置单价500万元以上设备器具—最低折旧年限为4、5年的设备器具50%部分一次性扣除”，填报中小微企业新购置单位价值5</w:t>
      </w:r>
      <w:r>
        <w:rPr>
          <w:rFonts w:ascii="宋体" w:hAnsi="宋体"/>
          <w:sz w:val="24"/>
        </w:rPr>
        <w:t>00</w:t>
      </w:r>
      <w:r>
        <w:rPr>
          <w:rFonts w:hint="eastAsia" w:ascii="宋体" w:hAnsi="宋体"/>
          <w:sz w:val="24"/>
        </w:rPr>
        <w:t>万元以上的设备器具（折旧年限为</w:t>
      </w:r>
      <w:r>
        <w:rPr>
          <w:rFonts w:ascii="宋体" w:hAnsi="宋体"/>
          <w:sz w:val="24"/>
        </w:rPr>
        <w:t>4</w:t>
      </w:r>
      <w:r>
        <w:rPr>
          <w:rFonts w:hint="eastAsia" w:ascii="宋体" w:hAnsi="宋体"/>
          <w:sz w:val="24"/>
        </w:rPr>
        <w:t>、5年）5</w:t>
      </w:r>
      <w:r>
        <w:rPr>
          <w:rFonts w:ascii="宋体" w:hAnsi="宋体"/>
          <w:sz w:val="24"/>
        </w:rPr>
        <w:t>0%</w:t>
      </w:r>
      <w:r>
        <w:rPr>
          <w:rFonts w:hint="eastAsia" w:ascii="宋体" w:hAnsi="宋体"/>
          <w:sz w:val="24"/>
        </w:rPr>
        <w:t>的部分，按照税收规定一次性扣除的有关情况及优惠统计情况。</w:t>
      </w:r>
    </w:p>
    <w:p>
      <w:pPr>
        <w:spacing w:line="480" w:lineRule="exact"/>
        <w:ind w:firstLine="480" w:firstLineChars="200"/>
        <w:rPr>
          <w:rFonts w:ascii="宋体" w:hAnsi="宋体"/>
          <w:sz w:val="24"/>
        </w:rPr>
      </w:pPr>
      <w:r>
        <w:rPr>
          <w:rFonts w:hint="eastAsia" w:ascii="宋体" w:hAnsi="宋体"/>
          <w:sz w:val="24"/>
        </w:rPr>
        <w:t>第1</w:t>
      </w:r>
      <w:r>
        <w:rPr>
          <w:rFonts w:ascii="宋体" w:hAnsi="宋体"/>
          <w:sz w:val="24"/>
        </w:rPr>
        <w:t>2.3</w:t>
      </w:r>
      <w:r>
        <w:rPr>
          <w:rFonts w:hint="eastAsia" w:ascii="宋体" w:hAnsi="宋体"/>
          <w:sz w:val="24"/>
        </w:rPr>
        <w:t>行“</w:t>
      </w:r>
      <w:r>
        <w:rPr>
          <w:rFonts w:ascii="宋体" w:hAnsi="宋体"/>
          <w:sz w:val="24"/>
        </w:rPr>
        <w:t>3.</w:t>
      </w:r>
      <w:r>
        <w:rPr>
          <w:rFonts w:hint="eastAsia" w:ascii="宋体" w:hAnsi="宋体"/>
          <w:sz w:val="24"/>
        </w:rPr>
        <w:t>中小微企业购置单价500万元以上设备器具—最低折旧年限为10年的设备器具50%部分一次性扣除”，填报中小微企业新购置单位价值5</w:t>
      </w:r>
      <w:r>
        <w:rPr>
          <w:rFonts w:ascii="宋体" w:hAnsi="宋体"/>
          <w:sz w:val="24"/>
        </w:rPr>
        <w:t>00</w:t>
      </w:r>
      <w:r>
        <w:rPr>
          <w:rFonts w:hint="eastAsia" w:ascii="宋体" w:hAnsi="宋体"/>
          <w:sz w:val="24"/>
        </w:rPr>
        <w:t>万元以上的设备器具（折旧年限为</w:t>
      </w:r>
      <w:r>
        <w:rPr>
          <w:rFonts w:ascii="宋体" w:hAnsi="宋体"/>
          <w:sz w:val="24"/>
        </w:rPr>
        <w:t>10</w:t>
      </w:r>
      <w:r>
        <w:rPr>
          <w:rFonts w:hint="eastAsia" w:ascii="宋体" w:hAnsi="宋体"/>
          <w:sz w:val="24"/>
        </w:rPr>
        <w:t>年）5</w:t>
      </w:r>
      <w:r>
        <w:rPr>
          <w:rFonts w:ascii="宋体" w:hAnsi="宋体"/>
          <w:sz w:val="24"/>
        </w:rPr>
        <w:t>0%</w:t>
      </w:r>
      <w:r>
        <w:rPr>
          <w:rFonts w:hint="eastAsia" w:ascii="宋体" w:hAnsi="宋体"/>
          <w:sz w:val="24"/>
        </w:rPr>
        <w:t>的部分，按照税收规定一次性扣除的有关情况及优惠统计情况。</w:t>
      </w:r>
    </w:p>
    <w:p>
      <w:pPr>
        <w:spacing w:line="480" w:lineRule="exact"/>
        <w:ind w:firstLine="480" w:firstLineChars="200"/>
        <w:rPr>
          <w:rFonts w:ascii="宋体" w:hAnsi="宋体"/>
          <w:sz w:val="24"/>
        </w:rPr>
      </w:pPr>
      <w:r>
        <w:rPr>
          <w:rFonts w:hint="eastAsia" w:ascii="宋体" w:hAnsi="宋体"/>
          <w:sz w:val="24"/>
        </w:rPr>
        <w:t>第1</w:t>
      </w:r>
      <w:r>
        <w:rPr>
          <w:rFonts w:ascii="宋体" w:hAnsi="宋体"/>
          <w:sz w:val="24"/>
        </w:rPr>
        <w:t>2.4</w:t>
      </w:r>
      <w:r>
        <w:rPr>
          <w:rFonts w:hint="eastAsia" w:ascii="宋体" w:hAnsi="宋体"/>
          <w:sz w:val="24"/>
        </w:rPr>
        <w:t>行“4</w:t>
      </w:r>
      <w:r>
        <w:rPr>
          <w:rFonts w:ascii="宋体" w:hAnsi="宋体"/>
          <w:sz w:val="24"/>
        </w:rPr>
        <w:t>.</w:t>
      </w:r>
      <w:r>
        <w:rPr>
          <w:rFonts w:hint="eastAsia" w:ascii="宋体" w:hAnsi="宋体"/>
          <w:sz w:val="24"/>
        </w:rPr>
        <w:t>高新技术企业2022年第四季度（10月-12月）购置单价500万元以上设备器具一次性扣除”：填报高新技术企业2022年第四季度（10月-12月）新购置单位价值5</w:t>
      </w:r>
      <w:r>
        <w:rPr>
          <w:rFonts w:ascii="宋体" w:hAnsi="宋体"/>
          <w:sz w:val="24"/>
        </w:rPr>
        <w:t>00</w:t>
      </w:r>
      <w:r>
        <w:rPr>
          <w:rFonts w:hint="eastAsia" w:ascii="宋体" w:hAnsi="宋体"/>
          <w:sz w:val="24"/>
        </w:rPr>
        <w:t>万元以上设备器具，按照税收规定一次性扣除的有关情况及优惠统计情况。</w:t>
      </w:r>
    </w:p>
    <w:p>
      <w:pPr>
        <w:pStyle w:val="7"/>
        <w:ind w:firstLine="480"/>
        <w:rPr>
          <w:rFonts w:ascii="宋体" w:hAnsi="宋体" w:eastAsia="宋体"/>
        </w:rPr>
      </w:pPr>
      <w:r>
        <w:rPr>
          <w:rFonts w:hint="eastAsia" w:ascii="宋体" w:hAnsi="宋体" w:eastAsia="宋体"/>
        </w:rPr>
        <w:t>第13行“（六）特定地区企业固定资产一次性扣除”：适用于海南自由贸易港等特定地区设立的企业填报享受固定资产一次性扣除政策有关情况。本行填报第13.1+13.2行金额。</w:t>
      </w:r>
    </w:p>
    <w:p>
      <w:pPr>
        <w:pStyle w:val="7"/>
        <w:ind w:firstLine="480"/>
        <w:rPr>
          <w:rFonts w:ascii="宋体" w:hAnsi="宋体" w:eastAsia="宋体"/>
        </w:rPr>
      </w:pPr>
      <w:r>
        <w:rPr>
          <w:rFonts w:hint="eastAsia" w:ascii="宋体" w:hAnsi="宋体" w:eastAsia="宋体"/>
        </w:rPr>
        <w:t>第13.1行“1.海南自由贸易港企业固定资产一次性扣除”：海南自由贸易港企业填报新购置(含自建)单位价值不超过5</w:t>
      </w:r>
      <w:r>
        <w:rPr>
          <w:rFonts w:ascii="宋体" w:hAnsi="宋体" w:eastAsia="宋体"/>
        </w:rPr>
        <w:t>00</w:t>
      </w:r>
      <w:r>
        <w:rPr>
          <w:rFonts w:hint="eastAsia" w:ascii="宋体" w:hAnsi="宋体" w:eastAsia="宋体"/>
        </w:rPr>
        <w:t>万元的固定资产，按照税收规定一次性扣除的有关情况及优惠统计情况。</w:t>
      </w:r>
    </w:p>
    <w:p>
      <w:pPr>
        <w:pStyle w:val="7"/>
        <w:ind w:firstLine="480"/>
        <w:rPr>
          <w:rFonts w:ascii="宋体" w:hAnsi="宋体" w:eastAsia="宋体"/>
        </w:rPr>
      </w:pPr>
      <w:r>
        <w:rPr>
          <w:rFonts w:hint="eastAsia" w:ascii="宋体" w:hAnsi="宋体" w:eastAsia="宋体"/>
        </w:rPr>
        <w:t>第13.2行“2.横琴粤澳深度合作区企业固定资产一次性扣除”：横琴粤澳深度合作区企业填报新购置(含自建)单位价值不超过5</w:t>
      </w:r>
      <w:r>
        <w:rPr>
          <w:rFonts w:ascii="宋体" w:hAnsi="宋体" w:eastAsia="宋体"/>
        </w:rPr>
        <w:t>00</w:t>
      </w:r>
      <w:r>
        <w:rPr>
          <w:rFonts w:hint="eastAsia" w:ascii="宋体" w:hAnsi="宋体" w:eastAsia="宋体"/>
        </w:rPr>
        <w:t>万元的固定资产，按照税收规定一次性扣除的有关情况及优惠统计情况。</w:t>
      </w:r>
    </w:p>
    <w:p>
      <w:pPr>
        <w:pStyle w:val="7"/>
        <w:ind w:firstLine="480"/>
        <w:rPr>
          <w:rFonts w:ascii="宋体" w:hAnsi="宋体" w:eastAsia="宋体"/>
        </w:rPr>
      </w:pPr>
      <w:r>
        <w:rPr>
          <w:rFonts w:hint="eastAsia" w:ascii="宋体" w:hAnsi="宋体" w:eastAsia="宋体"/>
        </w:rPr>
        <w:t>第14行“（七）技术进步、更新换代固定资产加速折旧”：填报固定资产因技术进步、产品更新换代较快而按税收规定享受固定资产加速折旧政策的有关情况及优惠统计情况。</w:t>
      </w:r>
    </w:p>
    <w:p>
      <w:pPr>
        <w:pStyle w:val="7"/>
        <w:ind w:firstLine="480"/>
        <w:rPr>
          <w:rFonts w:ascii="宋体" w:hAnsi="宋体" w:eastAsia="宋体"/>
        </w:rPr>
      </w:pPr>
      <w:r>
        <w:rPr>
          <w:rFonts w:hint="eastAsia" w:ascii="宋体" w:hAnsi="宋体" w:eastAsia="宋体"/>
        </w:rPr>
        <w:t>第15行“（八）常年强震动、高腐蚀固定资产加速折旧”：填报常年处于强震动、高腐蚀状态的固定资产按税收规定享受固定资产加速折旧政策的有关情况及优惠统计情况。</w:t>
      </w:r>
    </w:p>
    <w:p>
      <w:pPr>
        <w:pStyle w:val="7"/>
        <w:ind w:firstLine="480"/>
        <w:rPr>
          <w:rFonts w:ascii="宋体" w:hAnsi="宋体" w:eastAsia="宋体"/>
        </w:rPr>
      </w:pPr>
      <w:r>
        <w:rPr>
          <w:rFonts w:hint="eastAsia" w:ascii="宋体" w:hAnsi="宋体" w:eastAsia="宋体"/>
        </w:rPr>
        <w:t>第16行“（九）外购软件加速折旧”：填报企业外购软件作为固定资产处理，按财税〔2012〕27号文件规定享受加速折旧政策的有关情况及优惠统计情况。</w:t>
      </w:r>
    </w:p>
    <w:p>
      <w:pPr>
        <w:pStyle w:val="7"/>
        <w:ind w:firstLine="480"/>
        <w:rPr>
          <w:rFonts w:ascii="宋体" w:hAnsi="宋体" w:eastAsia="宋体"/>
        </w:rPr>
      </w:pPr>
      <w:r>
        <w:rPr>
          <w:rFonts w:hint="eastAsia" w:ascii="宋体" w:hAnsi="宋体" w:eastAsia="宋体"/>
        </w:rPr>
        <w:t>第17行“（十）集成电路企业生产设备加速折旧”：填报集成电路生产企业的生产设备，按照财税〔2012〕27号文件规定享受加速折旧政策的有关情况及优惠统计情况。</w:t>
      </w:r>
    </w:p>
    <w:p>
      <w:pPr>
        <w:pStyle w:val="7"/>
        <w:ind w:firstLine="480"/>
        <w:rPr>
          <w:rFonts w:ascii="宋体" w:hAnsi="宋体" w:eastAsia="宋体"/>
        </w:rPr>
      </w:pPr>
      <w:r>
        <w:rPr>
          <w:rFonts w:hint="eastAsia" w:ascii="宋体" w:hAnsi="宋体" w:eastAsia="宋体"/>
        </w:rPr>
        <w:t>第30行“（一）企业外购软件加速摊销”：填报企业外购软件作无形资产处理，按财税〔2012〕27号文件规定享受加速摊销政策的有关情况及优惠统计情况。</w:t>
      </w:r>
    </w:p>
    <w:p>
      <w:pPr>
        <w:pStyle w:val="7"/>
        <w:ind w:firstLine="480"/>
        <w:rPr>
          <w:rFonts w:ascii="宋体" w:hAnsi="宋体" w:eastAsia="宋体"/>
        </w:rPr>
      </w:pPr>
      <w:r>
        <w:rPr>
          <w:rFonts w:hint="eastAsia" w:ascii="宋体" w:hAnsi="宋体" w:eastAsia="宋体"/>
        </w:rPr>
        <w:t>第31行“（二）特定地区企业无形资产加速摊销”：适用于海南自由贸易港等特定地区设立的企业填报享受无形资产加速摊销政策有关情况。本行填报第31.1+31.2行金额。</w:t>
      </w:r>
    </w:p>
    <w:p>
      <w:pPr>
        <w:pStyle w:val="7"/>
        <w:ind w:firstLine="480"/>
        <w:rPr>
          <w:rFonts w:ascii="宋体" w:hAnsi="宋体" w:eastAsia="宋体"/>
        </w:rPr>
      </w:pPr>
      <w:r>
        <w:rPr>
          <w:rFonts w:hint="eastAsia" w:ascii="宋体" w:hAnsi="宋体" w:eastAsia="宋体"/>
        </w:rPr>
        <w:t>第31.1行“海南自由贸易港企业无形资产加速摊销”：海南自由贸易港企业填报新购置（含自行开发）单位价值超过5</w:t>
      </w:r>
      <w:r>
        <w:rPr>
          <w:rFonts w:ascii="宋体" w:hAnsi="宋体" w:eastAsia="宋体"/>
        </w:rPr>
        <w:t>00</w:t>
      </w:r>
      <w:r>
        <w:rPr>
          <w:rFonts w:hint="eastAsia" w:ascii="宋体" w:hAnsi="宋体" w:eastAsia="宋体"/>
        </w:rPr>
        <w:t>万元的无形资产，按照税收规定采取缩短摊销年限或加速摊销方法的有关情况及优惠统计情况。</w:t>
      </w:r>
    </w:p>
    <w:p>
      <w:pPr>
        <w:pStyle w:val="7"/>
        <w:ind w:firstLine="480"/>
        <w:rPr>
          <w:rFonts w:ascii="宋体" w:hAnsi="宋体" w:eastAsia="宋体"/>
        </w:rPr>
      </w:pPr>
      <w:r>
        <w:rPr>
          <w:rFonts w:hint="eastAsia" w:ascii="宋体" w:hAnsi="宋体" w:eastAsia="宋体"/>
        </w:rPr>
        <w:t>第31.2行“横琴粤澳深度合作区企业无形资产加速摊销”：横琴粤澳深度合作区企业填报新购置（含自行开发）单位价值超过5</w:t>
      </w:r>
      <w:r>
        <w:rPr>
          <w:rFonts w:ascii="宋体" w:hAnsi="宋体" w:eastAsia="宋体"/>
        </w:rPr>
        <w:t>00</w:t>
      </w:r>
      <w:r>
        <w:rPr>
          <w:rFonts w:hint="eastAsia" w:ascii="宋体" w:hAnsi="宋体" w:eastAsia="宋体"/>
        </w:rPr>
        <w:t>万元的无形资产，按照税收规定采取缩短摊销年限或加速摊销方法的有关情况及优惠统计情况。</w:t>
      </w:r>
    </w:p>
    <w:p>
      <w:pPr>
        <w:pStyle w:val="7"/>
        <w:ind w:firstLine="480"/>
        <w:rPr>
          <w:rFonts w:ascii="宋体" w:hAnsi="宋体" w:eastAsia="宋体"/>
        </w:rPr>
      </w:pPr>
      <w:r>
        <w:rPr>
          <w:rFonts w:hint="eastAsia" w:ascii="宋体" w:hAnsi="宋体" w:eastAsia="宋体"/>
        </w:rPr>
        <w:t>第32行“（三）特定地区企业无形资产一次性摊销”：适用于海南自由贸易港等特定地区设立的企业填报享受无形资产一次性摊销政策有关情况。本行填报第32.1+32.2行金额。</w:t>
      </w:r>
    </w:p>
    <w:p>
      <w:pPr>
        <w:pStyle w:val="7"/>
        <w:ind w:firstLine="480"/>
        <w:rPr>
          <w:rFonts w:ascii="宋体" w:hAnsi="宋体" w:eastAsia="宋体"/>
        </w:rPr>
      </w:pPr>
      <w:r>
        <w:rPr>
          <w:rFonts w:hint="eastAsia" w:ascii="宋体" w:hAnsi="宋体" w:eastAsia="宋体"/>
        </w:rPr>
        <w:t>第32.1行“海南自由贸易港企业无形资产一次性摊销”：海南自由贸易港企业填报新购置（含自行开发）单位价值不超过5</w:t>
      </w:r>
      <w:r>
        <w:rPr>
          <w:rFonts w:ascii="宋体" w:hAnsi="宋体" w:eastAsia="宋体"/>
        </w:rPr>
        <w:t>00</w:t>
      </w:r>
      <w:r>
        <w:rPr>
          <w:rFonts w:hint="eastAsia" w:ascii="宋体" w:hAnsi="宋体" w:eastAsia="宋体"/>
        </w:rPr>
        <w:t>万元的无形资产，按照税收规定一次性摊销的有关情况及优惠统计情况。</w:t>
      </w:r>
    </w:p>
    <w:p>
      <w:pPr>
        <w:pStyle w:val="7"/>
        <w:ind w:firstLine="480"/>
        <w:rPr>
          <w:rFonts w:ascii="宋体" w:hAnsi="宋体" w:eastAsia="宋体"/>
        </w:rPr>
      </w:pPr>
      <w:r>
        <w:rPr>
          <w:rFonts w:hint="eastAsia" w:ascii="宋体" w:hAnsi="宋体" w:eastAsia="宋体"/>
        </w:rPr>
        <w:t>第32.2行“横琴粤澳深度合作区企业无形资产一次性摊销”：横琴粤澳深度合作区企业填报新购置（含自行开发）单位价值不超过5</w:t>
      </w:r>
      <w:r>
        <w:rPr>
          <w:rFonts w:ascii="宋体" w:hAnsi="宋体" w:eastAsia="宋体"/>
        </w:rPr>
        <w:t>00</w:t>
      </w:r>
      <w:r>
        <w:rPr>
          <w:rFonts w:hint="eastAsia" w:ascii="宋体" w:hAnsi="宋体" w:eastAsia="宋体"/>
        </w:rPr>
        <w:t>万元的无形资产，按照税收规定一次性摊销的有关情况及优惠统计情况。</w:t>
      </w:r>
    </w:p>
    <w:p>
      <w:pPr>
        <w:pStyle w:val="7"/>
        <w:ind w:firstLine="480"/>
        <w:rPr>
          <w:rFonts w:ascii="宋体" w:hAnsi="宋体" w:eastAsia="宋体"/>
        </w:rPr>
      </w:pPr>
      <w:r>
        <w:rPr>
          <w:rFonts w:hint="eastAsia" w:ascii="宋体" w:hAnsi="宋体" w:eastAsia="宋体"/>
        </w:rPr>
        <w:t>3.附列资料“全民所有制企业公司制改制资产评估增值政策资产”：填报企业按照国家税务总局公告2017年第34号规定，执行“改制中资产评估增值不计入应纳税所得额，资产的计税基础按其原有计税基础确定，资产增值部分的折旧或者摊销不得在税前扣除”政策的有关情况。本行不参与计算，仅用于统计享受全民所有制企业公司制改制资产评估增值政策资产的有关情况，相关资产折旧、摊销情况及调整情况在第1行至第40行填报。</w:t>
      </w:r>
    </w:p>
    <w:p>
      <w:pPr>
        <w:pStyle w:val="7"/>
        <w:ind w:firstLine="482"/>
        <w:outlineLvl w:val="0"/>
        <w:rPr>
          <w:rFonts w:ascii="宋体" w:hAnsi="宋体" w:eastAsia="宋体"/>
          <w:b/>
          <w:bCs/>
        </w:rPr>
      </w:pPr>
      <w:bookmarkStart w:id="13" w:name="_Toc1017687144_WPSOffice_Level1"/>
      <w:bookmarkEnd w:id="13"/>
      <w:bookmarkStart w:id="14" w:name="_Toc1369110665_WPSOffice_Level1"/>
      <w:bookmarkStart w:id="15" w:name="_Toc729404382_WPSOffice_Level1"/>
      <w:bookmarkStart w:id="16" w:name="_Toc1648477118_WPSOffice_Level1"/>
      <w:r>
        <w:rPr>
          <w:rFonts w:hint="eastAsia" w:ascii="宋体" w:hAnsi="宋体" w:eastAsia="宋体"/>
          <w:b/>
          <w:bCs/>
        </w:rPr>
        <w:t>二、表内、表间关系</w:t>
      </w:r>
      <w:bookmarkEnd w:id="14"/>
      <w:bookmarkEnd w:id="15"/>
      <w:bookmarkEnd w:id="16"/>
    </w:p>
    <w:p>
      <w:pPr>
        <w:pStyle w:val="7"/>
        <w:ind w:firstLine="480"/>
        <w:outlineLvl w:val="1"/>
        <w:rPr>
          <w:rFonts w:ascii="宋体" w:hAnsi="宋体" w:eastAsia="宋体"/>
        </w:rPr>
      </w:pPr>
      <w:bookmarkStart w:id="17" w:name="_Toc1322846752_WPSOffice_Level2"/>
      <w:bookmarkEnd w:id="17"/>
      <w:bookmarkStart w:id="18" w:name="_Toc303342233_WPSOffice_Level2"/>
      <w:r>
        <w:rPr>
          <w:rFonts w:hint="eastAsia" w:ascii="宋体" w:hAnsi="宋体" w:eastAsia="宋体"/>
        </w:rPr>
        <w:t>（一）表内关系</w:t>
      </w:r>
      <w:bookmarkEnd w:id="18"/>
    </w:p>
    <w:p>
      <w:pPr>
        <w:pStyle w:val="7"/>
        <w:ind w:firstLine="480"/>
        <w:rPr>
          <w:rFonts w:ascii="宋体" w:hAnsi="宋体" w:eastAsia="宋体"/>
        </w:rPr>
      </w:pPr>
      <w:r>
        <w:rPr>
          <w:rFonts w:hint="eastAsia" w:ascii="宋体" w:hAnsi="宋体" w:eastAsia="宋体"/>
        </w:rPr>
        <w:t>1.第1行＝第2+3+…+7行。</w:t>
      </w:r>
    </w:p>
    <w:p>
      <w:pPr>
        <w:pStyle w:val="7"/>
        <w:ind w:firstLine="480"/>
        <w:rPr>
          <w:rFonts w:hint="eastAsia" w:ascii="宋体" w:hAnsi="宋体" w:eastAsia="宋体"/>
        </w:rPr>
      </w:pPr>
      <w:r>
        <w:rPr>
          <w:rFonts w:hint="eastAsia" w:ascii="宋体" w:hAnsi="宋体" w:eastAsia="宋体"/>
        </w:rPr>
        <w:t>2.第10行＝第10.1行+第10.2行。</w:t>
      </w:r>
    </w:p>
    <w:p>
      <w:pPr>
        <w:pStyle w:val="7"/>
        <w:ind w:firstLine="480"/>
        <w:rPr>
          <w:rFonts w:hint="eastAsia" w:ascii="宋体" w:hAnsi="宋体" w:eastAsia="宋体"/>
        </w:rPr>
      </w:pPr>
      <w:r>
        <w:rPr>
          <w:rFonts w:hint="eastAsia" w:ascii="宋体" w:hAnsi="宋体" w:eastAsia="宋体"/>
        </w:rPr>
        <w:t>3</w:t>
      </w:r>
      <w:r>
        <w:rPr>
          <w:rFonts w:ascii="宋体" w:hAnsi="宋体" w:eastAsia="宋体"/>
        </w:rPr>
        <w:t>.</w:t>
      </w:r>
      <w:r>
        <w:rPr>
          <w:rFonts w:hint="eastAsia" w:ascii="宋体" w:hAnsi="宋体" w:eastAsia="宋体"/>
        </w:rPr>
        <w:t>第1</w:t>
      </w:r>
      <w:r>
        <w:rPr>
          <w:rFonts w:ascii="宋体" w:hAnsi="宋体" w:eastAsia="宋体"/>
        </w:rPr>
        <w:t>1</w:t>
      </w:r>
      <w:r>
        <w:rPr>
          <w:rFonts w:hint="eastAsia" w:ascii="宋体" w:hAnsi="宋体" w:eastAsia="宋体"/>
        </w:rPr>
        <w:t>行=第1</w:t>
      </w:r>
      <w:r>
        <w:rPr>
          <w:rFonts w:ascii="宋体" w:hAnsi="宋体" w:eastAsia="宋体"/>
        </w:rPr>
        <w:t>1.1</w:t>
      </w:r>
      <w:r>
        <w:rPr>
          <w:rFonts w:hint="eastAsia" w:ascii="宋体" w:hAnsi="宋体" w:eastAsia="宋体"/>
        </w:rPr>
        <w:t>行+第1</w:t>
      </w:r>
      <w:r>
        <w:rPr>
          <w:rFonts w:ascii="宋体" w:hAnsi="宋体" w:eastAsia="宋体"/>
        </w:rPr>
        <w:t>1.2</w:t>
      </w:r>
      <w:r>
        <w:rPr>
          <w:rFonts w:hint="eastAsia" w:ascii="宋体" w:hAnsi="宋体" w:eastAsia="宋体"/>
        </w:rPr>
        <w:t>行。</w:t>
      </w:r>
    </w:p>
    <w:p>
      <w:pPr>
        <w:pStyle w:val="7"/>
        <w:ind w:firstLine="480"/>
        <w:rPr>
          <w:rFonts w:hint="eastAsia" w:ascii="宋体" w:hAnsi="宋体" w:eastAsia="宋体"/>
        </w:rPr>
      </w:pPr>
      <w:r>
        <w:rPr>
          <w:rFonts w:ascii="宋体" w:hAnsi="宋体" w:eastAsia="宋体"/>
        </w:rPr>
        <w:t>4.</w:t>
      </w:r>
      <w:r>
        <w:rPr>
          <w:rFonts w:hint="eastAsia" w:ascii="宋体" w:hAnsi="宋体" w:eastAsia="宋体"/>
        </w:rPr>
        <w:t>第1</w:t>
      </w:r>
      <w:r>
        <w:rPr>
          <w:rFonts w:ascii="宋体" w:hAnsi="宋体" w:eastAsia="宋体"/>
        </w:rPr>
        <w:t>2</w:t>
      </w:r>
      <w:r>
        <w:rPr>
          <w:rFonts w:hint="eastAsia" w:ascii="宋体" w:hAnsi="宋体" w:eastAsia="宋体"/>
        </w:rPr>
        <w:t>行=第1</w:t>
      </w:r>
      <w:r>
        <w:rPr>
          <w:rFonts w:ascii="宋体" w:hAnsi="宋体" w:eastAsia="宋体"/>
        </w:rPr>
        <w:t>2.1+12.2+12.3+12.4</w:t>
      </w:r>
      <w:r>
        <w:rPr>
          <w:rFonts w:hint="eastAsia" w:ascii="宋体" w:hAnsi="宋体" w:eastAsia="宋体"/>
        </w:rPr>
        <w:t>行。</w:t>
      </w:r>
    </w:p>
    <w:p>
      <w:pPr>
        <w:pStyle w:val="7"/>
        <w:ind w:firstLine="480"/>
        <w:rPr>
          <w:rFonts w:hint="eastAsia" w:ascii="宋体" w:hAnsi="宋体" w:eastAsia="宋体"/>
        </w:rPr>
      </w:pPr>
      <w:r>
        <w:rPr>
          <w:rFonts w:ascii="宋体" w:hAnsi="宋体" w:eastAsia="宋体"/>
        </w:rPr>
        <w:t>5</w:t>
      </w:r>
      <w:r>
        <w:rPr>
          <w:rFonts w:hint="eastAsia" w:ascii="宋体" w:hAnsi="宋体" w:eastAsia="宋体"/>
        </w:rPr>
        <w:t>.第13行＝第13.1+13.2行。</w:t>
      </w:r>
    </w:p>
    <w:p>
      <w:pPr>
        <w:pStyle w:val="7"/>
        <w:ind w:firstLine="480"/>
        <w:rPr>
          <w:rFonts w:ascii="宋体" w:hAnsi="宋体" w:eastAsia="宋体"/>
        </w:rPr>
      </w:pPr>
      <w:r>
        <w:rPr>
          <w:rFonts w:hint="eastAsia" w:ascii="宋体" w:hAnsi="宋体" w:eastAsia="宋体"/>
        </w:rPr>
        <w:t>6.第18行＝第19+20行。</w:t>
      </w:r>
    </w:p>
    <w:p>
      <w:pPr>
        <w:pStyle w:val="7"/>
        <w:ind w:firstLine="480"/>
        <w:rPr>
          <w:rFonts w:ascii="宋体" w:hAnsi="宋体" w:eastAsia="宋体"/>
        </w:rPr>
      </w:pPr>
      <w:r>
        <w:rPr>
          <w:rFonts w:hint="eastAsia" w:ascii="宋体" w:hAnsi="宋体" w:eastAsia="宋体"/>
        </w:rPr>
        <w:t>7.第21行＝第22+23…+29行。</w:t>
      </w:r>
    </w:p>
    <w:p>
      <w:pPr>
        <w:pStyle w:val="7"/>
        <w:ind w:firstLine="480"/>
        <w:rPr>
          <w:rFonts w:hint="eastAsia" w:ascii="宋体" w:hAnsi="宋体" w:eastAsia="宋体"/>
        </w:rPr>
      </w:pPr>
      <w:r>
        <w:rPr>
          <w:rFonts w:hint="eastAsia" w:ascii="宋体" w:hAnsi="宋体" w:eastAsia="宋体"/>
        </w:rPr>
        <w:t>8.第31行＝第31.1+31.2行。</w:t>
      </w:r>
    </w:p>
    <w:p>
      <w:pPr>
        <w:pStyle w:val="7"/>
        <w:ind w:firstLine="480"/>
        <w:rPr>
          <w:rFonts w:hint="eastAsia" w:ascii="宋体" w:hAnsi="宋体" w:eastAsia="宋体"/>
        </w:rPr>
      </w:pPr>
      <w:r>
        <w:rPr>
          <w:rFonts w:hint="eastAsia" w:ascii="宋体" w:hAnsi="宋体" w:eastAsia="宋体"/>
        </w:rPr>
        <w:t>9.第32行＝第32.1+32.2行。</w:t>
      </w:r>
    </w:p>
    <w:p>
      <w:pPr>
        <w:pStyle w:val="7"/>
        <w:ind w:firstLine="480"/>
        <w:rPr>
          <w:rFonts w:ascii="宋体" w:hAnsi="宋体" w:eastAsia="宋体"/>
        </w:rPr>
      </w:pPr>
      <w:r>
        <w:rPr>
          <w:rFonts w:hint="eastAsia" w:ascii="宋体" w:hAnsi="宋体" w:eastAsia="宋体"/>
        </w:rPr>
        <w:t>10.第33行＝第34+35+36+37+38行。</w:t>
      </w:r>
    </w:p>
    <w:p>
      <w:pPr>
        <w:pStyle w:val="7"/>
        <w:ind w:firstLine="480"/>
        <w:rPr>
          <w:rFonts w:ascii="宋体" w:hAnsi="宋体" w:eastAsia="宋体"/>
        </w:rPr>
      </w:pPr>
      <w:r>
        <w:rPr>
          <w:rFonts w:hint="eastAsia" w:ascii="宋体" w:hAnsi="宋体" w:eastAsia="宋体"/>
        </w:rPr>
        <w:t>11.第41行＝第1+18+21+33+39+40行。（其中第41行第6列＝第8+9+10+11+12+13+14+15+16+17+30+31+32行第6列；第41行第7列＝第8+9+10+11+12+13+14+15+16+17+30+31+32行第7列）。</w:t>
      </w:r>
    </w:p>
    <w:p>
      <w:pPr>
        <w:pStyle w:val="7"/>
        <w:ind w:firstLine="480"/>
        <w:rPr>
          <w:rFonts w:ascii="宋体" w:hAnsi="宋体" w:eastAsia="宋体"/>
        </w:rPr>
      </w:pPr>
      <w:r>
        <w:rPr>
          <w:rFonts w:hint="eastAsia" w:ascii="宋体" w:hAnsi="宋体" w:eastAsia="宋体"/>
        </w:rPr>
        <w:t>12.第7列＝第5-6列。</w:t>
      </w:r>
    </w:p>
    <w:p>
      <w:pPr>
        <w:pStyle w:val="7"/>
        <w:ind w:firstLine="480"/>
        <w:rPr>
          <w:rFonts w:ascii="宋体" w:hAnsi="宋体" w:eastAsia="宋体"/>
        </w:rPr>
      </w:pPr>
      <w:r>
        <w:rPr>
          <w:rFonts w:hint="eastAsia" w:ascii="宋体" w:hAnsi="宋体" w:eastAsia="宋体"/>
        </w:rPr>
        <w:t>1</w:t>
      </w:r>
      <w:r>
        <w:rPr>
          <w:rFonts w:ascii="宋体" w:hAnsi="宋体" w:eastAsia="宋体"/>
        </w:rPr>
        <w:t>3</w:t>
      </w:r>
      <w:r>
        <w:rPr>
          <w:rFonts w:hint="eastAsia" w:ascii="宋体" w:hAnsi="宋体" w:eastAsia="宋体"/>
        </w:rPr>
        <w:t>.第9列＝第2-5列。</w:t>
      </w:r>
    </w:p>
    <w:p>
      <w:pPr>
        <w:pStyle w:val="7"/>
        <w:ind w:firstLine="480"/>
        <w:outlineLvl w:val="1"/>
        <w:rPr>
          <w:rFonts w:ascii="宋体" w:hAnsi="宋体" w:eastAsia="宋体"/>
        </w:rPr>
      </w:pPr>
      <w:bookmarkStart w:id="19" w:name="_Toc752612628_WPSOffice_Level2"/>
      <w:bookmarkEnd w:id="19"/>
      <w:bookmarkStart w:id="20" w:name="_Toc1349526280_WPSOffice_Level2"/>
      <w:r>
        <w:rPr>
          <w:rFonts w:hint="eastAsia" w:ascii="宋体" w:hAnsi="宋体" w:eastAsia="宋体"/>
        </w:rPr>
        <w:t>（二）表间关系</w:t>
      </w:r>
      <w:bookmarkEnd w:id="20"/>
    </w:p>
    <w:p>
      <w:pPr>
        <w:pStyle w:val="7"/>
        <w:ind w:firstLine="480"/>
        <w:rPr>
          <w:rFonts w:ascii="宋体" w:hAnsi="宋体" w:eastAsia="宋体"/>
        </w:rPr>
      </w:pPr>
      <w:r>
        <w:rPr>
          <w:rFonts w:hint="eastAsia" w:ascii="宋体" w:hAnsi="宋体" w:eastAsia="宋体"/>
        </w:rPr>
        <w:t>1.第41行第2列＝表A105000第32行第1列。</w:t>
      </w:r>
    </w:p>
    <w:p>
      <w:pPr>
        <w:pStyle w:val="7"/>
        <w:ind w:firstLine="480"/>
        <w:rPr>
          <w:rFonts w:ascii="宋体" w:hAnsi="宋体" w:eastAsia="宋体"/>
        </w:rPr>
      </w:pPr>
      <w:r>
        <w:rPr>
          <w:rFonts w:hint="eastAsia" w:ascii="宋体" w:hAnsi="宋体" w:eastAsia="宋体"/>
        </w:rPr>
        <w:t>2.第41行第5列＝表A105000第32行第2列。</w:t>
      </w:r>
    </w:p>
    <w:p>
      <w:pPr>
        <w:pStyle w:val="7"/>
        <w:ind w:firstLine="480"/>
        <w:rPr>
          <w:rFonts w:hint="eastAsia" w:ascii="宋体" w:hAnsi="宋体" w:eastAsia="宋体" w:cs="宋体"/>
        </w:rPr>
      </w:pPr>
      <w:r>
        <w:rPr>
          <w:rFonts w:hint="eastAsia" w:ascii="宋体" w:hAnsi="宋体" w:eastAsia="宋体"/>
        </w:rPr>
        <w:t>3.若第41行第9列≥0，第41行第9列＝表A105000第32行第3列；若第41行第9列＜0，第41行第9列的绝对值＝表A105000第32行第4列</w:t>
      </w:r>
      <w:r>
        <w:rPr>
          <w:rFonts w:hint="eastAsia" w:ascii="宋体" w:hAnsi="宋体" w:eastAsia="宋体" w:cs="宋体"/>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ESI宋体-GB2312">
    <w:altName w:val="宋体"/>
    <w:panose1 w:val="02000500000000000000"/>
    <w:charset w:val="86"/>
    <w:family w:val="auto"/>
    <w:pitch w:val="default"/>
    <w:sig w:usb0="00000000" w:usb1="00000000"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97F39"/>
    <w:rsid w:val="7A897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TableOfAuthoring"/>
    <w:basedOn w:val="1"/>
    <w:next w:val="1"/>
    <w:qFormat/>
    <w:uiPriority w:val="0"/>
    <w:pPr>
      <w:ind w:left="420" w:leftChars="200"/>
    </w:pPr>
  </w:style>
  <w:style w:type="paragraph" w:customStyle="1" w:styleId="5">
    <w:name w:val="SBBT1"/>
    <w:basedOn w:val="6"/>
    <w:qFormat/>
    <w:uiPriority w:val="0"/>
    <w:pPr>
      <w:tabs>
        <w:tab w:val="center" w:pos="4678"/>
      </w:tabs>
      <w:ind w:firstLine="0" w:firstLineChars="0"/>
      <w:jc w:val="left"/>
      <w:outlineLvl w:val="0"/>
    </w:pPr>
    <w:rPr>
      <w:rFonts w:cs="宋体"/>
      <w:b/>
      <w:bCs/>
      <w:kern w:val="0"/>
      <w:sz w:val="28"/>
      <w:szCs w:val="28"/>
    </w:rPr>
  </w:style>
  <w:style w:type="paragraph" w:customStyle="1" w:styleId="6">
    <w:name w:val="SBBZW"/>
    <w:basedOn w:val="1"/>
    <w:qFormat/>
    <w:uiPriority w:val="0"/>
    <w:pPr>
      <w:spacing w:line="360" w:lineRule="auto"/>
      <w:ind w:firstLine="480" w:firstLineChars="200"/>
    </w:pPr>
    <w:rPr>
      <w:rFonts w:ascii="宋体" w:hAnsi="宋体"/>
      <w:sz w:val="24"/>
    </w:rPr>
  </w:style>
  <w:style w:type="paragraph" w:customStyle="1" w:styleId="7">
    <w:name w:val="填报说明正文"/>
    <w:basedOn w:val="1"/>
    <w:qFormat/>
    <w:uiPriority w:val="0"/>
    <w:pPr>
      <w:spacing w:line="480" w:lineRule="exact"/>
      <w:ind w:firstLine="640" w:firstLineChars="200"/>
    </w:pPr>
    <w:rPr>
      <w:rFonts w:ascii="Times New Roman" w:hAnsi="Times New Roman" w:eastAsia="CESI宋体-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2023-03-02T03:34:00Z</dcterms:created>
  <dc:creator>陈东柱</dc:creator>
  <cp:lastModifiedBy>陈东柱</cp:lastModifiedBy>
  <dcterms:modified xsi:type="dcterms:W3CDTF">2023-03-02T03:38:31Z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