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32221"/>
      <w:r>
        <w:rPr>
          <w:rFonts w:hint="eastAsia"/>
        </w:rPr>
        <w:t>A105100</w:t>
      </w:r>
      <w:r>
        <w:tab/>
      </w:r>
      <w:r>
        <w:rPr>
          <w:rFonts w:hint="eastAsia"/>
        </w:rPr>
        <w:t>企业重组及递延纳税事项纳税调整明细表</w:t>
      </w:r>
      <w:bookmarkEnd w:id="0"/>
    </w:p>
    <w:tbl>
      <w:tblPr>
        <w:tblStyle w:val="4"/>
        <w:tblW w:w="148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44"/>
        <w:gridCol w:w="1125"/>
        <w:gridCol w:w="1290"/>
        <w:gridCol w:w="975"/>
        <w:gridCol w:w="1087"/>
        <w:gridCol w:w="1180"/>
        <w:gridCol w:w="118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7"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6144"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3390"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一般性税务处理</w:t>
            </w:r>
          </w:p>
        </w:tc>
        <w:tc>
          <w:tcPr>
            <w:tcW w:w="3447" w:type="dxa"/>
            <w:gridSpan w:val="3"/>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特殊性税务处理（递延纳税）</w:t>
            </w:r>
          </w:p>
        </w:tc>
        <w:tc>
          <w:tcPr>
            <w:tcW w:w="1180" w:type="dxa"/>
            <w:vMerge w:val="restart"/>
            <w:tcBorders>
              <w:top w:val="single" w:color="auto" w:sz="12"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677"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29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975"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087"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账载金额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税收金额</w:t>
            </w:r>
          </w:p>
        </w:tc>
        <w:tc>
          <w:tcPr>
            <w:tcW w:w="1180" w:type="dxa"/>
            <w:tcBorders>
              <w:top w:val="single" w:color="auto" w:sz="6" w:space="0"/>
              <w:bottom w:val="single" w:color="auto" w:sz="6"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纳税调整金额</w:t>
            </w:r>
          </w:p>
        </w:tc>
        <w:tc>
          <w:tcPr>
            <w:tcW w:w="1180" w:type="dxa"/>
            <w:vMerge w:val="continue"/>
            <w:tcBorders>
              <w:top w:val="single" w:color="auto" w:sz="6" w:space="0"/>
              <w:bottom w:val="single" w:color="auto" w:sz="6" w:space="0"/>
            </w:tcBorders>
            <w:noWrap w:val="0"/>
            <w:vAlign w:val="center"/>
          </w:tcPr>
          <w:p>
            <w:pPr>
              <w:widowControl/>
              <w:jc w:val="lef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 w:hRule="atLeast"/>
          <w:jc w:val="center"/>
        </w:trPr>
        <w:tc>
          <w:tcPr>
            <w:tcW w:w="677"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6144" w:type="dxa"/>
            <w:vMerge w:val="continue"/>
            <w:tcBorders>
              <w:top w:val="single" w:color="auto" w:sz="6" w:space="0"/>
              <w:bottom w:val="single" w:color="auto" w:sz="12" w:space="0"/>
            </w:tcBorders>
            <w:noWrap w:val="0"/>
            <w:vAlign w:val="center"/>
          </w:tcPr>
          <w:p>
            <w:pPr>
              <w:widowControl/>
              <w:jc w:val="left"/>
              <w:rPr>
                <w:rFonts w:ascii="宋体" w:hAnsi="宋体" w:cs="宋体"/>
                <w:kern w:val="0"/>
                <w:sz w:val="20"/>
                <w:szCs w:val="20"/>
              </w:rPr>
            </w:pPr>
          </w:p>
        </w:tc>
        <w:tc>
          <w:tcPr>
            <w:tcW w:w="112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29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5"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3(2-1)</w:t>
            </w:r>
          </w:p>
        </w:tc>
        <w:tc>
          <w:tcPr>
            <w:tcW w:w="1087"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6(5-4)</w:t>
            </w:r>
          </w:p>
        </w:tc>
        <w:tc>
          <w:tcPr>
            <w:tcW w:w="1180" w:type="dxa"/>
            <w:tcBorders>
              <w:top w:val="single" w:color="auto" w:sz="6" w:space="0"/>
              <w:bottom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677" w:type="dxa"/>
            <w:tcBorders>
              <w:top w:val="single" w:color="auto" w:sz="12"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6144" w:type="dxa"/>
            <w:tcBorders>
              <w:top w:val="single" w:color="auto" w:sz="12" w:space="0"/>
            </w:tcBorders>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一、债务重组</w:t>
            </w:r>
          </w:p>
        </w:tc>
        <w:tc>
          <w:tcPr>
            <w:tcW w:w="112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tcBorders>
              <w:top w:val="single" w:color="auto" w:sz="12"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其中：以非货币性资产清偿债务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债转股</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二、股权收购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其中：涉及跨境重组的股权收购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三、资产收购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其中：涉及跨境重组的资产收购</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四、企业合并（9+10）</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（二）非同一控制下企业合并</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五、企业分立</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六、非货币性资产对外投资</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七、技术入股</w:t>
            </w:r>
          </w:p>
        </w:tc>
        <w:tc>
          <w:tcPr>
            <w:tcW w:w="1125" w:type="dxa"/>
            <w:noWrap/>
            <w:vAlign w:val="center"/>
          </w:tcPr>
          <w:p>
            <w:pPr>
              <w:widowControl/>
              <w:jc w:val="center"/>
              <w:rPr>
                <w:rFonts w:ascii="宋体" w:hAnsi="宋体" w:cs="宋体"/>
                <w:kern w:val="0"/>
                <w:sz w:val="20"/>
                <w:szCs w:val="20"/>
              </w:rPr>
            </w:pPr>
          </w:p>
        </w:tc>
        <w:tc>
          <w:tcPr>
            <w:tcW w:w="1290" w:type="dxa"/>
            <w:noWrap/>
            <w:vAlign w:val="center"/>
          </w:tcPr>
          <w:p>
            <w:pPr>
              <w:widowControl/>
              <w:jc w:val="center"/>
              <w:rPr>
                <w:rFonts w:ascii="宋体" w:hAnsi="宋体" w:cs="宋体"/>
                <w:kern w:val="0"/>
                <w:sz w:val="20"/>
                <w:szCs w:val="20"/>
              </w:rPr>
            </w:pPr>
          </w:p>
        </w:tc>
        <w:tc>
          <w:tcPr>
            <w:tcW w:w="975" w:type="dxa"/>
            <w:noWrap/>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八、股权划转、资产划转</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ascii="宋体" w:hAnsi="宋体" w:cs="宋体"/>
                <w:kern w:val="0"/>
                <w:sz w:val="20"/>
                <w:szCs w:val="20"/>
              </w:rPr>
              <w:t>15</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九、基础设施领域不动产投资信托基金（</w:t>
            </w:r>
            <w:r>
              <w:rPr>
                <w:rFonts w:hint="eastAsia" w:ascii="宋体" w:hAnsi="宋体" w:cs="宋体"/>
                <w:kern w:val="0"/>
                <w:sz w:val="20"/>
                <w:szCs w:val="20"/>
              </w:rPr>
              <w:sym w:font="Wingdings 2" w:char="00A3"/>
            </w:r>
            <w:r>
              <w:rPr>
                <w:rFonts w:hint="eastAsia" w:ascii="宋体" w:hAnsi="宋体" w:cs="宋体"/>
                <w:kern w:val="0"/>
                <w:sz w:val="20"/>
                <w:szCs w:val="20"/>
              </w:rPr>
              <w:t>原始权益人</w:t>
            </w:r>
            <w:r>
              <w:rPr>
                <w:rFonts w:hint="eastAsia" w:ascii="宋体" w:hAnsi="宋体" w:cs="宋体"/>
                <w:kern w:val="0"/>
                <w:sz w:val="20"/>
                <w:szCs w:val="20"/>
              </w:rPr>
              <w:sym w:font="Wingdings 2" w:char="00A3"/>
            </w:r>
            <w:r>
              <w:rPr>
                <w:rFonts w:hint="eastAsia" w:ascii="宋体" w:hAnsi="宋体" w:cs="宋体"/>
                <w:kern w:val="0"/>
                <w:sz w:val="20"/>
                <w:szCs w:val="20"/>
              </w:rPr>
              <w:t>项目公司）</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15.1</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（一）设立基础设施REITs前</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15.2</w:t>
            </w:r>
          </w:p>
        </w:tc>
        <w:tc>
          <w:tcPr>
            <w:tcW w:w="6144"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（二）设立基础设施REITs阶段</w:t>
            </w:r>
          </w:p>
        </w:tc>
        <w:tc>
          <w:tcPr>
            <w:tcW w:w="1125" w:type="dxa"/>
            <w:noWrap w:val="0"/>
            <w:vAlign w:val="center"/>
          </w:tcPr>
          <w:p>
            <w:pPr>
              <w:widowControl/>
              <w:jc w:val="center"/>
              <w:rPr>
                <w:rFonts w:ascii="宋体" w:hAnsi="宋体" w:cs="宋体"/>
                <w:kern w:val="0"/>
                <w:sz w:val="20"/>
                <w:szCs w:val="20"/>
              </w:rPr>
            </w:pPr>
          </w:p>
        </w:tc>
        <w:tc>
          <w:tcPr>
            <w:tcW w:w="1290" w:type="dxa"/>
            <w:noWrap w:val="0"/>
            <w:vAlign w:val="center"/>
          </w:tcPr>
          <w:p>
            <w:pPr>
              <w:widowControl/>
              <w:jc w:val="center"/>
              <w:rPr>
                <w:rFonts w:ascii="宋体" w:hAnsi="宋体" w:cs="宋体"/>
                <w:kern w:val="0"/>
                <w:sz w:val="20"/>
                <w:szCs w:val="20"/>
              </w:rPr>
            </w:pPr>
          </w:p>
        </w:tc>
        <w:tc>
          <w:tcPr>
            <w:tcW w:w="975" w:type="dxa"/>
            <w:noWrap w:val="0"/>
            <w:vAlign w:val="center"/>
          </w:tcPr>
          <w:p>
            <w:pPr>
              <w:widowControl/>
              <w:jc w:val="center"/>
              <w:rPr>
                <w:rFonts w:ascii="宋体" w:hAnsi="宋体" w:cs="宋体"/>
                <w:kern w:val="0"/>
                <w:sz w:val="20"/>
                <w:szCs w:val="20"/>
              </w:rPr>
            </w:pPr>
          </w:p>
        </w:tc>
        <w:tc>
          <w:tcPr>
            <w:tcW w:w="1087"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c>
          <w:tcPr>
            <w:tcW w:w="1180" w:type="dxa"/>
            <w:noWrap w:val="0"/>
            <w:vAlign w:val="center"/>
          </w:tcPr>
          <w:p>
            <w:pPr>
              <w:widowControl/>
              <w:jc w:val="right"/>
              <w:rPr>
                <w:rFonts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6</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十、其他</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77"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7</w:t>
            </w:r>
          </w:p>
        </w:tc>
        <w:tc>
          <w:tcPr>
            <w:tcW w:w="6144" w:type="dxa"/>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合计（1+4+6+8+11+12+13+14+15+16）</w:t>
            </w:r>
          </w:p>
        </w:tc>
        <w:tc>
          <w:tcPr>
            <w:tcW w:w="112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9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75"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7"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180" w:type="dxa"/>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tabs>
          <w:tab w:val="left" w:pos="2220"/>
        </w:tabs>
        <w:sectPr>
          <w:pgSz w:w="16838" w:h="11906" w:orient="landscape"/>
          <w:pgMar w:top="1418" w:right="1985" w:bottom="1418" w:left="1928" w:header="851" w:footer="992" w:gutter="113"/>
          <w:pgNumType w:fmt="decimal"/>
          <w:cols w:space="720" w:num="1"/>
          <w:docGrid w:linePitch="312" w:charSpace="0"/>
        </w:sectPr>
      </w:pPr>
      <w:r>
        <w:tab/>
      </w:r>
    </w:p>
    <w:p>
      <w:pPr>
        <w:pStyle w:val="9"/>
        <w:spacing w:before="240" w:after="360"/>
        <w:rPr>
          <w:rFonts w:ascii="宋体" w:eastAsia="宋体"/>
          <w:b/>
        </w:rPr>
      </w:pPr>
      <w:bookmarkStart w:id="1" w:name="_Toc20527"/>
      <w:r>
        <w:rPr>
          <w:rFonts w:hint="eastAsia" w:ascii="宋体" w:eastAsia="宋体"/>
          <w:b/>
        </w:rPr>
        <w:t>A105100</w:t>
      </w:r>
      <w:r>
        <w:rPr>
          <w:rFonts w:ascii="宋体" w:eastAsia="宋体"/>
          <w:b/>
        </w:rPr>
        <w:tab/>
      </w:r>
      <w:r>
        <w:rPr>
          <w:rFonts w:hint="eastAsia" w:ascii="宋体" w:eastAsia="宋体"/>
          <w:b/>
        </w:rPr>
        <w:t>《企业重组及递延纳税事项纳税调整明细表》填报说明</w:t>
      </w:r>
      <w:bookmarkEnd w:id="1"/>
    </w:p>
    <w:p>
      <w:pPr>
        <w:pStyle w:val="8"/>
      </w:pPr>
      <w:r>
        <w:rPr>
          <w:rFonts w:hint="eastAsia"/>
        </w:rPr>
        <w:t>本表适用于发生企业重组、非货币性资产对外投资、技术入股、</w:t>
      </w:r>
      <w:r>
        <w:rPr>
          <w:rFonts w:hint="eastAsia"/>
          <w:lang w:val="en"/>
        </w:rPr>
        <w:t>基础设施领域不动产投资信托基金</w:t>
      </w:r>
      <w:r>
        <w:rPr>
          <w:rFonts w:hint="eastAsia"/>
        </w:rPr>
        <w:t>等业务的纳税人填报。纳税人发生企业重组事项的，在企业重组日所属纳税年度分析填报。纳税人根据税法、《财政部 国家税务总局关于企业重组业务企业所得税处理若干问题的通知》（财税〔2009〕59号）、《国家税务总局关于发布〈企业重组业务企业所得税管理办法〉的公告》（2010年第4号）、《财政部 国家税务总局关于中国（上海）自由贸易试验区内企业以非货币性资产对外投资等资产重组行为有关企业所得税政策问题的通知》（财税〔2013〕91号）、《财政部 国家税务总局关于非货币性资产投资企业所得税政策问题的通知》（财税〔2014〕116号）、《财政部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2015年第33号）、《国家税务总局关于资产（股权）划转企业所得税征管问题的公告》（2015年第40号）、《国家税务总局关于企业重组业务企业所得税征收管理若干问题的公告》（2015年第48号）、《财政部 国家税务总局关于完善股权激励和技术入股有关所得税政策的通知》（财税〔2016〕101号）、《国家税务总局关于股权激励和技术入股所得税征管问题的公告》（2016年第62号）、《财政部 税务总局关于基础设施领域不动产投资信托基金（REITs）试点税收政策的公告》（2022年第3号）等相关规定，以及国家统一企业会计制度，填报企业重组、非货币资产对外投资、技术入股、</w:t>
      </w:r>
      <w:r>
        <w:rPr>
          <w:rFonts w:hint="eastAsia"/>
          <w:lang w:val="en"/>
        </w:rPr>
        <w:t>基础设施领域不动产投资信托基金</w:t>
      </w:r>
      <w:r>
        <w:rPr>
          <w:rFonts w:hint="eastAsia"/>
        </w:rPr>
        <w:t>等业务的会计核算及税收规定，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pPr>
        <w:pStyle w:val="10"/>
        <w:ind w:firstLine="482"/>
        <w:outlineLvl w:val="0"/>
        <w:rPr>
          <w:rFonts w:cs="宋体"/>
        </w:rPr>
      </w:pPr>
      <w:bookmarkStart w:id="2" w:name="_Toc1849127692_WPSOffice_Level1"/>
      <w:bookmarkStart w:id="3" w:name="_Toc1872749899_WPSOffice_Level1"/>
      <w:bookmarkStart w:id="4" w:name="_Toc746452639_WPSOffice_Level1"/>
      <w:r>
        <w:rPr>
          <w:rFonts w:hint="eastAsia" w:cs="宋体"/>
        </w:rPr>
        <w:t>一、有关项目填报说明</w:t>
      </w:r>
      <w:bookmarkEnd w:id="2"/>
      <w:bookmarkEnd w:id="3"/>
      <w:bookmarkEnd w:id="4"/>
    </w:p>
    <w:p>
      <w:pPr>
        <w:pStyle w:val="11"/>
        <w:outlineLvl w:val="1"/>
        <w:rPr>
          <w:rFonts w:ascii="宋体" w:hAnsi="宋体" w:eastAsia="宋体" w:cs="宋体"/>
        </w:rPr>
      </w:pPr>
      <w:r>
        <w:rPr>
          <w:rFonts w:hint="eastAsia" w:ascii="宋体" w:hAnsi="宋体" w:eastAsia="宋体" w:cs="宋体"/>
        </w:rPr>
        <w:t>（一）行次填报</w:t>
      </w:r>
    </w:p>
    <w:p>
      <w:pPr>
        <w:pStyle w:val="8"/>
      </w:pPr>
      <w:r>
        <w:rPr>
          <w:rFonts w:hint="eastAsia"/>
        </w:rPr>
        <w:t>1.第1行“一、债务重组”：填报企业发生债务重组业务的相关金额。</w:t>
      </w:r>
    </w:p>
    <w:p>
      <w:pPr>
        <w:pStyle w:val="8"/>
      </w:pPr>
      <w:r>
        <w:rPr>
          <w:rFonts w:hint="eastAsia"/>
        </w:rPr>
        <w:t>2.第2行“其中：以非货币性资产清偿债务”：填报企业发生以非货币性资产清偿债务的债务重组业务的相关金额。</w:t>
      </w:r>
    </w:p>
    <w:p>
      <w:pPr>
        <w:pStyle w:val="8"/>
      </w:pPr>
      <w:r>
        <w:rPr>
          <w:rFonts w:hint="eastAsia"/>
        </w:rPr>
        <w:t>3.第3行“债转股”：填报企业发生债权转股权的债务重组业务的相关金额。</w:t>
      </w:r>
    </w:p>
    <w:p>
      <w:pPr>
        <w:pStyle w:val="8"/>
      </w:pPr>
      <w:r>
        <w:rPr>
          <w:rFonts w:hint="eastAsia"/>
        </w:rPr>
        <w:t>4.第4行“二、股权收购”：填报企业发生股权收购重组业务的相关金额。</w:t>
      </w:r>
    </w:p>
    <w:p>
      <w:pPr>
        <w:pStyle w:val="8"/>
      </w:pPr>
      <w:r>
        <w:rPr>
          <w:rFonts w:hint="eastAsia"/>
        </w:rPr>
        <w:t>5.第5行“其中：涉及跨境重组的股权收购”：填报企业发生涉及中国境内与境外之间、内地与港澳之间、大陆与台湾地区之间的股权收购交易重组业务的相关金额。</w:t>
      </w:r>
    </w:p>
    <w:p>
      <w:pPr>
        <w:pStyle w:val="8"/>
      </w:pPr>
      <w:r>
        <w:rPr>
          <w:rFonts w:hint="eastAsia"/>
        </w:rPr>
        <w:t>6.第6行“三、资产收购”：填报企业发生资产收购重组业务的相关金额。</w:t>
      </w:r>
    </w:p>
    <w:p>
      <w:pPr>
        <w:pStyle w:val="8"/>
      </w:pPr>
      <w:r>
        <w:rPr>
          <w:rFonts w:hint="eastAsia"/>
        </w:rPr>
        <w:t>7.第7行“其中：涉及跨境重组的资产收购”：填报企业发生涉及中国境内与境外之间、内地与港澳之间、大陆与台湾地区之间的资产收购交易重组业务的相关金额。</w:t>
      </w:r>
    </w:p>
    <w:p>
      <w:pPr>
        <w:pStyle w:val="8"/>
      </w:pPr>
      <w:r>
        <w:rPr>
          <w:rFonts w:hint="eastAsia"/>
        </w:rPr>
        <w:t>8.第8行“四、企业合并”：填报第9行和第10行的合计金额。</w:t>
      </w:r>
    </w:p>
    <w:p>
      <w:pPr>
        <w:pStyle w:val="8"/>
      </w:pPr>
      <w:r>
        <w:rPr>
          <w:rFonts w:hint="eastAsia"/>
        </w:rPr>
        <w:t>9.第9行“（一）同一控制下企业合并”：填报企业发生同一控制下企业合并重组业务的相关金额。</w:t>
      </w:r>
    </w:p>
    <w:p>
      <w:pPr>
        <w:pStyle w:val="8"/>
      </w:pPr>
      <w:r>
        <w:rPr>
          <w:rFonts w:hint="eastAsia"/>
        </w:rPr>
        <w:t>10.第10行“（二）非同一控制下企业合并”：填报企业发生非同一控制下企业合并重组业务的相关金额。</w:t>
      </w:r>
    </w:p>
    <w:p>
      <w:pPr>
        <w:pStyle w:val="8"/>
      </w:pPr>
      <w:r>
        <w:rPr>
          <w:rFonts w:hint="eastAsia"/>
        </w:rPr>
        <w:t>11.第11行“五、企业分立”：填报企业发生非同一控制下企业分立重组业务的相关金额。</w:t>
      </w:r>
    </w:p>
    <w:p>
      <w:pPr>
        <w:pStyle w:val="8"/>
      </w:pPr>
      <w:r>
        <w:rPr>
          <w:rFonts w:hint="eastAsia"/>
        </w:rPr>
        <w:t>12.第12行“六、非货币性资产对外投资”：填报企业发生非货币性资产对外投资的相关金额，符合《财政部 国家税务总局关于非货币性资产投资企业所得税政策问题的通知》（财税〔2014〕116号）和《国家税务总局关于非货币性资产投资企业所得税有关征管问题的公告》（2015年第33号）规定执行递延纳税政策的填写“特殊性税务处理（递延纳税）”相关列次。</w:t>
      </w:r>
    </w:p>
    <w:p>
      <w:pPr>
        <w:pStyle w:val="8"/>
      </w:pPr>
      <w:r>
        <w:rPr>
          <w:rFonts w:hint="eastAsia"/>
        </w:rPr>
        <w:t>13.第13行“七、技术入股”：填报企业以技术成果投资入股到境内居民企业，被投资企业支付对价全部为股票（权）的技术入股业务的相关金额，符合《财政部 国家税务总局关于完善股权激励和技术入股有关所得税政策的通知》（财税〔2016〕101号）、《国家税务总局关于股权激励和技术入股所得税征管问题的公告》（2016年第62号）规定适用递延纳税政策的填写“特殊性税务处理（递延纳税）”相关列次。</w:t>
      </w:r>
    </w:p>
    <w:p>
      <w:pPr>
        <w:pStyle w:val="8"/>
      </w:pPr>
      <w:r>
        <w:rPr>
          <w:rFonts w:hint="eastAsia"/>
        </w:rPr>
        <w:t>14.第14行“八、股权划转、资产划转”：填报企业发生资产（股权）划转业务的相关金额。</w:t>
      </w:r>
    </w:p>
    <w:p>
      <w:pPr>
        <w:pStyle w:val="8"/>
        <w:rPr>
          <w:rFonts w:hint="eastAsia"/>
        </w:rPr>
      </w:pPr>
      <w:r>
        <w:rPr>
          <w:rFonts w:hint="eastAsia"/>
        </w:rPr>
        <w:t>15.第15行“</w:t>
      </w:r>
      <w:r>
        <w:rPr>
          <w:rFonts w:hint="eastAsia"/>
          <w:lang w:val="en"/>
        </w:rPr>
        <w:t>九、基础设施领域不动产投资信托基金</w:t>
      </w:r>
      <w:r>
        <w:rPr>
          <w:rFonts w:hint="eastAsia"/>
          <w:kern w:val="0"/>
          <w:lang w:val="en"/>
        </w:rPr>
        <w:t>（□原始权益人</w:t>
      </w:r>
      <w:r>
        <w:rPr>
          <w:rFonts w:hint="eastAsia"/>
          <w:kern w:val="0"/>
        </w:rPr>
        <w:t xml:space="preserve"> </w:t>
      </w:r>
      <w:r>
        <w:rPr>
          <w:rFonts w:hint="eastAsia"/>
          <w:kern w:val="0"/>
          <w:lang w:val="en"/>
        </w:rPr>
        <w:t>□项目公司）</w:t>
      </w:r>
      <w:r>
        <w:rPr>
          <w:rFonts w:hint="eastAsia"/>
        </w:rPr>
        <w:t>”：填报</w:t>
      </w:r>
      <w:r>
        <w:rPr>
          <w:rFonts w:hint="eastAsia"/>
          <w:kern w:val="0"/>
          <w:lang w:val="en"/>
        </w:rPr>
        <w:t>原始权益人</w:t>
      </w:r>
      <w:r>
        <w:rPr>
          <w:rFonts w:hint="eastAsia"/>
        </w:rPr>
        <w:t>、项目公司在设立基础设施REITs前、设立阶段发生的划转基础设施资产、转让项目公司股权等相关业务产生的损益金额及调整金额。本行填报第15.1行和第15.2行的合计金额。</w:t>
      </w:r>
    </w:p>
    <w:p>
      <w:pPr>
        <w:pStyle w:val="8"/>
        <w:rPr>
          <w:rFonts w:hint="eastAsia"/>
        </w:rPr>
      </w:pPr>
      <w:r>
        <w:rPr>
          <w:rFonts w:hint="eastAsia"/>
        </w:rPr>
        <w:t>纳税人填报本行时，根据实际情况填报企业类型。</w:t>
      </w:r>
    </w:p>
    <w:p>
      <w:pPr>
        <w:pStyle w:val="8"/>
        <w:rPr>
          <w:rFonts w:hint="eastAsia"/>
        </w:rPr>
      </w:pPr>
      <w:r>
        <w:rPr>
          <w:rFonts w:hint="eastAsia"/>
        </w:rPr>
        <w:t>第15.1行“（一）</w:t>
      </w:r>
      <w:r>
        <w:rPr>
          <w:rFonts w:hint="eastAsia"/>
          <w:lang w:val="en"/>
        </w:rPr>
        <w:t>设立</w:t>
      </w:r>
      <w:r>
        <w:rPr>
          <w:rFonts w:hint="eastAsia"/>
        </w:rPr>
        <w:t>基础设施</w:t>
      </w:r>
      <w:r>
        <w:rPr>
          <w:rFonts w:hint="eastAsia"/>
          <w:lang w:val="en"/>
        </w:rPr>
        <w:t>REITs前</w:t>
      </w:r>
      <w:r>
        <w:rPr>
          <w:rFonts w:hint="eastAsia"/>
        </w:rPr>
        <w:t>”:填报在设立基础设施REITs前，</w:t>
      </w:r>
      <w:r>
        <w:rPr>
          <w:rFonts w:hint="eastAsia"/>
          <w:kern w:val="0"/>
          <w:lang w:val="en"/>
        </w:rPr>
        <w:t>原始权益人</w:t>
      </w:r>
      <w:r>
        <w:rPr>
          <w:rFonts w:hint="eastAsia"/>
        </w:rPr>
        <w:t>与项目公司就其发生的划转基础设施资产业务产生的损益金额及调整金额。</w:t>
      </w:r>
    </w:p>
    <w:p>
      <w:pPr>
        <w:pStyle w:val="8"/>
        <w:rPr>
          <w:rFonts w:hint="eastAsia"/>
        </w:rPr>
      </w:pPr>
      <w:r>
        <w:rPr>
          <w:rFonts w:hint="eastAsia"/>
        </w:rPr>
        <w:t>第15.2行“（二）</w:t>
      </w:r>
      <w:r>
        <w:rPr>
          <w:rFonts w:hint="eastAsia"/>
          <w:lang w:val="en"/>
        </w:rPr>
        <w:t>设立</w:t>
      </w:r>
      <w:r>
        <w:rPr>
          <w:rFonts w:hint="eastAsia"/>
        </w:rPr>
        <w:t>基础设施</w:t>
      </w:r>
      <w:r>
        <w:rPr>
          <w:rFonts w:hint="eastAsia"/>
          <w:lang w:val="en"/>
        </w:rPr>
        <w:t>REITs</w:t>
      </w:r>
      <w:r>
        <w:rPr>
          <w:rFonts w:hint="eastAsia"/>
        </w:rPr>
        <w:t>阶段”：填报原始</w:t>
      </w:r>
      <w:r>
        <w:rPr>
          <w:rFonts w:hint="eastAsia"/>
          <w:kern w:val="0"/>
          <w:lang w:val="en"/>
        </w:rPr>
        <w:t>权益</w:t>
      </w:r>
      <w:r>
        <w:rPr>
          <w:rFonts w:hint="eastAsia"/>
        </w:rPr>
        <w:t>人在设立基础设施REITs阶段，针对向基础设施REITs转让项目公司股权实现的资产转让评估增值以及按照战略配售要求自持的基础设施REITs份额对应的资产转让评估增值等产生的损益金额及调整金额。</w:t>
      </w:r>
    </w:p>
    <w:p>
      <w:pPr>
        <w:pStyle w:val="8"/>
        <w:rPr>
          <w:rFonts w:hint="eastAsia"/>
        </w:rPr>
      </w:pPr>
      <w:r>
        <w:rPr>
          <w:rFonts w:hint="eastAsia"/>
        </w:rPr>
        <w:t>1</w:t>
      </w:r>
      <w:r>
        <w:t>6</w:t>
      </w:r>
      <w:r>
        <w:rPr>
          <w:rFonts w:hint="eastAsia"/>
        </w:rPr>
        <w:t>.第16行“十、其他”：填报企业发生的其他递延纳税事项的相关金额。</w:t>
      </w:r>
    </w:p>
    <w:p>
      <w:pPr>
        <w:pStyle w:val="11"/>
        <w:outlineLvl w:val="1"/>
        <w:rPr>
          <w:rFonts w:ascii="宋体" w:hAnsi="宋体" w:eastAsia="宋体" w:cs="宋体"/>
        </w:rPr>
      </w:pPr>
      <w:r>
        <w:rPr>
          <w:rFonts w:hint="eastAsia" w:ascii="宋体" w:hAnsi="宋体" w:eastAsia="宋体" w:cs="宋体"/>
        </w:rPr>
        <w:t>（二）列次填报</w:t>
      </w:r>
    </w:p>
    <w:p>
      <w:pPr>
        <w:pStyle w:val="8"/>
      </w:pPr>
      <w:r>
        <w:rPr>
          <w:rFonts w:hint="eastAsia"/>
        </w:rPr>
        <w:t>本表数据栏设置“一般性税务处理”“特殊性税务处理（递延纳税）”两大栏次，纳税人应根据企业重组所适用的税务处理办法，分别按照企业重组类型进行累计填报，损失以“-”号填列。</w:t>
      </w:r>
    </w:p>
    <w:p>
      <w:pPr>
        <w:pStyle w:val="8"/>
      </w:pPr>
      <w:r>
        <w:rPr>
          <w:rFonts w:hint="eastAsia"/>
        </w:rPr>
        <w:t>1.第1列“一般性税务处理-账载金额”：填报企业重组适用一般性税务处理或企业未发生递延纳税业务，会计核算确认的企业损益金额。</w:t>
      </w:r>
    </w:p>
    <w:p>
      <w:pPr>
        <w:pStyle w:val="8"/>
      </w:pPr>
      <w:r>
        <w:rPr>
          <w:rFonts w:hint="eastAsia"/>
        </w:rPr>
        <w:t>2.第2列“一般性税务处理-税收金额”：填报企业重组适用一般性税务处理或企业未发生递延纳税业务，按税收规定确认的所得（或损失）。</w:t>
      </w:r>
    </w:p>
    <w:p>
      <w:pPr>
        <w:pStyle w:val="8"/>
      </w:pPr>
      <w:r>
        <w:rPr>
          <w:rFonts w:hint="eastAsia"/>
        </w:rPr>
        <w:t>3.第3列“一般性税务处理-纳税调整金额”：填报企业重组适用一般性税务处理或企业未发生递延纳税业务，按税收规定确认的所得（或损失）与会计核算确认的损益金额的差额。本项填报第2-1列的余额。</w:t>
      </w:r>
    </w:p>
    <w:p>
      <w:pPr>
        <w:pStyle w:val="8"/>
      </w:pPr>
      <w:r>
        <w:rPr>
          <w:rFonts w:hint="eastAsia"/>
        </w:rPr>
        <w:t>4.第4列“特殊性税务处理（递延纳税）-账载金额”：填报企业重组适用特殊性税务处理或企业发生递延纳税业务，会计核算确认的损益金额。</w:t>
      </w:r>
    </w:p>
    <w:p>
      <w:pPr>
        <w:pStyle w:val="8"/>
      </w:pPr>
      <w:r>
        <w:rPr>
          <w:rFonts w:hint="eastAsia"/>
        </w:rPr>
        <w:t>5.第5列“特殊性税务处理（递延纳税）-税收金额”：填报企业重组适用特殊性税务处理或企业发生递延纳税业务，按税收规定确认的所得（或损失）。</w:t>
      </w:r>
    </w:p>
    <w:p>
      <w:pPr>
        <w:pStyle w:val="8"/>
      </w:pPr>
      <w:r>
        <w:rPr>
          <w:rFonts w:hint="eastAsia"/>
        </w:rPr>
        <w:t>6.第6列“特殊性税务处理（递延纳税）-纳税调整金额”：填报企业重组适用特殊性税务处理或企业发生递延纳税业务，按税收规定确认的所得（或损失）与会计核算确认的损益金额的差额。本项填报第5-4列的余额。</w:t>
      </w:r>
    </w:p>
    <w:p>
      <w:pPr>
        <w:pStyle w:val="8"/>
      </w:pPr>
      <w:r>
        <w:rPr>
          <w:rFonts w:hint="eastAsia"/>
        </w:rPr>
        <w:t>7.第7列“纳税调整金额”：填报第3+6列的合计金额。</w:t>
      </w:r>
    </w:p>
    <w:p>
      <w:pPr>
        <w:pStyle w:val="10"/>
        <w:ind w:firstLine="482"/>
        <w:outlineLvl w:val="0"/>
        <w:rPr>
          <w:rFonts w:cs="宋体"/>
        </w:rPr>
      </w:pPr>
      <w:bookmarkStart w:id="5" w:name="_Toc1179643045_WPSOffice_Level1"/>
      <w:bookmarkStart w:id="6" w:name="_Toc1181149639_WPSOffice_Level1"/>
      <w:bookmarkStart w:id="7" w:name="_Toc249341077_WPSOffice_Level1"/>
      <w:r>
        <w:rPr>
          <w:rFonts w:hint="eastAsia" w:cs="宋体"/>
        </w:rPr>
        <w:t>二、表内、表间关系</w:t>
      </w:r>
      <w:bookmarkEnd w:id="5"/>
      <w:bookmarkEnd w:id="6"/>
      <w:bookmarkEnd w:id="7"/>
    </w:p>
    <w:p>
      <w:pPr>
        <w:pStyle w:val="11"/>
        <w:outlineLvl w:val="1"/>
        <w:rPr>
          <w:rFonts w:ascii="宋体" w:hAnsi="宋体" w:eastAsia="宋体" w:cs="宋体"/>
        </w:rPr>
      </w:pPr>
      <w:r>
        <w:rPr>
          <w:rFonts w:hint="eastAsia" w:ascii="宋体" w:hAnsi="宋体" w:eastAsia="宋体" w:cs="宋体"/>
        </w:rPr>
        <w:t>（一）表内关系</w:t>
      </w:r>
    </w:p>
    <w:p>
      <w:pPr>
        <w:pStyle w:val="8"/>
        <w:rPr>
          <w:rFonts w:hint="eastAsia"/>
        </w:rPr>
      </w:pPr>
      <w:r>
        <w:rPr>
          <w:rFonts w:hint="eastAsia"/>
        </w:rPr>
        <w:t>1.第8行＝第9+10行。</w:t>
      </w:r>
    </w:p>
    <w:p>
      <w:pPr>
        <w:pStyle w:val="8"/>
        <w:rPr>
          <w:rFonts w:hint="eastAsia"/>
        </w:rPr>
      </w:pPr>
      <w:r>
        <w:rPr>
          <w:rFonts w:hint="eastAsia"/>
        </w:rPr>
        <w:t>2.第15行＝第15.1+15.2行。</w:t>
      </w:r>
    </w:p>
    <w:p>
      <w:pPr>
        <w:pStyle w:val="8"/>
      </w:pPr>
      <w:r>
        <w:rPr>
          <w:rFonts w:hint="eastAsia"/>
        </w:rPr>
        <w:t>3.第17行＝第1+4+6+8+11+12+13+14+15+16行。</w:t>
      </w:r>
    </w:p>
    <w:p>
      <w:pPr>
        <w:pStyle w:val="8"/>
      </w:pPr>
      <w:r>
        <w:rPr>
          <w:rFonts w:hint="eastAsia"/>
        </w:rPr>
        <w:t>4.第3列＝第2-1列。</w:t>
      </w:r>
    </w:p>
    <w:p>
      <w:pPr>
        <w:pStyle w:val="8"/>
      </w:pPr>
      <w:r>
        <w:rPr>
          <w:rFonts w:hint="eastAsia"/>
        </w:rPr>
        <w:t>5.第6列＝第5-4列。</w:t>
      </w:r>
    </w:p>
    <w:p>
      <w:pPr>
        <w:pStyle w:val="8"/>
      </w:pPr>
      <w:r>
        <w:rPr>
          <w:rFonts w:hint="eastAsia"/>
        </w:rPr>
        <w:t>6.第7列＝第3+6列。</w:t>
      </w:r>
    </w:p>
    <w:p>
      <w:pPr>
        <w:pStyle w:val="11"/>
        <w:outlineLvl w:val="1"/>
        <w:rPr>
          <w:rFonts w:ascii="宋体" w:hAnsi="宋体" w:eastAsia="宋体" w:cs="宋体"/>
        </w:rPr>
      </w:pPr>
      <w:r>
        <w:rPr>
          <w:rFonts w:hint="eastAsia" w:ascii="宋体" w:hAnsi="宋体" w:eastAsia="宋体" w:cs="宋体"/>
        </w:rPr>
        <w:t>（二）表间关系</w:t>
      </w:r>
    </w:p>
    <w:p>
      <w:pPr>
        <w:pStyle w:val="8"/>
      </w:pPr>
      <w:r>
        <w:rPr>
          <w:rFonts w:hint="eastAsia"/>
        </w:rPr>
        <w:t>1.第17行第1+4列＝表A105000第37行第1列。</w:t>
      </w:r>
    </w:p>
    <w:p>
      <w:pPr>
        <w:pStyle w:val="8"/>
      </w:pPr>
      <w:r>
        <w:rPr>
          <w:rFonts w:hint="eastAsia"/>
        </w:rPr>
        <w:t>2.第17行第2+5列＝表A105000第37行第2列。</w:t>
      </w:r>
    </w:p>
    <w:p>
      <w:pPr>
        <w:pStyle w:val="8"/>
      </w:pPr>
      <w:r>
        <w:rPr>
          <w:rFonts w:hint="eastAsia"/>
        </w:rPr>
        <w:t>3.若第17行第7列≥0，第17行第7列＝表A105000第37行第3列；若第17行第7列＜0，第17行第7列的绝对值＝表A105000第37行第4列。</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B0101"/>
    <w:rsid w:val="169B0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lang w:val="zh-CN"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customStyle="1" w:styleId="6">
    <w:name w:val="SBBT2"/>
    <w:basedOn w:val="7"/>
    <w:qFormat/>
    <w:uiPriority w:val="0"/>
    <w:pPr>
      <w:tabs>
        <w:tab w:val="center" w:pos="4678"/>
        <w:tab w:val="center" w:pos="6521"/>
      </w:tabs>
    </w:pPr>
  </w:style>
  <w:style w:type="paragraph" w:customStyle="1" w:styleId="7">
    <w:name w:val="SBBT1"/>
    <w:basedOn w:val="8"/>
    <w:qFormat/>
    <w:uiPriority w:val="0"/>
    <w:pPr>
      <w:tabs>
        <w:tab w:val="center" w:pos="4678"/>
      </w:tabs>
      <w:ind w:firstLine="0" w:firstLineChars="0"/>
      <w:jc w:val="left"/>
      <w:outlineLvl w:val="0"/>
    </w:pPr>
    <w:rPr>
      <w:rFonts w:cs="宋体"/>
      <w:b/>
      <w:bCs/>
      <w:kern w:val="0"/>
      <w:sz w:val="28"/>
      <w:szCs w:val="28"/>
    </w:rPr>
  </w:style>
  <w:style w:type="paragraph" w:customStyle="1" w:styleId="8">
    <w:name w:val="SBBZW"/>
    <w:basedOn w:val="1"/>
    <w:qFormat/>
    <w:uiPriority w:val="0"/>
    <w:pPr>
      <w:spacing w:line="360" w:lineRule="auto"/>
      <w:ind w:firstLine="480" w:firstLineChars="200"/>
    </w:pPr>
    <w:rPr>
      <w:rFonts w:ascii="宋体" w:hAnsi="宋体"/>
      <w:sz w:val="24"/>
    </w:rPr>
  </w:style>
  <w:style w:type="paragraph" w:customStyle="1" w:styleId="9">
    <w:name w:val="SBBL1"/>
    <w:basedOn w:val="3"/>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10">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11">
    <w:name w:val="SBBL3"/>
    <w:basedOn w:val="1"/>
    <w:qFormat/>
    <w:uiPriority w:val="0"/>
    <w:pPr>
      <w:spacing w:line="360" w:lineRule="auto"/>
      <w:ind w:firstLine="480" w:firstLineChars="200"/>
      <w:outlineLvl w:val="2"/>
    </w:pPr>
    <w:rPr>
      <w:rFonts w:ascii="黑体" w:hAnsi="黑体" w:eastAsia="黑体" w:cs="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2023-03-02T06:53:00Z</dcterms:created>
  <dc:creator>陈东柱</dc:creator>
  <cp:lastModifiedBy>陈东柱</cp:lastModifiedBy>
  <dcterms:modified xsi:type="dcterms:W3CDTF">2023-03-02T06:54:18Z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