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napToGrid w:val="0"/>
        <w:rPr>
          <w:rFonts w:hint="eastAsia" w:ascii="宋体" w:hAnsi="宋体" w:eastAsia="宋体" w:cs="宋体"/>
          <w:b/>
          <w:bCs/>
          <w:kern w:val="0"/>
          <w:sz w:val="28"/>
          <w:szCs w:val="28"/>
        </w:rPr>
      </w:pPr>
      <w:r>
        <w:rPr>
          <w:rFonts w:hint="eastAsia" w:ascii="宋体" w:hAnsi="宋体" w:eastAsia="宋体" w:cs="宋体"/>
          <w:b/>
          <w:bCs/>
          <w:kern w:val="0"/>
          <w:sz w:val="28"/>
          <w:szCs w:val="28"/>
        </w:rPr>
        <w:t>A105060        广告费和业务宣传费等跨年度纳税调整明细表</w:t>
      </w:r>
    </w:p>
    <w:tbl>
      <w:tblPr>
        <w:tblStyle w:val="2"/>
        <w:tblW w:w="101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40"/>
        <w:gridCol w:w="6956"/>
        <w:gridCol w:w="1276"/>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jc w:val="center"/>
        </w:trPr>
        <w:tc>
          <w:tcPr>
            <w:tcW w:w="640" w:type="dxa"/>
            <w:vMerge w:val="restart"/>
            <w:tcBorders>
              <w:top w:val="single" w:color="auto" w:sz="12"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行次</w:t>
            </w:r>
          </w:p>
        </w:tc>
        <w:tc>
          <w:tcPr>
            <w:tcW w:w="6956" w:type="dxa"/>
            <w:vMerge w:val="restart"/>
            <w:tcBorders>
              <w:top w:val="single" w:color="auto" w:sz="12"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bookmarkStart w:id="0" w:name="_GoBack"/>
            <w:bookmarkEnd w:id="0"/>
            <w:r>
              <w:rPr>
                <w:rFonts w:hint="eastAsia" w:ascii="宋体" w:hAnsi="宋体" w:eastAsia="宋体" w:cs="宋体"/>
                <w:spacing w:val="500"/>
                <w:kern w:val="0"/>
                <w:sz w:val="20"/>
                <w:szCs w:val="20"/>
                <w:bdr w:val="none" w:color="auto" w:sz="0" w:space="0"/>
                <w:lang w:val="en-US" w:eastAsia="zh-CN" w:bidi="ar"/>
              </w:rPr>
              <w:t>项</w:t>
            </w:r>
            <w:r>
              <w:rPr>
                <w:rFonts w:hint="eastAsia" w:ascii="宋体" w:hAnsi="宋体" w:eastAsia="宋体" w:cs="宋体"/>
                <w:kern w:val="0"/>
                <w:sz w:val="20"/>
                <w:szCs w:val="20"/>
                <w:bdr w:val="none" w:color="auto" w:sz="0" w:space="0"/>
                <w:lang w:val="en-US" w:eastAsia="zh-CN" w:bidi="ar"/>
              </w:rPr>
              <w:t>目</w:t>
            </w:r>
          </w:p>
        </w:tc>
        <w:tc>
          <w:tcPr>
            <w:tcW w:w="1276" w:type="dxa"/>
            <w:tcBorders>
              <w:top w:val="single" w:color="auto" w:sz="12"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广告费和</w:t>
            </w:r>
          </w:p>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业务宣传费</w:t>
            </w:r>
          </w:p>
        </w:tc>
        <w:tc>
          <w:tcPr>
            <w:tcW w:w="1276" w:type="dxa"/>
            <w:tcBorders>
              <w:top w:val="single" w:color="auto" w:sz="12"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保险企业手续费及佣金支出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40" w:type="dxa"/>
            <w:vMerge w:val="continue"/>
            <w:tcBorders>
              <w:top w:val="single" w:color="auto" w:sz="12" w:space="0"/>
              <w:left w:val="single" w:color="auto" w:sz="12"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6956" w:type="dxa"/>
            <w:vMerge w:val="continue"/>
            <w:tcBorders>
              <w:top w:val="single" w:color="auto" w:sz="12" w:space="0"/>
              <w:left w:val="nil"/>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1</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1</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一、本年支出</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2</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400" w:firstLineChars="20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减：不允许扣除的支出</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3</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二、本年符合条件的支出（1-2）</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4</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三、本年计算扣除限额的基数</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5</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400" w:firstLineChars="200"/>
              <w:jc w:val="both"/>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乘：税收规定扣除率</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6</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四、本企业计算的扣除限额（4×5）</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7</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五、本年结转以后年度扣除额</w:t>
            </w:r>
          </w:p>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（3＞6，本行=3-6；3≤6，本行=0）</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8</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400" w:firstLineChars="200"/>
              <w:jc w:val="both"/>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加：以前年度累计结转扣除额</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9</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400" w:firstLineChars="20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减：本年扣除的以前年度结转额</w:t>
            </w:r>
          </w:p>
          <w:p>
            <w:pPr>
              <w:keepNext w:val="0"/>
              <w:keepLines w:val="0"/>
              <w:widowControl/>
              <w:suppressLineNumbers w:val="0"/>
              <w:spacing w:before="0" w:beforeAutospacing="0" w:after="0" w:afterAutospacing="0"/>
              <w:ind w:left="0" w:right="0" w:firstLine="400" w:firstLineChars="20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[3＞6，本行=0；3≤6，本行=8与（6-3）孰小值]</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10</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六、按照分摊协议归集至其他关联方的金额（10≤3与6孰小值）</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bdr w:val="none" w:color="auto" w:sz="0" w:space="0"/>
              </w:rPr>
            </w:pPr>
            <w:r>
              <w:rPr>
                <w:rFonts w:hint="eastAsia" w:ascii="宋体" w:hAnsi="宋体" w:eastAsia="宋体" w:cs="宋体"/>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11</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400" w:firstLineChars="20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按照分摊协议从其他关联方归集至本企业的金额</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bdr w:val="none" w:color="auto" w:sz="0" w:space="0"/>
              </w:rPr>
            </w:pPr>
            <w:r>
              <w:rPr>
                <w:rFonts w:hint="eastAsia" w:ascii="宋体" w:hAnsi="宋体" w:eastAsia="宋体" w:cs="宋体"/>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12</w:t>
            </w:r>
          </w:p>
        </w:tc>
        <w:tc>
          <w:tcPr>
            <w:tcW w:w="695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七、本年支出纳税调整金额</w:t>
            </w:r>
            <w:r>
              <w:rPr>
                <w:rFonts w:hint="eastAsia" w:ascii="宋体" w:hAnsi="Times New Roman"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（3＞6，本行=2+3-6+10-11；3≤6，本行=2+10-11-9）</w:t>
            </w:r>
          </w:p>
        </w:tc>
        <w:tc>
          <w:tcPr>
            <w:tcW w:w="1276"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6"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12"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13</w:t>
            </w:r>
          </w:p>
        </w:tc>
        <w:tc>
          <w:tcPr>
            <w:tcW w:w="6956" w:type="dxa"/>
            <w:tcBorders>
              <w:top w:val="single" w:color="auto" w:sz="6" w:space="0"/>
              <w:left w:val="nil"/>
              <w:bottom w:val="single" w:color="auto" w:sz="12"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八、累计结转以后年度扣除额（7+8-9）</w:t>
            </w:r>
          </w:p>
        </w:tc>
        <w:tc>
          <w:tcPr>
            <w:tcW w:w="1276" w:type="dxa"/>
            <w:tcBorders>
              <w:top w:val="single" w:color="auto" w:sz="6" w:space="0"/>
              <w:left w:val="nil"/>
              <w:bottom w:val="single" w:color="auto" w:sz="12"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0"/>
                <w:szCs w:val="20"/>
                <w:bdr w:val="none" w:color="auto" w:sz="0" w:space="0"/>
              </w:rPr>
            </w:pPr>
            <w:r>
              <w:rPr>
                <w:rFonts w:hint="eastAsia" w:ascii="宋体" w:hAnsi="宋体" w:eastAsia="宋体" w:cs="宋体"/>
                <w:kern w:val="0"/>
                <w:sz w:val="20"/>
                <w:szCs w:val="20"/>
                <w:bdr w:val="none" w:color="auto" w:sz="0" w:space="0"/>
                <w:lang w:val="en-US" w:eastAsia="zh-CN" w:bidi="ar"/>
              </w:rPr>
              <w:t>　</w:t>
            </w:r>
          </w:p>
        </w:tc>
        <w:tc>
          <w:tcPr>
            <w:tcW w:w="1276" w:type="dxa"/>
            <w:tcBorders>
              <w:top w:val="single" w:color="auto" w:sz="6" w:space="0"/>
              <w:left w:val="nil"/>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20"/>
                <w:szCs w:val="20"/>
                <w:bdr w:val="none" w:color="auto" w:sz="0" w:space="0"/>
              </w:rPr>
            </w:pPr>
          </w:p>
        </w:tc>
      </w:tr>
    </w:tbl>
    <w:p>
      <w:pPr>
        <w:rPr>
          <w:rFonts w:hint="eastAsia" w:ascii="方正小标宋简体" w:hAnsi="宋体" w:eastAsia="方正小标宋简体" w:cs="宋体"/>
          <w:b w:val="0"/>
          <w:bCs w:val="0"/>
          <w:kern w:val="44"/>
          <w:sz w:val="28"/>
          <w:szCs w:val="28"/>
        </w:rPr>
        <w:sectPr>
          <w:pgSz w:w="11906" w:h="16838"/>
          <w:pgMar w:top="1134" w:right="1418" w:bottom="1134" w:left="1418" w:header="851" w:footer="992" w:gutter="0"/>
          <w:cols w:space="425" w:num="1"/>
          <w:docGrid w:type="lines" w:linePitch="312" w:charSpace="0"/>
        </w:sectPr>
      </w:pPr>
    </w:p>
    <w:p>
      <w:pPr>
        <w:pStyle w:val="6"/>
        <w:widowControl/>
        <w:snapToGrid w:val="0"/>
        <w:spacing w:beforeLines="100" w:beforeAutospacing="0" w:afterLines="150" w:afterAutospacing="0"/>
        <w:ind w:left="0" w:right="0"/>
        <w:rPr>
          <w:rFonts w:hint="eastAsia" w:ascii="方正小标宋简体" w:hAnsi="宋体" w:eastAsia="方正小标宋简体" w:cs="宋体"/>
          <w:b w:val="0"/>
          <w:bCs w:val="0"/>
          <w:kern w:val="44"/>
          <w:sz w:val="28"/>
          <w:szCs w:val="28"/>
        </w:rPr>
      </w:pPr>
      <w:r>
        <w:rPr>
          <w:rFonts w:hint="eastAsia" w:ascii="方正小标宋简体" w:hAnsi="宋体" w:eastAsia="方正小标宋简体" w:cs="宋体"/>
          <w:b w:val="0"/>
          <w:bCs w:val="0"/>
          <w:kern w:val="44"/>
          <w:sz w:val="28"/>
          <w:szCs w:val="28"/>
        </w:rPr>
        <w:t>A105060 《广告费和业务宣传费等跨年度纳税调整明细表》</w:t>
      </w:r>
      <w:r>
        <w:rPr>
          <w:rFonts w:hint="eastAsia" w:ascii="方正小标宋简体" w:hAnsi="宋体" w:eastAsia="方正小标宋简体" w:cs="宋体"/>
          <w:b w:val="0"/>
          <w:bCs w:val="0"/>
          <w:kern w:val="44"/>
          <w:sz w:val="28"/>
          <w:szCs w:val="28"/>
        </w:rPr>
        <w:br w:type="textWrapping"/>
      </w:r>
      <w:r>
        <w:rPr>
          <w:rFonts w:hint="eastAsia" w:ascii="方正小标宋简体" w:hAnsi="宋体" w:eastAsia="方正小标宋简体" w:cs="宋体"/>
          <w:b w:val="0"/>
          <w:bCs w:val="0"/>
          <w:kern w:val="44"/>
          <w:sz w:val="28"/>
          <w:szCs w:val="28"/>
        </w:rPr>
        <w:t>填报说明</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本表适用于发生广告费和业务宣传费纳税调整项目（含广告费和业务宣传费结转），保险企业手续费及佣金支出纳税调整项目（含保险企业手续费及佣金支出结转）的纳税人填报。纳税人根据税法、《财政部 国家税务总局关于广告费和业务宣传费支出税前扣除政策的通知》（财税〔2012〕48号）、《财政部 税务总局关于保险企业手续费及佣金支出税前扣除政策的公告》（财政部 税务总局公告2019年第72号）等相关规定，以及国家统一企业会计制度，填报广告费和业务宣传费、保险企业手续费及佣金支出会计处理、税收规定，以及跨年度纳税调整情况。</w:t>
      </w:r>
    </w:p>
    <w:p>
      <w:pPr>
        <w:pStyle w:val="8"/>
        <w:widowControl/>
        <w:snapToGrid w:val="0"/>
        <w:ind w:left="0" w:firstLine="482"/>
        <w:rPr>
          <w:rFonts w:hint="eastAsia" w:ascii="宋体" w:hAnsi="宋体" w:eastAsia="宋体" w:cs="Calibri"/>
          <w:b/>
          <w:bCs/>
          <w:kern w:val="2"/>
          <w:sz w:val="24"/>
          <w:szCs w:val="24"/>
        </w:rPr>
      </w:pPr>
      <w:r>
        <w:rPr>
          <w:rFonts w:hint="eastAsia" w:ascii="宋体" w:hAnsi="宋体" w:eastAsia="宋体" w:cs="Calibri"/>
          <w:b/>
          <w:bCs/>
          <w:kern w:val="2"/>
          <w:sz w:val="24"/>
          <w:szCs w:val="24"/>
        </w:rPr>
        <w:t>一、有关项目填报说明</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（一）列次填报</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1. 第1列“广告费和业务宣传费”：填报广告费和业务宣传费会计处理、税收规定，以及跨年度纳税调整情况。</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2.第2列“保险企业手续费及佣金支出”：填报保险企业手续费及佣金支出会计处理、税收规定，以及跨年度纳税调整情况。</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（二）行次填报</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1.第1行“一、本年支出”：填报纳税人计入本年损益的支出金额。</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2.第2行“减：不允许扣除的支出”：填报税收规定不允许扣除的支出金额。</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3.第3行“二、本年符合条件的支出”：填报第1-2行的余额。</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4.第4行“三、本年计算扣除限额的基数”：填报按照税收规定计算扣除限额的基数。“广告费和业务宣传费”列次填写计算扣除限额的当年销售（营业）收入。“保险企业手续费及佣金支出”列次填报</w:t>
      </w:r>
      <w:r>
        <w:rPr>
          <w:rFonts w:hint="eastAsia" w:ascii="Arial" w:hAnsi="Arial" w:eastAsia="宋体" w:cs="Arial"/>
          <w:kern w:val="2"/>
          <w:sz w:val="24"/>
          <w:szCs w:val="24"/>
        </w:rPr>
        <w:t>当年保险企业全部保费收入扣除退保金等后余额。</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5.第5行“税收规定扣除率”：填报税收规定的扣除比例。</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6.第6行“四、本企业计算的扣除限额”：填报第4×5行的金额。</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7.第7行“五、本年结转以后年度扣除额”：若第3行＞第6行,填报第3-6行的余额；若第3行≤第6行,填报0。</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8.第8行“加：以前年度累计结转扣除额”：填报以前年度允许税前扣除但超过扣除限额未扣除、结转扣除的支出金额。</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9.第9行“减：本年扣除的以前年度结转额”：若第3行＞第6行,填0；若第3行≤第6行,填报第6-3行与第8行的孰小值。</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10.第10行“六、按照分摊协议归集至其他关联方的金额”：本行第1列填报签订广告费和业务宣传费分摊协议（以下简称分摊协议）的关联企业的一方，按照分摊协议，将其发生的不超过当年销售（营业）收入税前扣除限额比例内的广告费和业务宣传费支出归集至其他关联方扣除的广告费和业务宣传费，本行应≤第3行与第6行的孰小值。本行第2列不可填报。</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11.第11行“按照分摊协议从其他关联方归集至本企业的金额”：本行第1列填报签订广告费和业务宣传费分摊协议（以下简称分摊协议）的关联企业的一方，按照分摊协议，从其他关联方归集至本企业的广告费和业务宣传费。本行第2列不可填报。</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12.第12行“七、本年支出纳税调整金额”：若第3行＞第6行,填报第2+3-6+10-11行的金额；若第3行≤第6行,填报第2+10-11-9行的金额。</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13.第13行“八、累计结转以后年度扣除额”：填报第7+8-9行的金额。</w:t>
      </w:r>
    </w:p>
    <w:p>
      <w:pPr>
        <w:pStyle w:val="8"/>
        <w:widowControl/>
        <w:snapToGrid w:val="0"/>
        <w:ind w:left="0" w:firstLine="482"/>
        <w:rPr>
          <w:rFonts w:hint="eastAsia" w:ascii="宋体" w:hAnsi="宋体" w:eastAsia="宋体" w:cs="Calibri"/>
          <w:b/>
          <w:bCs/>
          <w:kern w:val="2"/>
          <w:sz w:val="24"/>
          <w:szCs w:val="24"/>
        </w:rPr>
      </w:pPr>
      <w:r>
        <w:rPr>
          <w:rFonts w:hint="eastAsia" w:ascii="宋体" w:hAnsi="宋体" w:eastAsia="宋体" w:cs="Calibri"/>
          <w:b/>
          <w:bCs/>
          <w:kern w:val="2"/>
          <w:sz w:val="24"/>
          <w:szCs w:val="24"/>
        </w:rPr>
        <w:t>二、表内、表间关系</w:t>
      </w:r>
    </w:p>
    <w:p>
      <w:pPr>
        <w:pStyle w:val="5"/>
        <w:widowControl/>
        <w:snapToGrid w:val="0"/>
        <w:rPr>
          <w:rFonts w:hint="eastAsia" w:ascii="黑体" w:hAnsi="宋体" w:eastAsia="黑体" w:cs="黑体"/>
          <w:kern w:val="2"/>
          <w:sz w:val="24"/>
          <w:szCs w:val="24"/>
        </w:rPr>
      </w:pPr>
      <w:r>
        <w:rPr>
          <w:rFonts w:hint="eastAsia" w:ascii="黑体" w:hAnsi="宋体" w:eastAsia="黑体" w:cs="黑体"/>
          <w:kern w:val="2"/>
          <w:sz w:val="24"/>
          <w:szCs w:val="24"/>
        </w:rPr>
        <w:t>（一）表内关系</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1.第3行＝第1-2行。</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2.第6行＝第4×5行。</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3.若第3＞6行，第7行＝第3-6行；若第3≤6行,第7行＝0。</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4.若第3＞6行，第9行＝0；若第3≤6行,第9行＝第8行与第6-3行的孰小值。</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5.若第3＞6行，第12行＝2+3-6+10-11行；若第3≤6行,第12行＝第2-9+10-11行。</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6.第13行＝第7+8-9行。</w:t>
      </w:r>
    </w:p>
    <w:p>
      <w:pPr>
        <w:pStyle w:val="5"/>
        <w:widowControl/>
        <w:snapToGrid w:val="0"/>
        <w:rPr>
          <w:rFonts w:hint="eastAsia" w:ascii="黑体" w:hAnsi="宋体" w:eastAsia="黑体" w:cs="黑体"/>
          <w:kern w:val="2"/>
          <w:sz w:val="24"/>
          <w:szCs w:val="24"/>
        </w:rPr>
      </w:pPr>
      <w:r>
        <w:rPr>
          <w:rFonts w:hint="eastAsia" w:ascii="黑体" w:hAnsi="宋体" w:eastAsia="黑体" w:cs="黑体"/>
          <w:kern w:val="2"/>
          <w:sz w:val="24"/>
          <w:szCs w:val="24"/>
        </w:rPr>
        <w:t>（二）表间关系</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1.若第12行第1列≥0，第12行第1列＝表A105000第16行第3列；若第12行第1列＜0，第12行第1列的绝对值＝表A105000第16行第4列。</w:t>
      </w:r>
    </w:p>
    <w:p>
      <w:pPr>
        <w:pStyle w:val="7"/>
        <w:widowControl/>
        <w:snapToGrid w:val="0"/>
        <w:rPr>
          <w:rFonts w:hint="eastAsia" w:ascii="宋体" w:hAnsi="宋体" w:eastAsia="宋体" w:cs="宋体"/>
          <w:kern w:val="2"/>
          <w:sz w:val="24"/>
          <w:szCs w:val="24"/>
        </w:rPr>
      </w:pPr>
      <w:r>
        <w:rPr>
          <w:rFonts w:hint="eastAsia" w:ascii="宋体" w:hAnsi="宋体" w:eastAsia="宋体" w:cs="宋体"/>
          <w:kern w:val="2"/>
          <w:sz w:val="24"/>
          <w:szCs w:val="24"/>
        </w:rPr>
        <w:t>2.保险企业：第1行第2列=表A105000第23行第1列。若第3行第2列≥第6行第2列，第6行第2列=表A105000第23行第2列；若第3行第2列＜第6行第2列，第3行第2列+第9行第2列=表A105000第23行第2列。若第12行第2列≥0，第12行第2列=表A105000第23行第3列。若第12行第2列＜0，第12行第2列的绝对值=表A105000第23行第4列。</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F4CF1"/>
    <w:rsid w:val="731F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4">
    <w:name w:val="10"/>
    <w:basedOn w:val="3"/>
    <w:uiPriority w:val="0"/>
    <w:rPr>
      <w:rFonts w:hint="default" w:ascii="Times New Roman" w:hAnsi="Times New Roman" w:cs="Times New Roman"/>
    </w:rPr>
  </w:style>
  <w:style w:type="paragraph" w:customStyle="1" w:styleId="5">
    <w:name w:val="SBBL3"/>
    <w:basedOn w:val="1"/>
    <w:uiPriority w:val="0"/>
    <w:pPr>
      <w:keepNext w:val="0"/>
      <w:keepLines w:val="0"/>
      <w:widowControl w:val="0"/>
      <w:suppressLineNumbers w:val="0"/>
      <w:spacing w:before="0" w:beforeAutospacing="0" w:after="0" w:afterAutospacing="0" w:line="360" w:lineRule="auto"/>
      <w:ind w:left="0" w:right="0" w:firstLine="480" w:firstLineChars="200"/>
      <w:jc w:val="both"/>
      <w:outlineLvl w:val="2"/>
    </w:pPr>
    <w:rPr>
      <w:rFonts w:hint="eastAsia" w:ascii="黑体" w:hAnsi="宋体" w:eastAsia="黑体" w:cs="黑体"/>
      <w:kern w:val="2"/>
      <w:sz w:val="24"/>
      <w:szCs w:val="24"/>
      <w:lang w:val="en-US" w:eastAsia="zh-CN" w:bidi="ar"/>
    </w:rPr>
  </w:style>
  <w:style w:type="paragraph" w:customStyle="1" w:styleId="6">
    <w:name w:val="SBBL1"/>
    <w:uiPriority w:val="0"/>
    <w:pPr>
      <w:keepNext/>
      <w:keepLines/>
      <w:widowControl w:val="0"/>
      <w:suppressLineNumbers w:val="0"/>
      <w:spacing w:before="240" w:beforeLines="100" w:beforeAutospacing="0" w:after="360" w:afterLines="150" w:afterAutospacing="0" w:line="240" w:lineRule="auto"/>
      <w:jc w:val="center"/>
      <w:outlineLvl w:val="0"/>
    </w:pPr>
    <w:rPr>
      <w:rFonts w:hint="eastAsia" w:ascii="方正小标宋简体" w:hAnsi="宋体" w:eastAsia="方正小标宋简体" w:cs="宋体"/>
      <w:kern w:val="44"/>
      <w:sz w:val="28"/>
      <w:szCs w:val="28"/>
      <w:lang w:val="en-US" w:eastAsia="zh-CN" w:bidi="ar"/>
    </w:rPr>
  </w:style>
  <w:style w:type="paragraph" w:customStyle="1" w:styleId="7">
    <w:name w:val="SBBZW"/>
    <w:basedOn w:val="1"/>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customStyle="1" w:styleId="8">
    <w:name w:val="SBBL2"/>
    <w:basedOn w:val="1"/>
    <w:uiPriority w:val="0"/>
    <w:pPr>
      <w:keepNext w:val="0"/>
      <w:keepLines w:val="0"/>
      <w:widowControl w:val="0"/>
      <w:suppressLineNumbers w:val="0"/>
      <w:spacing w:before="0" w:beforeAutospacing="0" w:after="0" w:afterAutospacing="0" w:line="360" w:lineRule="auto"/>
      <w:ind w:left="0" w:right="0" w:firstLine="200" w:firstLineChars="200"/>
      <w:jc w:val="left"/>
      <w:outlineLvl w:val="1"/>
    </w:pPr>
    <w:rPr>
      <w:rFonts w:hint="eastAsia" w:ascii="宋体" w:hAnsi="宋体" w:eastAsia="宋体" w:cs="Calibri"/>
      <w:b/>
      <w:bCs/>
      <w:kern w:val="2"/>
      <w:sz w:val="24"/>
      <w:szCs w:val="24"/>
      <w:lang w:val="en-US" w:eastAsia="zh-CN" w:bidi="ar"/>
    </w:rPr>
  </w:style>
  <w:style w:type="paragraph" w:customStyle="1" w:styleId="9">
    <w:name w:val="SBBT1"/>
    <w:basedOn w:val="7"/>
    <w:uiPriority w:val="0"/>
    <w:pPr>
      <w:keepNext w:val="0"/>
      <w:keepLines w:val="0"/>
      <w:widowControl w:val="0"/>
      <w:suppressLineNumbers w:val="0"/>
      <w:spacing w:before="0" w:beforeAutospacing="0" w:after="0" w:afterAutospacing="0" w:line="360" w:lineRule="auto"/>
      <w:ind w:left="0" w:right="0" w:firstLine="0" w:firstLineChars="0"/>
      <w:jc w:val="left"/>
      <w:outlineLvl w:val="0"/>
    </w:pPr>
    <w:rPr>
      <w:rFonts w:hint="eastAsia" w:ascii="宋体" w:hAnsi="宋体" w:eastAsia="宋体" w:cs="宋体"/>
      <w:b/>
      <w:bCs/>
      <w:kern w:val="0"/>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2023-03-02T07:33:00Z</dcterms:created>
  <dc:creator>陈东柱</dc:creator>
  <cp:lastModifiedBy>陈东柱</cp:lastModifiedBy>
  <dcterms:modified xsi:type="dcterms:W3CDTF">2023-03-02T07:34:37Z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