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napToGrid w:val="0"/>
        <w:spacing w:before="0" w:beforeAutospacing="0" w:after="0" w:afterAutospacing="0" w:line="360" w:lineRule="auto"/>
        <w:ind w:left="0" w:right="0"/>
        <w:jc w:val="left"/>
        <w:rPr>
          <w:rFonts w:hint="eastAsia" w:ascii="黑体" w:hAnsi="宋体" w:eastAsia="黑体" w:cs="Times New Roman"/>
          <w:kern w:val="2"/>
          <w:sz w:val="32"/>
          <w:szCs w:val="32"/>
        </w:rPr>
      </w:pPr>
    </w:p>
    <w:tbl>
      <w:tblPr>
        <w:tblStyle w:val="2"/>
        <w:tblW w:w="4998" w:type="pct"/>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806"/>
        <w:gridCol w:w="164"/>
        <w:gridCol w:w="382"/>
        <w:gridCol w:w="259"/>
        <w:gridCol w:w="464"/>
        <w:gridCol w:w="180"/>
        <w:gridCol w:w="125"/>
        <w:gridCol w:w="837"/>
        <w:gridCol w:w="353"/>
        <w:gridCol w:w="141"/>
        <w:gridCol w:w="435"/>
        <w:gridCol w:w="29"/>
        <w:gridCol w:w="318"/>
        <w:gridCol w:w="120"/>
        <w:gridCol w:w="107"/>
        <w:gridCol w:w="40"/>
        <w:gridCol w:w="424"/>
        <w:gridCol w:w="199"/>
        <w:gridCol w:w="567"/>
        <w:gridCol w:w="979"/>
        <w:gridCol w:w="211"/>
        <w:gridCol w:w="117"/>
        <w:gridCol w:w="1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0" w:hRule="atLeast"/>
        </w:trPr>
        <w:tc>
          <w:tcPr>
            <w:tcW w:w="8334" w:type="dxa"/>
            <w:gridSpan w:val="23"/>
            <w:tcBorders>
              <w:top w:val="nil"/>
              <w:left w:val="nil"/>
              <w:bottom w:val="nil"/>
              <w:right w:val="nil"/>
            </w:tcBorders>
            <w:shd w:val="clear" w:color="auto" w:fill="auto"/>
            <w:noWrap/>
            <w:tcMar>
              <w:top w:w="15" w:type="dxa"/>
              <w:left w:w="15" w:type="dxa"/>
              <w:right w:w="15" w:type="dxa"/>
            </w:tcMar>
            <w:vAlign w:val="top"/>
          </w:tcPr>
          <w:p>
            <w:pPr>
              <w:keepNext w:val="0"/>
              <w:keepLines w:val="0"/>
              <w:widowControl w:val="0"/>
              <w:suppressLineNumbers w:val="0"/>
              <w:spacing w:before="0" w:beforeAutospacing="0" w:after="0" w:afterAutospacing="0"/>
              <w:ind w:left="0" w:right="0"/>
              <w:jc w:val="center"/>
              <w:rPr>
                <w:rFonts w:hint="default" w:ascii="方正小标宋简体" w:hAnsi="方正小标宋简体" w:eastAsia="方正小标宋简体" w:cs="方正小标宋简体"/>
                <w:b/>
                <w:bCs w:val="0"/>
                <w:i w:val="0"/>
                <w:kern w:val="2"/>
                <w:sz w:val="40"/>
                <w:szCs w:val="40"/>
              </w:rPr>
            </w:pPr>
            <w:r>
              <w:rPr>
                <w:rFonts w:hint="eastAsia" w:ascii="黑体" w:hAnsi="黑体" w:eastAsia="黑体" w:cs="黑体"/>
                <w:b/>
                <w:bCs w:val="0"/>
                <w:i w:val="0"/>
                <w:kern w:val="0"/>
                <w:sz w:val="36"/>
                <w:szCs w:val="36"/>
                <w:lang w:val="en-US" w:eastAsia="zh-CN" w:bidi="ar"/>
              </w:rPr>
              <w:t>退（抵）税申请表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8334" w:type="dxa"/>
            <w:gridSpan w:val="23"/>
            <w:tcBorders>
              <w:top w:val="nil"/>
              <w:left w:val="nil"/>
              <w:bottom w:val="single" w:color="000000" w:sz="4" w:space="0"/>
              <w:right w:val="nil"/>
            </w:tcBorders>
            <w:shd w:val="clear" w:color="auto" w:fill="auto"/>
            <w:noWrap/>
            <w:tcMar>
              <w:top w:w="15" w:type="dxa"/>
              <w:left w:w="15" w:type="dxa"/>
              <w:right w:w="15" w:type="dxa"/>
            </w:tcMar>
            <w:vAlign w:val="top"/>
          </w:tcPr>
          <w:p>
            <w:pPr>
              <w:keepNext w:val="0"/>
              <w:keepLines w:val="0"/>
              <w:widowControl w:val="0"/>
              <w:suppressLineNumbers w:val="0"/>
              <w:spacing w:before="0" w:beforeAutospacing="0" w:after="0" w:afterAutospacing="0"/>
              <w:ind w:left="0" w:right="0"/>
              <w:jc w:val="right"/>
              <w:rPr>
                <w:rFonts w:hint="default" w:ascii="Times New Roman" w:hAnsi="Times New Roman" w:eastAsia="宋体" w:cs="Times New Roman"/>
                <w:i w:val="0"/>
                <w:kern w:val="2"/>
                <w:sz w:val="20"/>
                <w:szCs w:val="20"/>
              </w:rPr>
            </w:pPr>
            <w:r>
              <w:rPr>
                <w:rStyle w:val="8"/>
                <w:rFonts w:hint="eastAsia" w:ascii="宋体" w:hAnsi="宋体" w:eastAsia="宋体" w:cs="宋体"/>
                <w:b/>
                <w:bCs w:val="0"/>
                <w:kern w:val="2"/>
                <w:sz w:val="22"/>
                <w:szCs w:val="22"/>
                <w:lang w:val="en-US" w:eastAsia="zh-CN" w:bidi="ar"/>
              </w:rPr>
              <w:t>金额单位：元，至角分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申请人名称</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kern w:val="2"/>
                <w:sz w:val="20"/>
                <w:szCs w:val="20"/>
              </w:rPr>
            </w:pPr>
          </w:p>
        </w:tc>
        <w:tc>
          <w:tcPr>
            <w:tcW w:w="38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纳税人 □    扣缴义务人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纳税人名称</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kern w:val="2"/>
                <w:sz w:val="20"/>
                <w:szCs w:val="20"/>
              </w:rPr>
            </w:pPr>
          </w:p>
        </w:tc>
        <w:tc>
          <w:tcPr>
            <w:tcW w:w="276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统一社会信用代码</w:t>
            </w:r>
            <w:r>
              <w:rPr>
                <w:rFonts w:hint="eastAsia" w:ascii="宋体" w:hAnsi="宋体" w:eastAsia="宋体" w:cs="宋体"/>
                <w:i w:val="0"/>
                <w:kern w:val="0"/>
                <w:sz w:val="22"/>
                <w:szCs w:val="22"/>
                <w:lang w:val="en-US" w:eastAsia="zh-CN" w:bidi="ar"/>
              </w:rPr>
              <w:br w:type="textWrapping"/>
            </w:r>
            <w:r>
              <w:rPr>
                <w:rFonts w:hint="eastAsia" w:ascii="宋体" w:hAnsi="宋体" w:eastAsia="宋体" w:cs="宋体"/>
                <w:i w:val="0"/>
                <w:kern w:val="0"/>
                <w:sz w:val="22"/>
                <w:szCs w:val="22"/>
                <w:lang w:val="en-US" w:eastAsia="zh-CN" w:bidi="ar"/>
              </w:rPr>
              <w:t>（纳税人识别号）</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联系人</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kern w:val="2"/>
                <w:sz w:val="20"/>
                <w:szCs w:val="20"/>
              </w:rPr>
            </w:pPr>
          </w:p>
        </w:tc>
        <w:tc>
          <w:tcPr>
            <w:tcW w:w="276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联系电话</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13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申请退税类型</w:t>
            </w:r>
          </w:p>
        </w:tc>
        <w:tc>
          <w:tcPr>
            <w:tcW w:w="3141"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240" w:firstLineChars="100"/>
              <w:jc w:val="both"/>
              <w:textAlignment w:val="center"/>
              <w:rPr>
                <w:rFonts w:hint="default" w:ascii="����" w:hAnsi="����" w:eastAsia="����" w:cs="����"/>
                <w:sz w:val="24"/>
                <w:szCs w:val="24"/>
              </w:rPr>
            </w:pPr>
            <w:r>
              <w:rPr>
                <w:rStyle w:val="4"/>
                <w:rFonts w:hint="eastAsia" w:ascii="宋体" w:hAnsi="宋体" w:eastAsia="宋体" w:cs="宋体"/>
                <w:kern w:val="2"/>
                <w:sz w:val="24"/>
                <w:szCs w:val="24"/>
                <w:lang w:val="en-US" w:eastAsia="zh-CN" w:bidi="ar"/>
              </w:rPr>
              <w:t>汇算结算退税   □</w:t>
            </w:r>
            <w:r>
              <w:rPr>
                <w:rStyle w:val="5"/>
                <w:rFonts w:hint="default" w:ascii="����" w:hAnsi="����" w:eastAsia="����" w:cs="����"/>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240" w:firstLineChars="100"/>
              <w:jc w:val="both"/>
              <w:textAlignment w:val="center"/>
              <w:rPr>
                <w:rFonts w:hint="default" w:ascii="����" w:hAnsi="����" w:eastAsia="����" w:cs="����"/>
                <w:sz w:val="24"/>
                <w:szCs w:val="24"/>
              </w:rPr>
            </w:pPr>
            <w:r>
              <w:rPr>
                <w:rStyle w:val="4"/>
                <w:rFonts w:hint="eastAsia" w:ascii="宋体" w:hAnsi="宋体" w:eastAsia="宋体" w:cs="宋体"/>
                <w:kern w:val="2"/>
                <w:sz w:val="24"/>
                <w:szCs w:val="24"/>
                <w:lang w:val="en-US" w:eastAsia="zh-CN" w:bidi="ar"/>
              </w:rPr>
              <w:t>误收退税       □</w:t>
            </w:r>
            <w:r>
              <w:rPr>
                <w:rStyle w:val="5"/>
                <w:rFonts w:hint="default" w:ascii="����" w:hAnsi="����" w:eastAsia="����" w:cs="����"/>
                <w:kern w:val="2"/>
                <w:sz w:val="24"/>
                <w:szCs w:val="24"/>
                <w:lang w:val="en-US" w:eastAsia="zh-CN" w:bidi="ar"/>
              </w:rPr>
              <w:t xml:space="preserve">     </w:t>
            </w:r>
          </w:p>
          <w:p>
            <w:pPr>
              <w:keepNext w:val="0"/>
              <w:keepLines w:val="0"/>
              <w:widowControl/>
              <w:suppressLineNumbers w:val="0"/>
              <w:spacing w:before="0" w:beforeAutospacing="0" w:after="0" w:afterAutospacing="0"/>
              <w:ind w:left="0" w:right="0" w:firstLine="240" w:firstLineChars="100"/>
              <w:jc w:val="both"/>
              <w:textAlignment w:val="center"/>
              <w:rPr>
                <w:rFonts w:hint="eastAsia" w:ascii="宋体" w:hAnsi="宋体" w:eastAsia="宋体" w:cs="宋体"/>
                <w:i w:val="0"/>
                <w:kern w:val="2"/>
                <w:sz w:val="24"/>
                <w:szCs w:val="24"/>
              </w:rPr>
            </w:pPr>
            <w:r>
              <w:rPr>
                <w:rStyle w:val="4"/>
                <w:rFonts w:hint="eastAsia" w:ascii="宋体" w:hAnsi="宋体" w:eastAsia="宋体" w:cs="宋体"/>
                <w:kern w:val="2"/>
                <w:sz w:val="24"/>
                <w:szCs w:val="24"/>
                <w:lang w:val="en-US" w:eastAsia="zh-CN" w:bidi="ar"/>
              </w:rPr>
              <w:t>留抵退税       □</w:t>
            </w:r>
          </w:p>
        </w:tc>
        <w:tc>
          <w:tcPr>
            <w:tcW w:w="2764" w:type="dxa"/>
            <w:gridSpan w:val="9"/>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纳税信用等级</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833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b/>
                <w:bCs w:val="0"/>
                <w:i w:val="0"/>
                <w:kern w:val="2"/>
                <w:sz w:val="22"/>
                <w:szCs w:val="22"/>
              </w:rPr>
            </w:pPr>
            <w:r>
              <w:rPr>
                <w:rStyle w:val="8"/>
                <w:rFonts w:hint="eastAsia" w:ascii="宋体" w:hAnsi="宋体" w:eastAsia="宋体" w:cs="宋体"/>
                <w:b/>
                <w:bCs w:val="0"/>
                <w:kern w:val="2"/>
                <w:sz w:val="22"/>
                <w:szCs w:val="22"/>
                <w:lang w:val="en-US" w:eastAsia="zh-CN" w:bidi="ar"/>
              </w:rPr>
              <w:t>一、汇算结算、误收税款退税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原完税情况</w:t>
            </w: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税种</w:t>
            </w: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品目名称</w:t>
            </w: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税款所属时期</w:t>
            </w: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税票号码</w:t>
            </w: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实缴金额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269"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合计（小写）</w:t>
            </w:r>
          </w:p>
        </w:tc>
        <w:tc>
          <w:tcPr>
            <w:tcW w:w="1636"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672" w:type="dxa"/>
            <w:gridSpan w:val="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546"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c>
          <w:tcPr>
            <w:tcW w:w="140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207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申请退税金额（小写）</w:t>
            </w:r>
          </w:p>
        </w:tc>
        <w:tc>
          <w:tcPr>
            <w:tcW w:w="6259" w:type="dxa"/>
            <w:gridSpan w:val="18"/>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334" w:type="dxa"/>
            <w:gridSpan w:val="2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b/>
                <w:bCs w:val="0"/>
                <w:i w:val="0"/>
                <w:kern w:val="2"/>
                <w:sz w:val="22"/>
                <w:szCs w:val="22"/>
              </w:rPr>
            </w:pPr>
            <w:r>
              <w:rPr>
                <w:rStyle w:val="8"/>
                <w:rFonts w:hint="eastAsia" w:ascii="宋体" w:hAnsi="宋体" w:eastAsia="宋体" w:cs="宋体"/>
                <w:b/>
                <w:bCs w:val="0"/>
                <w:kern w:val="2"/>
                <w:sz w:val="22"/>
                <w:szCs w:val="22"/>
                <w:lang w:val="en-US" w:eastAsia="zh-CN" w:bidi="ar"/>
              </w:rPr>
              <w:t>二、留抵退税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8" w:hRule="atLeast"/>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留抵退税申请文件依据</w:t>
            </w:r>
          </w:p>
        </w:tc>
        <w:tc>
          <w:tcPr>
            <w:tcW w:w="3205" w:type="dxa"/>
            <w:gridSpan w:val="1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□《财政部 税务总局 海关总署关于深化增值税改革有关政策的公告》（2019年第39号）</w:t>
            </w:r>
          </w:p>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0"/>
                <w:sz w:val="24"/>
                <w:szCs w:val="24"/>
              </w:rPr>
            </w:pPr>
            <w:r>
              <w:rPr>
                <w:rFonts w:hint="eastAsia" w:ascii="宋体" w:hAnsi="宋体" w:eastAsia="宋体" w:cs="宋体"/>
                <w:i w:val="0"/>
                <w:kern w:val="0"/>
                <w:sz w:val="22"/>
                <w:szCs w:val="22"/>
                <w:lang w:val="en-US" w:eastAsia="zh-CN" w:bidi="ar"/>
              </w:rPr>
              <w:t>□《财政部 税务总局关于进一步加大增值税期末留抵退税政策实施力度的公告》（2022年第14号）</w:t>
            </w:r>
          </w:p>
          <w:p>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i w:val="0"/>
                <w:kern w:val="2"/>
                <w:sz w:val="24"/>
                <w:szCs w:val="24"/>
              </w:rPr>
            </w:pPr>
            <w:r>
              <w:rPr>
                <w:rFonts w:hint="eastAsia" w:ascii="宋体" w:hAnsi="宋体" w:eastAsia="宋体" w:cs="宋体"/>
                <w:i w:val="0"/>
                <w:kern w:val="0"/>
                <w:sz w:val="22"/>
                <w:szCs w:val="22"/>
                <w:lang w:val="en-US" w:eastAsia="zh-CN" w:bidi="ar"/>
              </w:rPr>
              <w:t>□《财政部 税务总局关于</w:t>
            </w:r>
            <w:r>
              <w:rPr>
                <w:rFonts w:hint="eastAsia" w:ascii="宋体" w:hAnsi="宋体" w:eastAsia="宋体" w:cs="宋体"/>
                <w:i w:val="0"/>
                <w:caps w:val="0"/>
                <w:spacing w:val="0"/>
                <w:kern w:val="0"/>
                <w:sz w:val="22"/>
                <w:szCs w:val="22"/>
                <w:lang w:val="en-US" w:eastAsia="zh-CN" w:bidi="ar"/>
              </w:rPr>
              <w:t>扩大全额退还增值税留抵税额政策行业范围</w:t>
            </w:r>
            <w:r>
              <w:rPr>
                <w:rFonts w:hint="eastAsia" w:ascii="宋体" w:hAnsi="宋体" w:eastAsia="宋体" w:cs="宋体"/>
                <w:i w:val="0"/>
                <w:kern w:val="0"/>
                <w:sz w:val="22"/>
                <w:szCs w:val="22"/>
                <w:lang w:val="en-US" w:eastAsia="zh-CN" w:bidi="ar"/>
              </w:rPr>
              <w:t>的公告》（2022年第21号）</w:t>
            </w:r>
          </w:p>
        </w:tc>
        <w:tc>
          <w:tcPr>
            <w:tcW w:w="1009"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0"/>
                <w:sz w:val="22"/>
                <w:szCs w:val="22"/>
              </w:rPr>
            </w:pPr>
            <w:r>
              <w:rPr>
                <w:rFonts w:hint="eastAsia" w:ascii="宋体" w:hAnsi="宋体" w:eastAsia="宋体" w:cs="宋体"/>
                <w:b/>
                <w:bCs w:val="0"/>
                <w:i w:val="0"/>
                <w:kern w:val="0"/>
                <w:sz w:val="22"/>
                <w:szCs w:val="22"/>
                <w:lang w:val="en-US" w:eastAsia="zh-CN" w:bidi="ar"/>
              </w:rPr>
              <w:t>退税企业</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类型</w:t>
            </w:r>
          </w:p>
        </w:tc>
        <w:tc>
          <w:tcPr>
            <w:tcW w:w="315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小微企业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xml:space="preserve">    □ 微型企业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xml:space="preserve">    □ 小型企业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w:t>
            </w:r>
            <w:r>
              <w:rPr>
                <w:rStyle w:val="10"/>
                <w:rFonts w:hint="eastAsia" w:ascii="宋体" w:hAnsi="宋体" w:eastAsia="宋体" w:cs="宋体"/>
                <w:color w:val="auto"/>
                <w:kern w:val="2"/>
                <w:sz w:val="22"/>
                <w:szCs w:val="22"/>
                <w:lang w:val="en-US" w:eastAsia="zh-CN" w:bidi="ar"/>
              </w:rPr>
              <w:t>特定行业</w:t>
            </w:r>
          </w:p>
          <w:p>
            <w:pPr>
              <w:keepNext w:val="0"/>
              <w:keepLines w:val="0"/>
              <w:widowControl/>
              <w:suppressLineNumbers w:val="0"/>
              <w:spacing w:before="0" w:beforeAutospacing="0" w:after="0" w:afterAutospacing="0"/>
              <w:ind w:left="0" w:right="0" w:firstLine="220" w:firstLineChars="1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 制造业</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科学研究和技术服务业</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 xml:space="preserve">    □ 电力、热力、燃气及水生产和供应业</w:t>
            </w:r>
          </w:p>
          <w:p>
            <w:pPr>
              <w:keepNext w:val="0"/>
              <w:keepLines w:val="0"/>
              <w:widowControl/>
              <w:suppressLineNumbers w:val="0"/>
              <w:spacing w:before="0" w:beforeAutospacing="0" w:after="0" w:afterAutospacing="0"/>
              <w:ind w:left="0" w:right="0" w:firstLine="440" w:firstLineChars="200"/>
              <w:jc w:val="left"/>
              <w:textAlignment w:val="center"/>
              <w:rPr>
                <w:rFonts w:hint="default" w:ascii="Calibri" w:hAnsi="Calibri" w:eastAsia="宋体" w:cs="Times New Roman"/>
                <w:kern w:val="2"/>
                <w:sz w:val="21"/>
                <w:szCs w:val="21"/>
              </w:rPr>
            </w:pPr>
            <w:r>
              <w:rPr>
                <w:rStyle w:val="6"/>
                <w:rFonts w:hint="eastAsia" w:ascii="宋体" w:hAnsi="宋体" w:eastAsia="宋体" w:cs="宋体"/>
                <w:kern w:val="2"/>
                <w:sz w:val="22"/>
                <w:szCs w:val="22"/>
                <w:lang w:val="en-US" w:eastAsia="zh-CN" w:bidi="ar"/>
              </w:rPr>
              <w:t>□ 软件和信息技术服务业</w:t>
            </w:r>
          </w:p>
          <w:p>
            <w:pPr>
              <w:keepNext w:val="0"/>
              <w:keepLines w:val="0"/>
              <w:widowControl/>
              <w:suppressLineNumbers w:val="0"/>
              <w:spacing w:before="0" w:beforeAutospacing="0" w:after="0" w:afterAutospacing="0"/>
              <w:ind w:left="437" w:leftChars="208" w:right="0" w:firstLine="0" w:firstLineChars="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生态保护和环境治理业□ 交通运输、仓储和邮政业</w:t>
            </w:r>
          </w:p>
          <w:p>
            <w:pPr>
              <w:keepNext w:val="0"/>
              <w:keepLines w:val="0"/>
              <w:widowControl/>
              <w:suppressLineNumbers w:val="0"/>
              <w:spacing w:before="0" w:beforeAutospacing="0" w:after="0" w:afterAutospacing="0"/>
              <w:ind w:left="437" w:leftChars="208" w:right="0" w:firstLine="0" w:firstLineChars="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批发和零售业</w:t>
            </w:r>
          </w:p>
          <w:p>
            <w:pPr>
              <w:keepNext w:val="0"/>
              <w:keepLines w:val="0"/>
              <w:widowControl/>
              <w:suppressLineNumbers w:val="0"/>
              <w:spacing w:before="0" w:beforeAutospacing="0" w:after="0" w:afterAutospacing="0"/>
              <w:ind w:left="437" w:leftChars="208" w:right="0" w:firstLine="0" w:firstLineChars="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农、林、牧、渔业</w:t>
            </w:r>
          </w:p>
          <w:p>
            <w:pPr>
              <w:keepNext w:val="0"/>
              <w:keepLines w:val="0"/>
              <w:widowControl/>
              <w:suppressLineNumbers w:val="0"/>
              <w:spacing w:before="0" w:beforeAutospacing="0" w:after="0" w:afterAutospacing="0"/>
              <w:ind w:left="0" w:right="0" w:firstLine="440" w:firstLineChars="200"/>
              <w:jc w:val="left"/>
              <w:textAlignment w:val="center"/>
              <w:rPr>
                <w:rFonts w:hint="default" w:ascii="Calibri" w:hAnsi="Calibri" w:eastAsia="宋体" w:cs="Times New Roman"/>
                <w:kern w:val="2"/>
                <w:sz w:val="21"/>
                <w:szCs w:val="21"/>
              </w:rPr>
            </w:pPr>
            <w:r>
              <w:rPr>
                <w:rStyle w:val="6"/>
                <w:rFonts w:hint="eastAsia" w:ascii="宋体" w:hAnsi="宋体" w:eastAsia="宋体" w:cs="宋体"/>
                <w:kern w:val="2"/>
                <w:sz w:val="22"/>
                <w:szCs w:val="22"/>
                <w:lang w:val="en-US" w:eastAsia="zh-CN" w:bidi="ar"/>
              </w:rPr>
              <w:t>□ 住宿和餐饮业</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居民服务、修理和其他服务业</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教育</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卫生和社会工作</w:t>
            </w:r>
          </w:p>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 文化、体育和娱乐业</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 xml:space="preserve">□ 一般企业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0"/>
                <w:sz w:val="22"/>
                <w:szCs w:val="22"/>
              </w:rPr>
            </w:pPr>
            <w:r>
              <w:rPr>
                <w:rFonts w:hint="eastAsia" w:ascii="宋体" w:hAnsi="宋体" w:eastAsia="宋体" w:cs="宋体"/>
                <w:b/>
                <w:bCs w:val="0"/>
                <w:i w:val="0"/>
                <w:kern w:val="0"/>
                <w:sz w:val="22"/>
                <w:szCs w:val="22"/>
                <w:lang w:val="en-US" w:eastAsia="zh-CN" w:bidi="ar"/>
              </w:rPr>
              <w:t>申请退还</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项目</w:t>
            </w:r>
          </w:p>
        </w:tc>
        <w:tc>
          <w:tcPr>
            <w:tcW w:w="7364" w:type="dxa"/>
            <w:gridSpan w:val="21"/>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val="0"/>
                <w:bCs/>
                <w:i w:val="0"/>
                <w:kern w:val="0"/>
                <w:sz w:val="22"/>
                <w:szCs w:val="22"/>
                <w:lang w:val="en-US" w:eastAsia="zh-CN" w:bidi="ar"/>
              </w:rPr>
              <w:t>□ 存量留抵税额           □ 增量留抵税额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r>
              <w:rPr>
                <w:rStyle w:val="6"/>
                <w:rFonts w:hint="eastAsia" w:ascii="宋体" w:hAnsi="宋体" w:eastAsia="宋体" w:cs="宋体"/>
                <w:b/>
                <w:bCs/>
                <w:kern w:val="2"/>
                <w:sz w:val="22"/>
                <w:szCs w:val="22"/>
                <w:lang w:val="en-US" w:eastAsia="zh-CN" w:bidi="ar"/>
              </w:rPr>
              <w:t>企业经营情况</w:t>
            </w:r>
          </w:p>
        </w:tc>
        <w:tc>
          <w:tcPr>
            <w:tcW w:w="141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2"/>
                <w:sz w:val="22"/>
                <w:szCs w:val="22"/>
                <w:lang w:val="en-US" w:eastAsia="zh-CN" w:bidi="ar"/>
              </w:rPr>
              <w:t>国民经济行业</w:t>
            </w:r>
          </w:p>
        </w:tc>
        <w:tc>
          <w:tcPr>
            <w:tcW w:w="119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p>
        </w:tc>
        <w:tc>
          <w:tcPr>
            <w:tcW w:w="1190" w:type="dxa"/>
            <w:gridSpan w:val="7"/>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营业收入</w:t>
            </w:r>
          </w:p>
        </w:tc>
        <w:tc>
          <w:tcPr>
            <w:tcW w:w="119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p>
        </w:tc>
        <w:tc>
          <w:tcPr>
            <w:tcW w:w="1190"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资产总额</w:t>
            </w:r>
          </w:p>
        </w:tc>
        <w:tc>
          <w:tcPr>
            <w:tcW w:w="1194"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10" w:type="dxa"/>
            <w:gridSpan w:val="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r>
              <w:rPr>
                <w:rFonts w:hint="eastAsia" w:ascii="宋体" w:hAnsi="宋体" w:eastAsia="宋体" w:cs="宋体"/>
                <w:b/>
                <w:bCs w:val="0"/>
                <w:i w:val="0"/>
                <w:kern w:val="0"/>
                <w:sz w:val="22"/>
                <w:szCs w:val="22"/>
                <w:lang w:val="en-US" w:eastAsia="zh-CN" w:bidi="ar"/>
              </w:rPr>
              <w:t>企业划型</w:t>
            </w:r>
          </w:p>
        </w:tc>
        <w:tc>
          <w:tcPr>
            <w:tcW w:w="5954" w:type="dxa"/>
            <w:gridSpan w:val="1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kern w:val="0"/>
                <w:sz w:val="22"/>
                <w:szCs w:val="22"/>
              </w:rPr>
            </w:pPr>
            <w:r>
              <w:rPr>
                <w:rFonts w:hint="eastAsia" w:ascii="宋体" w:hAnsi="宋体" w:eastAsia="宋体" w:cs="宋体"/>
                <w:b w:val="0"/>
                <w:bCs/>
                <w:i w:val="0"/>
                <w:kern w:val="0"/>
                <w:sz w:val="22"/>
                <w:szCs w:val="22"/>
                <w:lang w:val="en-US" w:eastAsia="zh-CN" w:bidi="ar"/>
              </w:rPr>
              <w:t>□ 微型企业   □ 小型企业   □ 中型企业   □ 大型企业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color w:val="auto"/>
                <w:kern w:val="0"/>
                <w:sz w:val="22"/>
                <w:szCs w:val="22"/>
                <w:lang w:val="en-US" w:eastAsia="zh-CN" w:bidi="ar"/>
              </w:rPr>
              <w:t>留抵退税</w:t>
            </w:r>
            <w:r>
              <w:rPr>
                <w:rFonts w:hint="eastAsia" w:ascii="宋体" w:hAnsi="宋体" w:eastAsia="宋体" w:cs="宋体"/>
                <w:b/>
                <w:bCs w:val="0"/>
                <w:i w:val="0"/>
                <w:kern w:val="0"/>
                <w:sz w:val="22"/>
                <w:szCs w:val="22"/>
                <w:lang w:val="en-US" w:eastAsia="zh-CN" w:bidi="ar"/>
              </w:rPr>
              <w:t>申请类型</w:t>
            </w:r>
          </w:p>
        </w:tc>
        <w:tc>
          <w:tcPr>
            <w:tcW w:w="2247"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val="0"/>
                <w:i w:val="0"/>
                <w:kern w:val="2"/>
                <w:sz w:val="22"/>
                <w:szCs w:val="22"/>
              </w:rPr>
            </w:pPr>
            <w:r>
              <w:rPr>
                <w:rStyle w:val="11"/>
                <w:rFonts w:hint="eastAsia" w:ascii="宋体" w:hAnsi="宋体" w:eastAsia="宋体" w:cs="宋体"/>
                <w:b/>
                <w:bCs w:val="0"/>
                <w:kern w:val="2"/>
                <w:sz w:val="22"/>
                <w:szCs w:val="22"/>
                <w:lang w:val="en-US" w:eastAsia="zh-CN" w:bidi="ar"/>
              </w:rPr>
              <w:t>1.退税企业类型勾选“一般企业”</w:t>
            </w:r>
          </w:p>
        </w:tc>
        <w:tc>
          <w:tcPr>
            <w:tcW w:w="5117" w:type="dxa"/>
            <w:gridSpan w:val="1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firstLine="440" w:firstLineChars="200"/>
              <w:jc w:val="both"/>
              <w:textAlignment w:val="center"/>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连续六个月（按季纳税的，连续两个季度） 增量留抵税额均大于零的起止时间：</w:t>
            </w:r>
          </w:p>
          <w:p>
            <w:pPr>
              <w:keepNext w:val="0"/>
              <w:keepLines w:val="0"/>
              <w:widowControl/>
              <w:suppressLineNumbers w:val="0"/>
              <w:autoSpaceDE w:val="0"/>
              <w:autoSpaceDN/>
              <w:spacing w:before="0" w:beforeAutospacing="0" w:after="0" w:afterAutospacing="0"/>
              <w:ind w:left="0" w:right="0" w:firstLine="440" w:firstLineChars="200"/>
              <w:jc w:val="both"/>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月至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5"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247"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val="0"/>
                <w:i w:val="0"/>
                <w:kern w:val="2"/>
                <w:sz w:val="22"/>
                <w:szCs w:val="22"/>
              </w:rPr>
            </w:pPr>
            <w:r>
              <w:rPr>
                <w:rStyle w:val="8"/>
                <w:rFonts w:hint="eastAsia" w:ascii="宋体" w:hAnsi="宋体" w:eastAsia="宋体" w:cs="宋体"/>
                <w:b/>
                <w:bCs w:val="0"/>
                <w:kern w:val="2"/>
                <w:sz w:val="22"/>
                <w:szCs w:val="22"/>
                <w:lang w:val="en-US" w:eastAsia="zh-CN" w:bidi="ar"/>
              </w:rPr>
              <w:t>2.</w:t>
            </w:r>
            <w:r>
              <w:rPr>
                <w:rStyle w:val="11"/>
                <w:rFonts w:hint="eastAsia" w:ascii="宋体" w:hAnsi="宋体" w:eastAsia="宋体" w:cs="宋体"/>
                <w:b/>
                <w:bCs w:val="0"/>
                <w:kern w:val="2"/>
                <w:sz w:val="22"/>
                <w:szCs w:val="22"/>
                <w:lang w:val="en-US" w:eastAsia="zh-CN" w:bidi="ar"/>
              </w:rPr>
              <w:t>退税企业类型勾选“特定行业”</w:t>
            </w:r>
          </w:p>
        </w:tc>
        <w:tc>
          <w:tcPr>
            <w:tcW w:w="5117" w:type="dxa"/>
            <w:gridSpan w:val="15"/>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40" w:firstLineChars="200"/>
              <w:jc w:val="left"/>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月至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 xml:space="preserve">年 </w:t>
            </w:r>
            <w:r>
              <w:rPr>
                <w:rFonts w:hint="eastAsia" w:ascii="宋体" w:hAnsi="宋体" w:eastAsia="宋体" w:cs="宋体"/>
                <w:i w:val="0"/>
                <w:kern w:val="0"/>
                <w:sz w:val="22"/>
                <w:szCs w:val="22"/>
                <w:u w:val="single"/>
                <w:lang w:val="en-US" w:eastAsia="zh-CN" w:bidi="ar"/>
              </w:rPr>
              <w:t xml:space="preserve">       </w:t>
            </w:r>
            <w:r>
              <w:rPr>
                <w:rFonts w:hint="eastAsia" w:ascii="宋体" w:hAnsi="宋体" w:eastAsia="宋体" w:cs="宋体"/>
                <w:i w:val="0"/>
                <w:kern w:val="0"/>
                <w:sz w:val="22"/>
                <w:szCs w:val="22"/>
                <w:lang w:val="en-US" w:eastAsia="zh-CN" w:bidi="ar"/>
              </w:rPr>
              <w:t>月</w:t>
            </w:r>
            <w:r>
              <w:rPr>
                <w:rStyle w:val="6"/>
                <w:rFonts w:hint="eastAsia" w:ascii="宋体" w:hAnsi="宋体" w:eastAsia="宋体" w:cs="宋体"/>
                <w:kern w:val="2"/>
                <w:sz w:val="22"/>
                <w:szCs w:val="22"/>
                <w:lang w:val="en-US" w:eastAsia="zh-CN" w:bidi="ar"/>
              </w:rPr>
              <w:t>，从事《国民经济行业分类》中“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文化、体育和娱乐业”业务相应发生的增值税销售额</w:t>
            </w:r>
            <w:r>
              <w:rPr>
                <w:rFonts w:hint="eastAsia" w:ascii="宋体" w:hAnsi="宋体" w:eastAsia="宋体" w:cs="宋体"/>
                <w:i w:val="0"/>
                <w:kern w:val="0"/>
                <w:sz w:val="22"/>
                <w:szCs w:val="22"/>
                <w:u w:val="single"/>
                <w:lang w:val="en-US" w:eastAsia="zh-CN" w:bidi="ar"/>
              </w:rPr>
              <w:t xml:space="preserve">       </w:t>
            </w:r>
            <w:r>
              <w:rPr>
                <w:rStyle w:val="6"/>
                <w:rFonts w:hint="eastAsia" w:ascii="宋体" w:hAnsi="宋体" w:eastAsia="宋体" w:cs="宋体"/>
                <w:kern w:val="2"/>
                <w:sz w:val="22"/>
                <w:szCs w:val="22"/>
                <w:lang w:val="en-US" w:eastAsia="zh-CN" w:bidi="ar"/>
              </w:rPr>
              <w:t>元，同期全部销售额</w:t>
            </w:r>
            <w:r>
              <w:rPr>
                <w:rFonts w:hint="eastAsia" w:ascii="宋体" w:hAnsi="宋体" w:eastAsia="宋体" w:cs="宋体"/>
                <w:i w:val="0"/>
                <w:kern w:val="0"/>
                <w:sz w:val="22"/>
                <w:szCs w:val="22"/>
                <w:u w:val="single"/>
                <w:lang w:val="en-US" w:eastAsia="zh-CN" w:bidi="ar"/>
              </w:rPr>
              <w:t xml:space="preserve">       </w:t>
            </w:r>
            <w:r>
              <w:rPr>
                <w:rStyle w:val="6"/>
                <w:rFonts w:hint="eastAsia" w:ascii="宋体" w:hAnsi="宋体" w:eastAsia="宋体" w:cs="宋体"/>
                <w:kern w:val="2"/>
                <w:sz w:val="22"/>
                <w:szCs w:val="22"/>
                <w:lang w:val="en-US" w:eastAsia="zh-CN" w:bidi="ar"/>
              </w:rPr>
              <w:t>元，占比</w:t>
            </w:r>
            <w:r>
              <w:rPr>
                <w:rFonts w:hint="eastAsia" w:ascii="宋体" w:hAnsi="宋体" w:eastAsia="宋体" w:cs="宋体"/>
                <w:i w:val="0"/>
                <w:kern w:val="0"/>
                <w:sz w:val="22"/>
                <w:szCs w:val="22"/>
                <w:u w:val="single"/>
                <w:lang w:val="en-US" w:eastAsia="zh-CN" w:bidi="ar"/>
              </w:rPr>
              <w:t xml:space="preserve">       </w:t>
            </w:r>
            <w:r>
              <w:rPr>
                <w:rStyle w:val="6"/>
                <w:rFonts w:hint="eastAsia" w:ascii="宋体" w:hAnsi="宋体" w:eastAsia="宋体" w:cs="宋体"/>
                <w:kern w:val="2"/>
                <w:sz w:val="22"/>
                <w:szCs w:val="22"/>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留抵退税申请条件</w:t>
            </w:r>
          </w:p>
        </w:tc>
        <w:tc>
          <w:tcPr>
            <w:tcW w:w="6287" w:type="dxa"/>
            <w:gridSpan w:val="20"/>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申请退税前36个月未发生骗取留抵退税、骗取出口退税或虚开增值税专用发票情形</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申请退税前36个月未因偷税被税务机关处罚两次及以上</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b/>
                <w:bCs w:val="0"/>
                <w:i w:val="0"/>
                <w:kern w:val="2"/>
                <w:sz w:val="22"/>
                <w:szCs w:val="22"/>
              </w:rPr>
            </w:pPr>
            <w:r>
              <w:rPr>
                <w:rStyle w:val="12"/>
                <w:rFonts w:hint="eastAsia" w:ascii="宋体" w:hAnsi="宋体" w:eastAsia="宋体" w:cs="宋体"/>
                <w:b w:val="0"/>
                <w:bCs/>
                <w:color w:val="auto"/>
                <w:kern w:val="2"/>
                <w:sz w:val="22"/>
                <w:szCs w:val="22"/>
                <w:lang w:val="en-US" w:eastAsia="zh-CN" w:bidi="ar"/>
              </w:rPr>
              <w:t>2019 年4月1日起</w:t>
            </w:r>
            <w:r>
              <w:rPr>
                <w:rStyle w:val="13"/>
                <w:rFonts w:hint="eastAsia" w:ascii="宋体" w:hAnsi="宋体" w:eastAsia="宋体" w:cs="宋体"/>
                <w:kern w:val="2"/>
                <w:sz w:val="22"/>
                <w:szCs w:val="22"/>
                <w:lang w:val="en-US" w:eastAsia="zh-CN" w:bidi="ar"/>
              </w:rPr>
              <w:t>未享受即征即退、先征后返（退）政策</w:t>
            </w:r>
          </w:p>
        </w:tc>
        <w:tc>
          <w:tcPr>
            <w:tcW w:w="107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出口货物劳务、发生跨境应税行为，适用免抵退税办法</w:t>
            </w:r>
          </w:p>
        </w:tc>
        <w:tc>
          <w:tcPr>
            <w:tcW w:w="1077"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留抵退税计算</w:t>
            </w: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2"/>
                <w:sz w:val="22"/>
                <w:szCs w:val="22"/>
              </w:rPr>
            </w:pPr>
            <w:r>
              <w:rPr>
                <w:rStyle w:val="6"/>
                <w:rFonts w:hint="eastAsia" w:ascii="宋体" w:hAnsi="宋体" w:eastAsia="宋体" w:cs="宋体"/>
                <w:kern w:val="2"/>
                <w:sz w:val="22"/>
                <w:szCs w:val="22"/>
                <w:lang w:val="en-US" w:eastAsia="zh-CN" w:bidi="ar"/>
              </w:rPr>
              <w:t>本期已申报免抵退税应退税额</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i w:val="0"/>
                <w:kern w:val="2"/>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申请退税前一税款所属期的增值税期末留抵税额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2019年3月期末留抵税额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存量留抵税额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2019年4月至申请退税前一税款所属期</w:t>
            </w: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已抵扣的增值税专用发票（含带有“增值税专用发票”字样全面数字化的电子发票、税控机动车销售统一发票）、收费公路通行费增值税电子普通发票注明的增值税额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已抵扣的海关进口增值税专用缴款书注明的增值税额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已抵扣的解缴税款完税凭证注明的增值税额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全部已抵扣的进项税额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41"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646" w:type="dxa"/>
            <w:gridSpan w:val="1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进项构成比例</w:t>
            </w:r>
            <w:bookmarkStart w:id="0" w:name="_GoBack"/>
            <w:bookmarkEnd w:id="0"/>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本期申请退还的期末留抵税额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440" w:firstLineChars="20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其中：本期申请退还的存量留抵税额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70" w:type="dxa"/>
            <w:gridSpan w:val="2"/>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6287" w:type="dxa"/>
            <w:gridSpan w:val="20"/>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100" w:firstLineChars="500"/>
              <w:jc w:val="left"/>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本期申请退还的增量留抵税额</w:t>
            </w:r>
          </w:p>
        </w:tc>
        <w:tc>
          <w:tcPr>
            <w:tcW w:w="107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top"/>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kern w:val="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97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val="0"/>
                <w:i w:val="0"/>
                <w:kern w:val="2"/>
                <w:sz w:val="22"/>
                <w:szCs w:val="22"/>
              </w:rPr>
            </w:pPr>
            <w:r>
              <w:rPr>
                <w:rFonts w:hint="eastAsia" w:ascii="宋体" w:hAnsi="宋体" w:eastAsia="宋体" w:cs="宋体"/>
                <w:b/>
                <w:bCs w:val="0"/>
                <w:i w:val="0"/>
                <w:kern w:val="0"/>
                <w:sz w:val="22"/>
                <w:szCs w:val="22"/>
                <w:lang w:val="en-US" w:eastAsia="zh-CN" w:bidi="ar"/>
              </w:rPr>
              <w:t>退税申请理由</w:t>
            </w:r>
          </w:p>
        </w:tc>
        <w:tc>
          <w:tcPr>
            <w:tcW w:w="7364" w:type="dxa"/>
            <w:gridSpan w:val="2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5248" w:leftChars="2080" w:right="0" w:hanging="880" w:hangingChars="400"/>
              <w:jc w:val="left"/>
              <w:textAlignment w:val="center"/>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经办人（签章）：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13" w:hRule="atLeast"/>
        </w:trPr>
        <w:tc>
          <w:tcPr>
            <w:tcW w:w="4146" w:type="dxa"/>
            <w:gridSpan w:val="11"/>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firstLineChars="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经办人：</w:t>
            </w: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经办人身份证号：</w:t>
            </w: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代理机构签章：</w:t>
            </w: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p>
          <w:p>
            <w:pPr>
              <w:keepNext w:val="0"/>
              <w:keepLines w:val="0"/>
              <w:widowControl/>
              <w:suppressLineNumbers w:val="0"/>
              <w:spacing w:before="0" w:beforeAutospacing="0" w:after="0" w:afterAutospacing="0"/>
              <w:ind w:left="0" w:right="0" w:firstLine="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代理机构统一社会信用代码：</w:t>
            </w:r>
          </w:p>
        </w:tc>
        <w:tc>
          <w:tcPr>
            <w:tcW w:w="467"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b/>
                <w:bCs w:val="0"/>
                <w:i w:val="0"/>
                <w:kern w:val="0"/>
                <w:sz w:val="22"/>
                <w:szCs w:val="22"/>
              </w:rPr>
            </w:pPr>
            <w:r>
              <w:rPr>
                <w:rFonts w:hint="eastAsia" w:ascii="宋体" w:hAnsi="宋体" w:eastAsia="宋体" w:cs="宋体"/>
                <w:b/>
                <w:bCs w:val="0"/>
                <w:i w:val="0"/>
                <w:kern w:val="0"/>
                <w:sz w:val="22"/>
                <w:szCs w:val="22"/>
                <w:lang w:val="en-US" w:eastAsia="zh-CN" w:bidi="ar"/>
              </w:rPr>
              <w:t>申请人</w:t>
            </w:r>
          </w:p>
          <w:p>
            <w:pPr>
              <w:keepNext w:val="0"/>
              <w:keepLines w:val="0"/>
              <w:widowControl/>
              <w:suppressLineNumbers w:val="0"/>
              <w:spacing w:before="0" w:beforeAutospacing="0" w:after="0" w:afterAutospacing="0"/>
              <w:ind w:left="0" w:right="0"/>
              <w:jc w:val="center"/>
              <w:textAlignment w:val="bottom"/>
              <w:rPr>
                <w:rFonts w:hint="default" w:ascii="����" w:hAnsi="����" w:eastAsia="����" w:cs="����"/>
                <w:i w:val="0"/>
                <w:kern w:val="2"/>
                <w:sz w:val="22"/>
                <w:szCs w:val="22"/>
              </w:rPr>
            </w:pPr>
            <w:r>
              <w:rPr>
                <w:rFonts w:hint="eastAsia" w:ascii="宋体" w:hAnsi="宋体" w:eastAsia="宋体" w:cs="宋体"/>
                <w:b/>
                <w:bCs w:val="0"/>
                <w:i w:val="0"/>
                <w:kern w:val="0"/>
                <w:sz w:val="22"/>
                <w:szCs w:val="22"/>
                <w:lang w:val="en-US" w:eastAsia="zh-CN" w:bidi="ar"/>
              </w:rPr>
              <w:t>声明</w:t>
            </w:r>
          </w:p>
        </w:tc>
        <w:tc>
          <w:tcPr>
            <w:tcW w:w="3721" w:type="dxa"/>
            <w:gridSpan w:val="9"/>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autoSpaceDE w:val="0"/>
              <w:autoSpaceDN/>
              <w:spacing w:before="0" w:beforeAutospacing="0" w:after="0" w:afterAutospacing="0"/>
              <w:ind w:left="0" w:right="0" w:firstLine="440" w:firstLineChars="200"/>
              <w:jc w:val="both"/>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本申请表是根据国家税收法律法规及相关规定填写的，我确定它是真实的、可靠的、完整的。</w:t>
            </w:r>
          </w:p>
          <w:p>
            <w:pPr>
              <w:pStyle w:val="14"/>
              <w:widowControl/>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1320" w:firstLineChars="600"/>
              <w:jc w:val="both"/>
              <w:textAlignment w:val="top"/>
              <w:rPr>
                <w:rFonts w:hint="eastAsia" w:ascii="宋体" w:hAnsi="宋体" w:eastAsia="宋体" w:cs="宋体"/>
                <w:sz w:val="22"/>
                <w:szCs w:val="22"/>
              </w:rPr>
            </w:pPr>
          </w:p>
          <w:p>
            <w:pPr>
              <w:pStyle w:val="14"/>
              <w:widowControl/>
              <w:ind w:left="0" w:leftChars="0" w:firstLine="0" w:firstLineChars="0"/>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0" w:firstLineChars="0"/>
              <w:jc w:val="both"/>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申请人（签章）：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334" w:type="dxa"/>
            <w:gridSpan w:val="2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top"/>
              <w:rPr>
                <w:rFonts w:hint="default" w:ascii="����" w:hAnsi="����" w:eastAsia="����" w:cs="����"/>
                <w:b/>
                <w:bCs w:val="0"/>
                <w:i w:val="0"/>
                <w:kern w:val="2"/>
                <w:sz w:val="22"/>
                <w:szCs w:val="22"/>
              </w:rPr>
            </w:pPr>
            <w:r>
              <w:rPr>
                <w:rStyle w:val="8"/>
                <w:rFonts w:hint="eastAsia" w:ascii="宋体" w:hAnsi="宋体" w:eastAsia="宋体" w:cs="宋体"/>
                <w:b/>
                <w:bCs w:val="0"/>
                <w:kern w:val="2"/>
                <w:sz w:val="22"/>
                <w:szCs w:val="22"/>
                <w:lang w:val="en-US" w:eastAsia="zh-CN" w:bidi="ar"/>
              </w:rPr>
              <w:t>以下由税务机关填写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2255"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Chars="200"/>
              <w:jc w:val="left"/>
              <w:textAlignment w:val="center"/>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受理情况</w:t>
            </w:r>
          </w:p>
        </w:tc>
        <w:tc>
          <w:tcPr>
            <w:tcW w:w="6079" w:type="dxa"/>
            <w:gridSpan w:val="17"/>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3496" w:leftChars="1560" w:right="0" w:hanging="220" w:hangingChars="100"/>
              <w:jc w:val="both"/>
              <w:textAlignment w:val="center"/>
              <w:rPr>
                <w:rFonts w:hint="eastAsia" w:ascii="宋体" w:hAnsi="宋体" w:eastAsia="宋体" w:cs="宋体"/>
                <w:sz w:val="22"/>
                <w:szCs w:val="22"/>
              </w:rPr>
            </w:pPr>
          </w:p>
          <w:p>
            <w:pPr>
              <w:keepNext w:val="0"/>
              <w:keepLines w:val="0"/>
              <w:widowControl/>
              <w:suppressLineNumbers w:val="0"/>
              <w:spacing w:before="0" w:beforeAutospacing="0" w:after="0" w:afterAutospacing="0"/>
              <w:ind w:left="3496" w:leftChars="1560" w:right="0" w:hanging="220" w:hangingChars="100"/>
              <w:jc w:val="both"/>
              <w:textAlignment w:val="center"/>
              <w:rPr>
                <w:rFonts w:hint="eastAsia" w:ascii="宋体" w:hAnsi="宋体" w:eastAsia="宋体" w:cs="宋体"/>
                <w:sz w:val="22"/>
                <w:szCs w:val="22"/>
              </w:rPr>
            </w:pPr>
          </w:p>
          <w:p>
            <w:pPr>
              <w:keepNext w:val="0"/>
              <w:keepLines w:val="0"/>
              <w:widowControl/>
              <w:suppressLineNumbers w:val="0"/>
              <w:spacing w:before="0" w:beforeAutospacing="0" w:after="0" w:afterAutospacing="0"/>
              <w:ind w:left="3496" w:leftChars="1560" w:right="0" w:hanging="220" w:hangingChars="100"/>
              <w:jc w:val="both"/>
              <w:textAlignment w:val="center"/>
              <w:rPr>
                <w:rFonts w:hint="eastAsia" w:ascii="宋体" w:hAnsi="宋体" w:eastAsia="宋体" w:cs="宋体"/>
                <w:sz w:val="22"/>
                <w:szCs w:val="22"/>
              </w:rPr>
            </w:pPr>
          </w:p>
          <w:p>
            <w:pPr>
              <w:keepNext w:val="0"/>
              <w:keepLines w:val="0"/>
              <w:widowControl/>
              <w:suppressLineNumbers w:val="0"/>
              <w:spacing w:before="0" w:beforeAutospacing="0" w:after="0" w:afterAutospacing="0"/>
              <w:ind w:left="3933" w:leftChars="1768" w:right="0" w:hanging="220" w:hangingChars="100"/>
              <w:jc w:val="both"/>
              <w:textAlignment w:val="center"/>
              <w:rPr>
                <w:rFonts w:hint="default" w:ascii="Times New Roman" w:hAnsi="Times New Roman" w:eastAsia="宋体" w:cs="Times New Roman"/>
                <w:i w:val="0"/>
                <w:kern w:val="2"/>
                <w:sz w:val="20"/>
                <w:szCs w:val="20"/>
              </w:rPr>
            </w:pPr>
            <w:r>
              <w:rPr>
                <w:rStyle w:val="6"/>
                <w:rFonts w:hint="eastAsia" w:ascii="宋体" w:hAnsi="宋体" w:eastAsia="宋体" w:cs="宋体"/>
                <w:kern w:val="2"/>
                <w:sz w:val="22"/>
                <w:szCs w:val="22"/>
                <w:lang w:val="en-US" w:eastAsia="zh-CN" w:bidi="ar"/>
              </w:rPr>
              <w:t>受理人：</w:t>
            </w:r>
            <w:r>
              <w:rPr>
                <w:rStyle w:val="6"/>
                <w:rFonts w:hint="eastAsia" w:ascii="宋体" w:hAnsi="宋体" w:eastAsia="宋体" w:cs="宋体"/>
                <w:kern w:val="2"/>
                <w:sz w:val="22"/>
                <w:szCs w:val="22"/>
                <w:lang w:val="en-US" w:eastAsia="zh-CN" w:bidi="ar"/>
              </w:rPr>
              <w:br w:type="textWrapping"/>
            </w:r>
            <w:r>
              <w:rPr>
                <w:rStyle w:val="6"/>
                <w:rFonts w:hint="eastAsia" w:ascii="宋体" w:hAnsi="宋体" w:eastAsia="宋体" w:cs="宋体"/>
                <w:kern w:val="2"/>
                <w:sz w:val="22"/>
                <w:szCs w:val="22"/>
                <w:lang w:val="en-US" w:eastAsia="zh-CN" w:bidi="ar"/>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9" w:hRule="atLeast"/>
        </w:trPr>
        <w:tc>
          <w:tcPr>
            <w:tcW w:w="4720" w:type="dxa"/>
            <w:gridSpan w:val="1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核实部门意见：</w:t>
            </w: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退还方式： 退库 □      抵扣欠税 □</w:t>
            </w: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退税类型： 汇算结算退税 □</w:t>
            </w:r>
          </w:p>
          <w:p>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 xml:space="preserve">          误收退税 □</w:t>
            </w:r>
          </w:p>
          <w:p>
            <w:pPr>
              <w:keepNext w:val="0"/>
              <w:keepLines w:val="0"/>
              <w:widowControl/>
              <w:suppressLineNumbers w:val="0"/>
              <w:spacing w:before="0" w:beforeAutospacing="0" w:after="0" w:afterAutospacing="0"/>
              <w:ind w:left="0" w:right="0"/>
              <w:jc w:val="center"/>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 xml:space="preserve">          留抵退税 □</w:t>
            </w: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退税发起方式：纳税人自行申请 □</w:t>
            </w:r>
          </w:p>
          <w:p>
            <w:pPr>
              <w:keepNext w:val="0"/>
              <w:keepLines w:val="0"/>
              <w:widowControl/>
              <w:suppressLineNumbers w:val="0"/>
              <w:spacing w:before="0" w:beforeAutospacing="0" w:after="0" w:afterAutospacing="0"/>
              <w:ind w:left="0" w:right="0" w:firstLine="1760" w:firstLineChars="8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税务机关发现并通知 □</w:t>
            </w:r>
          </w:p>
          <w:p>
            <w:pPr>
              <w:keepNext w:val="0"/>
              <w:keepLines w:val="0"/>
              <w:widowControl/>
              <w:suppressLineNumbers w:val="0"/>
              <w:spacing w:before="0" w:beforeAutospacing="0" w:after="0" w:afterAutospacing="0"/>
              <w:ind w:left="0" w:right="0" w:firstLineChars="300"/>
              <w:jc w:val="left"/>
              <w:textAlignment w:val="top"/>
              <w:rPr>
                <w:rFonts w:hint="eastAsia" w:ascii="宋体" w:hAnsi="宋体" w:eastAsia="宋体" w:cs="宋体"/>
                <w:sz w:val="22"/>
                <w:szCs w:val="22"/>
              </w:rPr>
            </w:pPr>
            <w:r>
              <w:rPr>
                <w:rStyle w:val="6"/>
                <w:rFonts w:hint="eastAsia" w:ascii="宋体" w:hAnsi="宋体" w:eastAsia="宋体" w:cs="宋体"/>
                <w:kern w:val="2"/>
                <w:sz w:val="22"/>
                <w:szCs w:val="22"/>
                <w:lang w:val="en-US" w:eastAsia="zh-CN" w:bidi="ar"/>
              </w:rPr>
              <w:t>退（抵）税金额：</w:t>
            </w:r>
          </w:p>
          <w:p>
            <w:pPr>
              <w:pStyle w:val="14"/>
              <w:widowControl/>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Chars="3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经办人：            负责人：</w:t>
            </w:r>
          </w:p>
          <w:p>
            <w:pPr>
              <w:keepNext w:val="0"/>
              <w:keepLines w:val="0"/>
              <w:widowControl/>
              <w:suppressLineNumbers w:val="0"/>
              <w:spacing w:before="0" w:beforeAutospacing="0" w:after="0" w:afterAutospacing="0"/>
              <w:ind w:left="0" w:right="0" w:firstLine="880" w:firstLineChars="4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年   月   日       年   月   日 </w:t>
            </w:r>
          </w:p>
        </w:tc>
        <w:tc>
          <w:tcPr>
            <w:tcW w:w="3614"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kern w:val="0"/>
                <w:sz w:val="22"/>
                <w:szCs w:val="22"/>
              </w:rPr>
            </w:pPr>
            <w:r>
              <w:rPr>
                <w:rFonts w:hint="eastAsia" w:ascii="宋体" w:hAnsi="宋体" w:eastAsia="宋体" w:cs="宋体"/>
                <w:i w:val="0"/>
                <w:kern w:val="0"/>
                <w:sz w:val="22"/>
                <w:szCs w:val="22"/>
                <w:lang w:val="en-US" w:eastAsia="zh-CN" w:bidi="ar"/>
              </w:rPr>
              <w:t>主管税务机关负责人意见：</w:t>
            </w: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pStyle w:val="14"/>
              <w:widowControl/>
              <w:rPr>
                <w:rFonts w:hint="default" w:ascii="Calibri" w:hAnsi="Calibri" w:eastAsia="楷体_GB2312" w:cs="Times New Roman"/>
                <w:kern w:val="2"/>
                <w:sz w:val="36"/>
                <w:szCs w:val="36"/>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0"/>
                <w:sz w:val="22"/>
                <w:szCs w:val="22"/>
              </w:rPr>
            </w:pPr>
          </w:p>
          <w:p>
            <w:pPr>
              <w:keepNext w:val="0"/>
              <w:keepLines w:val="0"/>
              <w:widowControl/>
              <w:suppressLineNumbers w:val="0"/>
              <w:spacing w:before="0" w:beforeAutospacing="0" w:after="0" w:afterAutospacing="0"/>
              <w:ind w:left="0" w:right="0" w:firstLineChars="600"/>
              <w:jc w:val="left"/>
              <w:textAlignment w:val="top"/>
              <w:rPr>
                <w:rFonts w:hint="eastAsia" w:ascii="宋体" w:hAnsi="宋体" w:eastAsia="宋体" w:cs="宋体"/>
                <w:i w:val="0"/>
                <w:kern w:val="2"/>
                <w:sz w:val="22"/>
                <w:szCs w:val="22"/>
              </w:rPr>
            </w:pPr>
            <w:r>
              <w:rPr>
                <w:rFonts w:hint="eastAsia" w:ascii="宋体" w:hAnsi="宋体" w:eastAsia="宋体" w:cs="宋体"/>
                <w:i w:val="0"/>
                <w:kern w:val="0"/>
                <w:sz w:val="22"/>
                <w:szCs w:val="22"/>
                <w:lang w:val="en-US" w:eastAsia="zh-CN" w:bidi="ar"/>
              </w:rPr>
              <w:t>签字</w:t>
            </w:r>
            <w:r>
              <w:rPr>
                <w:rStyle w:val="6"/>
                <w:rFonts w:hint="eastAsia" w:ascii="宋体" w:hAnsi="宋体" w:eastAsia="宋体" w:cs="宋体"/>
                <w:kern w:val="2"/>
                <w:sz w:val="22"/>
                <w:szCs w:val="22"/>
                <w:lang w:val="en-US" w:eastAsia="zh-CN" w:bidi="ar"/>
              </w:rPr>
              <w:t>（公章）：</w:t>
            </w:r>
          </w:p>
          <w:p>
            <w:pPr>
              <w:keepNext w:val="0"/>
              <w:keepLines w:val="0"/>
              <w:widowControl/>
              <w:suppressLineNumbers w:val="0"/>
              <w:spacing w:before="0" w:beforeAutospacing="0" w:after="0" w:afterAutospacing="0"/>
              <w:ind w:left="0" w:right="0" w:firstLine="1100" w:firstLineChars="500"/>
              <w:jc w:val="left"/>
              <w:textAlignment w:val="top"/>
              <w:rPr>
                <w:rFonts w:hint="default" w:ascii="����" w:hAnsi="����" w:eastAsia="����" w:cs="����"/>
                <w:i w:val="0"/>
                <w:kern w:val="2"/>
                <w:sz w:val="22"/>
                <w:szCs w:val="22"/>
              </w:rPr>
            </w:pPr>
            <w:r>
              <w:rPr>
                <w:rStyle w:val="6"/>
                <w:rFonts w:hint="eastAsia" w:ascii="宋体" w:hAnsi="宋体" w:eastAsia="宋体" w:cs="宋体"/>
                <w:kern w:val="2"/>
                <w:sz w:val="22"/>
                <w:szCs w:val="22"/>
                <w:lang w:val="en-US" w:eastAsia="zh-CN" w:bidi="ar"/>
              </w:rPr>
              <w:t>年   月   日</w:t>
            </w:r>
          </w:p>
        </w:tc>
      </w:tr>
    </w:tbl>
    <w:p>
      <w:pPr>
        <w:keepNext w:val="0"/>
        <w:keepLines w:val="0"/>
        <w:widowControl w:val="0"/>
        <w:suppressLineNumbers w:val="0"/>
        <w:snapToGrid w:val="0"/>
        <w:spacing w:before="0" w:beforeAutospacing="0" w:after="0" w:afterAutospacing="0"/>
        <w:ind w:left="0" w:right="0"/>
        <w:jc w:val="both"/>
        <w:rPr>
          <w:rFonts w:hint="eastAsia" w:ascii="黑体" w:hAnsi="宋体" w:eastAsia="黑体" w:cs="Times New Roman"/>
          <w:kern w:val="2"/>
          <w:sz w:val="32"/>
          <w:szCs w:val="32"/>
        </w:rPr>
      </w:pPr>
      <w:r>
        <w:rPr>
          <w:rFonts w:hint="eastAsia" w:ascii="黑体" w:hAnsi="宋体" w:eastAsia="黑体" w:cs="Times New Roman"/>
          <w:kern w:val="2"/>
          <w:sz w:val="32"/>
          <w:szCs w:val="32"/>
          <w:lang w:val="en-US" w:eastAsia="zh-CN" w:bidi="ar"/>
        </w:rPr>
        <w:t xml:space="preserve"> </w:t>
      </w:r>
    </w:p>
    <w:p>
      <w:pPr>
        <w:rPr>
          <w:rFonts w:hint="eastAsia" w:ascii="黑体" w:hAnsi="宋体" w:eastAsia="黑体" w:cs="Times New Roman"/>
          <w:kern w:val="2"/>
          <w:sz w:val="32"/>
          <w:szCs w:val="32"/>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snapToGrid w:val="0"/>
        <w:spacing w:before="0" w:beforeAutospacing="0" w:after="0" w:afterAutospacing="0"/>
        <w:ind w:left="0" w:right="0"/>
        <w:jc w:val="center"/>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《退（抵）税申请表》填表说明</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一、本表适用于办理汇算结算、误收税款退税、留抵退税。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二、纳税人退税账户与原缴税账户不一致的，须另行提交资料，并经税务机关确认。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三、本表一式四联，纳税人一联、税务机关三联。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四、申请人名称：填写纳税人或扣缴义务人名称。如申请留抵退税，应填写纳税人名称。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五、申请人身份：选择“纳税人”或“扣缴义务人”。如申请留抵退税，应选择“纳税人”。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六、纳税人名称：填写税务登记证所载纳税人的全称。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七、统一社会信用代码(纳税人识别号)：填写纳税人统一社会信用代码或税务机关统一核发的税务登记证号码。</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八、申请退税类型：纳税人根据需要办理的事项，选择“汇算结算退税”、“误收退税”或“留抵退税”。</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九、纳税信用等级：填写申请退税时的纳税信用等级。</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原完税情况：填写与汇算结算和误收税款退税相关信息。分税种、品目名称、税款所属时期、税票号码、实缴金额等项目，填写申请办理退税的已入库信息，上述信息应与完税费（缴款）凭证复印件、完税费（缴款）凭证原件或完税电子信息一致。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十一、申请退税金额：填写与汇算结算和误收税款退税相关的申请退（抵）税的金额，应小于等于原完税情况实缴金额合计。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十二、留抵退税申请文件依据：根据申请留抵退税的文件依据，选择《财政部 税务总局 海关总署关于深化增值税改革有关政策的公告》（2019年第39号）、《财政部 税务总局关于进一步加大增值税期末留抵退税政策实施力度的公告》（2022年第14号，以下称14号公告）或《财政部 税务总局关于</w:t>
      </w:r>
      <w:r>
        <w:rPr>
          <w:rFonts w:hint="default" w:ascii="仿宋_GB2312" w:hAnsi="Calibri" w:eastAsia="仿宋_GB2312" w:cs="仿宋_GB2312"/>
          <w:i w:val="0"/>
          <w:caps w:val="0"/>
          <w:spacing w:val="0"/>
          <w:kern w:val="2"/>
          <w:sz w:val="32"/>
          <w:szCs w:val="32"/>
          <w:lang w:val="en-US" w:eastAsia="zh-CN" w:bidi="ar"/>
        </w:rPr>
        <w:t>扩大全额退还增值税留抵税额政策行业范围</w:t>
      </w:r>
      <w:r>
        <w:rPr>
          <w:rFonts w:hint="default" w:ascii="仿宋_GB2312" w:hAnsi="Calibri" w:eastAsia="仿宋_GB2312" w:cs="仿宋_GB2312"/>
          <w:kern w:val="2"/>
          <w:sz w:val="32"/>
          <w:szCs w:val="32"/>
          <w:lang w:val="en-US" w:eastAsia="zh-CN" w:bidi="ar"/>
        </w:rPr>
        <w:t>的公告》（2022年第21号，以下称21号公告）。</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十三、退税企业类型：勾选“《财政部 税务总局 海关总署关于深化增值税改革有关政策的公告》（2019年第39号）”的，“退税企业类型”选择“一般企业”。</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勾选“《财政部 税务总局关于进一步加大增值税期末留抵退税政策实施力度的公告》（2022年第14号）”或“《财政部 税务总局关于</w:t>
      </w:r>
      <w:r>
        <w:rPr>
          <w:rFonts w:hint="default" w:ascii="仿宋_GB2312" w:hAnsi="Calibri" w:eastAsia="仿宋_GB2312" w:cs="仿宋_GB2312"/>
          <w:i w:val="0"/>
          <w:caps w:val="0"/>
          <w:spacing w:val="0"/>
          <w:kern w:val="2"/>
          <w:sz w:val="32"/>
          <w:szCs w:val="32"/>
          <w:lang w:val="en-US" w:eastAsia="zh-CN" w:bidi="ar"/>
        </w:rPr>
        <w:t>扩大全额退还增值税留抵税额政策行业范围</w:t>
      </w:r>
      <w:r>
        <w:rPr>
          <w:rFonts w:hint="default" w:ascii="仿宋_GB2312" w:hAnsi="Calibri" w:eastAsia="仿宋_GB2312" w:cs="仿宋_GB2312"/>
          <w:kern w:val="2"/>
          <w:sz w:val="32"/>
          <w:szCs w:val="32"/>
          <w:lang w:val="en-US" w:eastAsia="zh-CN" w:bidi="ar"/>
        </w:rPr>
        <w:t>的公告》（2022年第21号）”的，“退税企业类型”按照企业实际经营情况选择“小微企业”或“特定行业”。其中：</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“小微企业”按照14号公告规定的划型标准勾选“微型企业”“小型企业”其中一项；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特定行业”按照销售收入占比最高的主营业务勾选“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文化、体育和娱乐业”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同时符合“小微企业”和“特定行业”退税条件的，可勾选“小微企业”其中一项或“特定行业”其中一项。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十四、申请退还项目:纳税人根据其选择退还的留抵税额类型，可同时勾选“存量留抵税额”和“增量留抵税额”或其中一项。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十五、企业经营情况</w:t>
      </w:r>
      <w:r>
        <w:rPr>
          <w:rFonts w:hint="default" w:ascii="仿宋_GB2312" w:hAnsi="Calibri" w:eastAsia="仿宋_GB2312" w:cs="仿宋_GB2312"/>
          <w:kern w:val="2"/>
          <w:sz w:val="32"/>
          <w:szCs w:val="32"/>
          <w:lang w:val="en-US" w:eastAsia="zh-CN" w:bidi="ar"/>
        </w:rPr>
        <w:br w:type="textWrapping"/>
      </w:r>
      <w:r>
        <w:rPr>
          <w:rFonts w:hint="default" w:ascii="仿宋_GB2312" w:hAnsi="Calibri" w:eastAsia="仿宋_GB2312" w:cs="仿宋_GB2312"/>
          <w:kern w:val="2"/>
          <w:sz w:val="32"/>
          <w:szCs w:val="32"/>
          <w:lang w:val="en-US" w:eastAsia="zh-CN" w:bidi="ar"/>
        </w:rPr>
        <w:t xml:space="preserve">    （一）国民经济行业：对照《2017年国民经济行业分类（GB/T 4754—2017）》中列明的行业小类填写。</w:t>
      </w:r>
    </w:p>
    <w:p>
      <w:pPr>
        <w:keepNext w:val="0"/>
        <w:keepLines w:val="0"/>
        <w:widowControl w:val="0"/>
        <w:suppressLineNumbers w:val="0"/>
        <w:autoSpaceDE w:val="0"/>
        <w:autoSpaceDN/>
        <w:adjustRightInd w:val="0"/>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（二）营业收入：按照上一会计年度增值税销售额确定；不满一个会计年度的，按照以下公式计算：增值税销售额（年）＝上一会计年度企业实际存续期间增值税销售额</w:t>
      </w:r>
      <w:r>
        <w:rPr>
          <w:rFonts w:hint="default" w:ascii="汉仪细圆B5" w:hAnsi="汉仪细圆B5" w:eastAsia="汉仪细圆B5" w:cs="汉仪细圆B5"/>
          <w:kern w:val="2"/>
          <w:sz w:val="32"/>
          <w:szCs w:val="32"/>
          <w:lang w:val="en-US" w:eastAsia="zh-CN" w:bidi="ar"/>
        </w:rPr>
        <w:t>÷</w:t>
      </w:r>
      <w:r>
        <w:rPr>
          <w:rFonts w:hint="default" w:ascii="仿宋_GB2312" w:hAnsi="Calibri" w:eastAsia="仿宋_GB2312" w:cs="仿宋_GB2312"/>
          <w:kern w:val="2"/>
          <w:sz w:val="32"/>
          <w:szCs w:val="32"/>
          <w:lang w:val="en-US" w:eastAsia="zh-CN" w:bidi="ar"/>
        </w:rPr>
        <w:t>企业实际存续月数×12。增值税销售额包括纳税申报销售额、稽查查补销售额、纳税评估调整销售额，适用增值税差额征税政策的，以差额后的销售额确定。</w:t>
      </w:r>
    </w:p>
    <w:p>
      <w:pPr>
        <w:keepNext w:val="0"/>
        <w:keepLines w:val="0"/>
        <w:widowControl w:val="0"/>
        <w:suppressLineNumbers w:val="0"/>
        <w:autoSpaceDE w:val="0"/>
        <w:autoSpaceDN/>
        <w:adjustRightInd w:val="0"/>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（三）资产总额：按照上一会计年度年末值填写。</w:t>
      </w:r>
    </w:p>
    <w:p>
      <w:pPr>
        <w:keepNext w:val="0"/>
        <w:keepLines w:val="0"/>
        <w:widowControl w:val="0"/>
        <w:suppressLineNumbers w:val="0"/>
        <w:autoSpaceDE w:val="0"/>
        <w:autoSpaceDN/>
        <w:adjustRightInd w:val="0"/>
        <w:snapToGrid w:val="0"/>
        <w:spacing w:before="0" w:beforeAutospacing="0" w:after="0" w:afterAutospacing="0" w:line="540" w:lineRule="exact"/>
        <w:ind w:left="0" w:right="0" w:firstLine="640" w:firstLineChars="200"/>
        <w:jc w:val="both"/>
        <w:rPr>
          <w:rFonts w:hint="eastAsia" w:ascii="Calibri" w:hAnsi="Calibri" w:eastAsia="宋体" w:cs="Times New Roman"/>
          <w:kern w:val="2"/>
          <w:sz w:val="21"/>
          <w:szCs w:val="21"/>
        </w:rPr>
      </w:pPr>
      <w:r>
        <w:rPr>
          <w:rFonts w:hint="default" w:ascii="仿宋_GB2312" w:hAnsi="Calibri" w:eastAsia="仿宋_GB2312" w:cs="仿宋_GB2312"/>
          <w:kern w:val="2"/>
          <w:sz w:val="32"/>
          <w:szCs w:val="32"/>
          <w:lang w:val="en-US" w:eastAsia="zh-CN" w:bidi="ar"/>
        </w:rPr>
        <w:t>（四）企业划型：按照14号公告和21号公告的规定，根据本表填报的“国民经济行业”、“营业收入”、“资产总额”信息，勾选“微型企业”、“小型企业”、“中型企业”或“大型企业”中的一项。</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十六、留抵退税申请类型：纳税人根据勾选的退税企业类型选择对应的项目填写。</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退税企业类型勾选“一般企业”：应填写“连续六个月（按季纳税的，连续两个季度）增量留抵税额均大于零的起止时间：</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年</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月至</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年</w:t>
      </w:r>
      <w:r>
        <w:rPr>
          <w:rFonts w:hint="default" w:ascii="仿宋_GB2312" w:hAnsi="Calibri" w:eastAsia="仿宋_GB2312" w:cs="仿宋_GB2312"/>
          <w:kern w:val="2"/>
          <w:sz w:val="32"/>
          <w:szCs w:val="32"/>
          <w:u w:val="single"/>
          <w:lang w:val="en-US" w:eastAsia="zh-CN" w:bidi="ar"/>
        </w:rPr>
        <w:t xml:space="preserve">   </w:t>
      </w:r>
      <w:r>
        <w:rPr>
          <w:rFonts w:hint="default" w:ascii="仿宋_GB2312" w:hAnsi="Calibri" w:eastAsia="仿宋_GB2312" w:cs="仿宋_GB2312"/>
          <w:kern w:val="2"/>
          <w:sz w:val="32"/>
          <w:szCs w:val="32"/>
          <w:lang w:val="en-US" w:eastAsia="zh-CN" w:bidi="ar"/>
        </w:rPr>
        <w:t>月”栏次，本栏填写纳税人自 2019 年 4 月税款所属期起，连续六个月（按季纳税的，连续两个季度）增量留抵税额均大于零，且第六个月增量留抵税额不低于50万元的起止时间。</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退税企业类型勾选“特定行业”：应填写“</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年</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月至</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年</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i w:val="0"/>
          <w:kern w:val="2"/>
          <w:sz w:val="32"/>
          <w:szCs w:val="32"/>
          <w:lang w:val="en-US" w:eastAsia="zh-CN" w:bidi="ar"/>
        </w:rPr>
        <w:t>月</w:t>
      </w:r>
      <w:r>
        <w:rPr>
          <w:rFonts w:hint="default" w:ascii="仿宋_GB2312" w:hAnsi="Calibri" w:eastAsia="仿宋_GB2312" w:cs="仿宋_GB2312"/>
          <w:kern w:val="2"/>
          <w:sz w:val="32"/>
          <w:szCs w:val="32"/>
          <w:lang w:val="en-US" w:eastAsia="zh-CN" w:bidi="ar"/>
        </w:rPr>
        <w:t>，从事《国民经济行业分类》中‘制造业’、‘科学研究和技术服务业’、‘电力、热力、燃气及水生产和供应业’、‘软件和信息技术服务业’、‘生态保护和环境治理业’、‘交通运输、仓储和邮政业’、‘批发和零售业’、‘农、林、牧、渔业’、‘住宿和餐饮业’、‘居民服务、修理和其他服务业’、‘教育’、‘卫生和社会工作’、‘文化、体育和娱乐业’业务相应发生的增值税销售额</w:t>
      </w:r>
      <w:r>
        <w:rPr>
          <w:rFonts w:hint="default" w:ascii="仿宋_GB2312" w:hAnsi="Calibri" w:eastAsia="仿宋_GB2312" w:cs="仿宋_GB2312"/>
          <w:i w:val="0"/>
          <w:kern w:val="2"/>
          <w:sz w:val="32"/>
          <w:szCs w:val="32"/>
          <w:lang w:val="en-US" w:eastAsia="zh-CN" w:bidi="ar"/>
        </w:rPr>
        <w:t xml:space="preserve">    </w:t>
      </w:r>
      <w:r>
        <w:rPr>
          <w:rFonts w:hint="default" w:ascii="仿宋_GB2312" w:hAnsi="Calibri" w:eastAsia="仿宋_GB2312" w:cs="仿宋_GB2312"/>
          <w:kern w:val="2"/>
          <w:sz w:val="32"/>
          <w:szCs w:val="32"/>
          <w:lang w:val="en-US" w:eastAsia="zh-CN" w:bidi="ar"/>
        </w:rPr>
        <w:t>元，同期全部销售额</w:t>
      </w:r>
      <w:r>
        <w:rPr>
          <w:rFonts w:hint="default" w:ascii="仿宋_GB2312" w:hAnsi="Calibri" w:eastAsia="仿宋_GB2312" w:cs="仿宋_GB2312"/>
          <w:i w:val="0"/>
          <w:kern w:val="2"/>
          <w:sz w:val="32"/>
          <w:szCs w:val="32"/>
          <w:lang w:val="en-US" w:eastAsia="zh-CN" w:bidi="ar"/>
        </w:rPr>
        <w:t xml:space="preserve"> </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kern w:val="2"/>
          <w:sz w:val="32"/>
          <w:szCs w:val="32"/>
          <w:lang w:val="en-US" w:eastAsia="zh-CN" w:bidi="ar"/>
        </w:rPr>
        <w:t>元，占比</w:t>
      </w:r>
      <w:r>
        <w:rPr>
          <w:rFonts w:hint="eastAsia" w:ascii="宋体" w:hAnsi="宋体" w:eastAsia="宋体" w:cs="宋体"/>
          <w:i w:val="0"/>
          <w:kern w:val="0"/>
          <w:sz w:val="22"/>
          <w:szCs w:val="22"/>
          <w:u w:val="single"/>
          <w:lang w:val="en-US" w:eastAsia="zh-CN" w:bidi="ar"/>
        </w:rPr>
        <w:t xml:space="preserve">       </w:t>
      </w:r>
      <w:r>
        <w:rPr>
          <w:rFonts w:hint="default" w:ascii="仿宋_GB2312" w:hAnsi="Calibri" w:eastAsia="仿宋_GB2312" w:cs="仿宋_GB2312"/>
          <w:kern w:val="2"/>
          <w:sz w:val="32"/>
          <w:szCs w:val="32"/>
          <w:lang w:val="en-US" w:eastAsia="zh-CN" w:bidi="ar"/>
        </w:rPr>
        <w:t>%。”栏次。如申请退税前经营期满12个月，本栏起止时间填写申请退税前12个月的起止时间，本栏销售额填写申请退税前12个月的销售额；如申请退税前经营期不满12个月但满3个月的，本栏起止时间填写实际经营期的起止时间，本栏销售额填写实际经营期的销售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十七、留抵退税申请条件：根据企业实际经营情况，逐项勾选“是”或“否”。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十八、留抵退税计算：</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（一）本期已申报免抵退税应退税额：填写适用免抵退税政策的纳税人本期申请退还的免抵退税额。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（二）申请退税前一税款所属期的增值税期末留抵税额：根据申请退税前一税款所属期的《增值税及附加税费申报表（一般纳税人适用）》主表“一般项目”期末留抵税额栏次填写。</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三）2019年3月期末留抵税额：根据2019年3月税款所属期的《增值税及附加税费申报表（一般纳税人适用）》主表“一般项目”期末留抵税额栏次填写，如2019年3月所属期未进行增值税一般纳税人申报，则该栏次金额为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（四）存量留抵税额：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1.获得过一次性存量留抵退税前，填写本表“申请退税前一税款所属期的增值税期末留抵税额”栏次与“2019年3月期末留抵税额”栏次孰小值。</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2.获得过一次性存量留抵退税后，本栏为0。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五）已抵扣的增值税专用发票（含带有“增值税专用发票”字样全面数字化的电子发票、税控机动车销售统一发票）、收费公路通行费增值税电子普通发票注明的增值税额：填写2019年4月至申请退税前一税款所属期抵扣的增值税专用发票（含带有“增值税专用发票”字样全面数字化的电子发票、税控机动车销售统一发票）、收费公路通行费增值税电子普通发票注明的增值税额。取得不动产或者不动产在建工程的进项税额不再分2年抵扣后一次性转入的进项税额，视同取得增值税专用发票抵扣的进项税额，也填入本栏。</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（六）已抵扣的海关进口增值税专用缴款书注明的增值税额：填写2019年4月至申请退税前一税款所属期抵扣的海关进口增值税专用缴款书注明的增值税额。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（七）已抵扣的解缴税款完税凭证注明的增值税额：填写2019年4月至申请退税前一税款所属期抵扣的解缴税款完税凭证注明的增值税额。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（八）全部已抵扣的进项税额：填写2019年4月至申请退税前一税款所属期全部已抵扣进项税额。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（九）进项构成比例：</w:t>
      </w:r>
    </w:p>
    <w:p>
      <w:pPr>
        <w:pStyle w:val="14"/>
        <w:keepNext w:val="0"/>
        <w:keepLines w:val="0"/>
        <w:widowControl w:val="0"/>
        <w:suppressLineNumbers w:val="0"/>
        <w:autoSpaceDE w:val="0"/>
        <w:autoSpaceDN/>
        <w:snapToGrid w:val="0"/>
        <w:spacing w:line="540" w:lineRule="exact"/>
        <w:jc w:val="both"/>
        <w:rPr>
          <w:rFonts w:hint="default" w:ascii="仿宋_GB2312" w:eastAsia="仿宋_GB2312" w:cs="仿宋_GB2312"/>
          <w:kern w:val="2"/>
          <w:sz w:val="32"/>
          <w:szCs w:val="32"/>
        </w:rPr>
      </w:pPr>
      <w:r>
        <w:rPr>
          <w:rFonts w:hint="default" w:ascii="仿宋_GB2312" w:eastAsia="仿宋_GB2312" w:cs="仿宋_GB2312"/>
          <w:kern w:val="2"/>
          <w:sz w:val="32"/>
          <w:szCs w:val="32"/>
        </w:rPr>
        <w:t>进项构成比例=本表〔已抵扣的增值税专用发票（含带有“增值税专用发票”字样全面数字化的电子发票、税控机动车销售统一发票）、收费公路通行费增值税电子普通发票注明的增值税额+已抵扣的海关进口增值税专用缴款书注明的增值税额+已抵扣的解缴税款完税凭证注明的增值税额〕÷全部已抵扣的进项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（十）本期申请退还的期末留抵税额：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1.退税企业类型勾选为“小微企业”和“特定行业”</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（1）申请退还项目仅勾选“存量留抵税额”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本期申请退税的期末留抵税额=本表“存量留抵税额”×“进项构成比例”×100%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（2）申请退还项目仅勾选“增量留抵税额”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本期申请退税的期末留抵税额=本表(“申请退税前一税款所属期的增值税期末留抵税额”-“存量留抵税额”）×“进项构成比例”×100%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（3）申请退还项目同时勾选“存量留抵税额”以及“增量留抵税额”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本期申请退税的期末留抵税额=本表“申请退税前一税款所属期的增值税期末留抵税额”×“进项构成比例”×100%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2.退税企业类型勾选为“一般企业”</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本期申请退税的期末留抵税额=本表（“申请退税前一税款所属期的增值税期末留抵税额”-“存量留抵税额”）×进项构成比例×60%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（十一）本期申请退还的存量留抵税额：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1.申请退还项目勾选“存量留抵税额”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本期申请退还的存量留抵税额=本表“存量留抵税额”×“进项构成比例”×100%；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2.申请退还项目仅勾选“增量留抵税额”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本期申请退还的存量留抵税额=0。</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（十二）本期申请退还的增量留抵税额：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本期申请退还的增量留抵税额=本表“本期申请退还的期末留抵税额”-“本期申请退还的存量留抵税额”</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十九、退税申请理由：简要概述退税申请理由，如果本次退税账户与原缴税账户不一致，需在此说明，并另行提交资料，报经税务机关确认。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二十、受理情况：填写核对接受纳税人、扣缴义务人资料的情况。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一、退还方式：申请汇算结算或误收税款退税的，退还方式可以单选或多选，对于有欠税的纳税人，一般情况应勾选“抵扣欠税”，对于勾选“抵扣欠税”情况，可以取消该选择，将全部申请退税的金额，以“退库”方式办理。申请留抵退税的，可同时勾选“退库”和“抵扣欠税”。如果纳税人既有增值税欠税，又有期末留抵税额，按照《国家税务总局关于办理增值税期末留抵税额退税有关事项的公告》（国家税务总局公告2019年第20号）第九条第三项规定，以最近一期增值税纳税申报表期末留抵税额，抵减增值税欠税后的余额确定允许退还的增量留抵税额。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二十二、退税类型：税务机关依据纳税人申请事项，勾选“汇算结算退税”、“误收退税”或“留抵退税”。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 xml:space="preserve">二十三、退税发起方式：纳税人申请汇算结算或误收税款退税的，税务机关勾选“纳税人自行申请”或“税务机关发现并通知”；纳税人申请留抵退税的，税务机关勾选“纳税人自行申请”。 </w:t>
      </w:r>
    </w:p>
    <w:p>
      <w:pPr>
        <w:keepNext w:val="0"/>
        <w:keepLines w:val="0"/>
        <w:widowControl w:val="0"/>
        <w:suppressLineNumbers w:val="0"/>
        <w:autoSpaceDE w:val="0"/>
        <w:autoSpaceDN/>
        <w:snapToGrid w:val="0"/>
        <w:spacing w:before="0" w:beforeAutospacing="0" w:after="0" w:afterAutospacing="0" w:line="540" w:lineRule="exact"/>
        <w:ind w:left="0" w:right="0" w:firstLine="640" w:firstLineChars="200"/>
        <w:jc w:val="both"/>
        <w:rPr>
          <w:rFonts w:hint="default" w:ascii="仿宋_GB2312" w:eastAsia="仿宋_GB2312" w:cs="仿宋_GB2312"/>
          <w:kern w:val="2"/>
          <w:sz w:val="32"/>
          <w:szCs w:val="32"/>
        </w:rPr>
      </w:pPr>
      <w:r>
        <w:rPr>
          <w:rFonts w:hint="default" w:ascii="仿宋_GB2312" w:hAnsi="Calibri" w:eastAsia="仿宋_GB2312" w:cs="仿宋_GB2312"/>
          <w:kern w:val="2"/>
          <w:sz w:val="32"/>
          <w:szCs w:val="32"/>
          <w:lang w:val="en-US" w:eastAsia="zh-CN" w:bidi="ar"/>
        </w:rPr>
        <w:t>二十四、退（抵）税金额：填写税务机关核准后的退（抵）税额。</w:t>
      </w:r>
    </w:p>
    <w:p>
      <w:pPr>
        <w:keepNext w:val="0"/>
        <w:keepLines w:val="0"/>
        <w:widowControl w:val="0"/>
        <w:suppressLineNumbers w:val="0"/>
        <w:snapToGrid w:val="0"/>
        <w:spacing w:before="0" w:beforeAutospacing="0" w:after="0" w:afterAutospacing="0"/>
        <w:ind w:left="0" w:right="0"/>
        <w:jc w:val="both"/>
        <w:rPr>
          <w:rFonts w:hint="default" w:ascii="Calibri" w:hAnsi="Calibri" w:eastAsia="宋体" w:cs="Times New Roman"/>
          <w:kern w:val="2"/>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汉仪细圆B5">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713B7"/>
    <w:rsid w:val="570713B7"/>
    <w:rsid w:val="77B025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character" w:customStyle="1" w:styleId="4">
    <w:name w:val="17"/>
    <w:basedOn w:val="3"/>
    <w:uiPriority w:val="0"/>
    <w:rPr>
      <w:rFonts w:hint="eastAsia" w:ascii="宋体" w:hAnsi="宋体" w:eastAsia="宋体" w:cs="宋体"/>
      <w:color w:val="000000"/>
      <w:sz w:val="24"/>
      <w:szCs w:val="24"/>
    </w:rPr>
  </w:style>
  <w:style w:type="character" w:customStyle="1" w:styleId="5">
    <w:name w:val="16"/>
    <w:basedOn w:val="3"/>
    <w:uiPriority w:val="0"/>
    <w:rPr>
      <w:rFonts w:hint="default" w:ascii="����" w:hAnsi="����" w:eastAsia="����" w:cs="����"/>
      <w:color w:val="000000"/>
      <w:sz w:val="24"/>
      <w:szCs w:val="24"/>
    </w:rPr>
  </w:style>
  <w:style w:type="character" w:customStyle="1" w:styleId="6">
    <w:name w:val="18"/>
    <w:basedOn w:val="3"/>
    <w:uiPriority w:val="0"/>
    <w:rPr>
      <w:rFonts w:hint="eastAsia" w:ascii="宋体" w:hAnsi="宋体" w:eastAsia="宋体" w:cs="宋体"/>
      <w:color w:val="000000"/>
      <w:sz w:val="22"/>
      <w:szCs w:val="22"/>
    </w:rPr>
  </w:style>
  <w:style w:type="character" w:customStyle="1" w:styleId="7">
    <w:name w:val="23"/>
    <w:basedOn w:val="3"/>
    <w:uiPriority w:val="0"/>
    <w:rPr>
      <w:rFonts w:hint="eastAsia" w:ascii="宋体" w:hAnsi="宋体" w:eastAsia="宋体" w:cs="宋体"/>
      <w:color w:val="000000"/>
      <w:sz w:val="22"/>
      <w:szCs w:val="22"/>
      <w:u w:val="single"/>
    </w:rPr>
  </w:style>
  <w:style w:type="character" w:customStyle="1" w:styleId="8">
    <w:name w:val="15"/>
    <w:basedOn w:val="3"/>
    <w:uiPriority w:val="0"/>
    <w:rPr>
      <w:rFonts w:hint="eastAsia" w:ascii="宋体" w:hAnsi="宋体" w:eastAsia="宋体" w:cs="宋体"/>
      <w:b/>
      <w:color w:val="000000"/>
      <w:sz w:val="22"/>
      <w:szCs w:val="22"/>
    </w:rPr>
  </w:style>
  <w:style w:type="character" w:customStyle="1" w:styleId="9">
    <w:name w:val="10"/>
    <w:basedOn w:val="3"/>
    <w:uiPriority w:val="0"/>
    <w:rPr>
      <w:rFonts w:hint="default" w:ascii="Calibri" w:hAnsi="Calibri" w:cs="Calibri"/>
    </w:rPr>
  </w:style>
  <w:style w:type="character" w:customStyle="1" w:styleId="10">
    <w:name w:val="19"/>
    <w:basedOn w:val="3"/>
    <w:uiPriority w:val="0"/>
    <w:rPr>
      <w:rFonts w:hint="eastAsia" w:ascii="宋体" w:hAnsi="宋体" w:eastAsia="宋体" w:cs="宋体"/>
      <w:color w:val="FF0000"/>
      <w:sz w:val="22"/>
      <w:szCs w:val="22"/>
    </w:rPr>
  </w:style>
  <w:style w:type="character" w:customStyle="1" w:styleId="11">
    <w:name w:val="20"/>
    <w:basedOn w:val="3"/>
    <w:uiPriority w:val="0"/>
    <w:rPr>
      <w:rFonts w:hint="eastAsia" w:ascii="宋体" w:hAnsi="宋体" w:eastAsia="宋体" w:cs="宋体"/>
      <w:b/>
      <w:color w:val="000000"/>
      <w:sz w:val="22"/>
      <w:szCs w:val="22"/>
    </w:rPr>
  </w:style>
  <w:style w:type="character" w:customStyle="1" w:styleId="12">
    <w:name w:val="21"/>
    <w:basedOn w:val="3"/>
    <w:uiPriority w:val="0"/>
    <w:rPr>
      <w:rFonts w:hint="eastAsia" w:ascii="宋体" w:hAnsi="宋体" w:eastAsia="宋体" w:cs="宋体"/>
      <w:b/>
      <w:color w:val="FF0000"/>
      <w:sz w:val="22"/>
      <w:szCs w:val="22"/>
    </w:rPr>
  </w:style>
  <w:style w:type="character" w:customStyle="1" w:styleId="13">
    <w:name w:val="22"/>
    <w:basedOn w:val="3"/>
    <w:uiPriority w:val="0"/>
    <w:rPr>
      <w:rFonts w:hint="eastAsia" w:ascii="宋体" w:hAnsi="宋体" w:eastAsia="宋体" w:cs="宋体"/>
      <w:color w:val="000000"/>
      <w:sz w:val="22"/>
      <w:szCs w:val="22"/>
    </w:rPr>
  </w:style>
  <w:style w:type="paragraph" w:customStyle="1" w:styleId="14">
    <w:name w:val="Normal Indent1"/>
    <w:basedOn w:val="1"/>
    <w:uiPriority w:val="0"/>
    <w:pPr>
      <w:keepNext w:val="0"/>
      <w:keepLines w:val="0"/>
      <w:widowControl w:val="0"/>
      <w:suppressLineNumbers w:val="0"/>
      <w:spacing w:before="0" w:beforeAutospacing="0" w:after="0" w:afterAutospacing="0" w:line="660" w:lineRule="exact"/>
      <w:ind w:left="0" w:right="0" w:firstLine="720" w:firstLineChars="200"/>
      <w:jc w:val="both"/>
    </w:pPr>
    <w:rPr>
      <w:rFonts w:hint="default" w:ascii="Calibri" w:hAnsi="Calibri" w:eastAsia="楷体_GB2312" w:cs="Times New Roman"/>
      <w:kern w:val="2"/>
      <w:sz w:val="36"/>
      <w:szCs w:val="3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2022-06-09T06:56:00Z</dcterms:created>
  <dc:creator>姚晓琳</dc:creator>
  <cp:lastModifiedBy>姚晓琳</cp:lastModifiedBy>
  <dcterms:modified xsi:type="dcterms:W3CDTF">2022-06-09T07:12:01Z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