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宋体" w:hAnsi="宋体"/>
          <w:color w:val="000000"/>
        </w:rPr>
      </w:pPr>
      <w:bookmarkStart w:id="0" w:name="_Toc25328005"/>
      <w:r>
        <w:rPr>
          <w:rFonts w:hint="eastAsia" w:ascii="宋体" w:hAnsi="宋体"/>
          <w:color w:val="000000"/>
        </w:rPr>
        <w:t>A06144《所有者权益变动表（适用执行企业会计准则的一般企业）》</w:t>
      </w:r>
      <w:bookmarkEnd w:id="0"/>
      <w:bookmarkStart w:id="1" w:name="_GoBack"/>
      <w:bookmarkEnd w:id="1"/>
    </w:p>
    <w:tbl>
      <w:tblPr>
        <w:tblStyle w:val="4"/>
        <w:tblW w:w="1531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308"/>
        <w:gridCol w:w="511"/>
        <w:gridCol w:w="171"/>
        <w:gridCol w:w="202"/>
        <w:gridCol w:w="322"/>
        <w:gridCol w:w="61"/>
        <w:gridCol w:w="499"/>
        <w:gridCol w:w="101"/>
        <w:gridCol w:w="435"/>
        <w:gridCol w:w="6"/>
        <w:gridCol w:w="530"/>
        <w:gridCol w:w="61"/>
        <w:gridCol w:w="649"/>
        <w:gridCol w:w="616"/>
        <w:gridCol w:w="141"/>
        <w:gridCol w:w="809"/>
        <w:gridCol w:w="708"/>
        <w:gridCol w:w="708"/>
        <w:gridCol w:w="668"/>
        <w:gridCol w:w="793"/>
        <w:gridCol w:w="674"/>
        <w:gridCol w:w="564"/>
        <w:gridCol w:w="484"/>
        <w:gridCol w:w="613"/>
        <w:gridCol w:w="610"/>
        <w:gridCol w:w="6"/>
        <w:gridCol w:w="603"/>
        <w:gridCol w:w="610"/>
        <w:gridCol w:w="616"/>
        <w:gridCol w:w="616"/>
        <w:gridCol w:w="616"/>
        <w:gridCol w:w="5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5315" w:type="dxa"/>
            <w:gridSpan w:val="3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8"/>
                <w:szCs w:val="28"/>
              </w:rPr>
              <w:t>所有者权益变动表</w:t>
            </w:r>
          </w:p>
          <w:p>
            <w:pPr>
              <w:pStyle w:val="13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3"/>
              <w:rPr>
                <w:rFonts w:ascii="宋体" w:hAnsi="宋体" w:cs="Arial"/>
                <w:color w:val="00000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3"/>
              <w:rPr>
                <w:rFonts w:ascii="宋体" w:hAnsi="宋体" w:cs="Arial"/>
                <w:color w:val="00000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3"/>
              <w:rPr>
                <w:rFonts w:ascii="宋体" w:hAnsi="宋体" w:cs="Arial"/>
                <w:color w:val="000000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3"/>
              <w:rPr>
                <w:rFonts w:ascii="宋体" w:hAnsi="宋体" w:cs="Arial"/>
                <w:color w:val="00000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3"/>
              <w:rPr>
                <w:rFonts w:ascii="宋体" w:hAnsi="宋体" w:cs="Arial"/>
                <w:color w:val="00000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3"/>
              <w:rPr>
                <w:rFonts w:ascii="宋体" w:hAnsi="宋体" w:cs="Arial"/>
                <w:color w:val="00000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3"/>
              <w:rPr>
                <w:rFonts w:ascii="宋体" w:hAnsi="宋体" w:cs="Arial"/>
                <w:color w:val="00000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3"/>
              <w:rPr>
                <w:rFonts w:ascii="宋体" w:hAnsi="宋体" w:cs="Arial"/>
                <w:color w:val="00000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3"/>
              <w:rPr>
                <w:rFonts w:hint="eastAsia" w:ascii="宋体" w:hAnsi="宋体" w:cs="Arial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3"/>
              <w:rPr>
                <w:rFonts w:hint="eastAsia" w:ascii="宋体" w:hAnsi="宋体" w:cs="Arial"/>
                <w:color w:val="000000"/>
              </w:rPr>
            </w:pPr>
          </w:p>
        </w:tc>
        <w:tc>
          <w:tcPr>
            <w:tcW w:w="10430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                                           会企04表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13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13"/>
              <w:rPr>
                <w:rFonts w:ascii="宋体" w:hAnsi="宋体" w:cs="Arial"/>
                <w:color w:val="00000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13"/>
              <w:rPr>
                <w:rFonts w:ascii="宋体" w:hAnsi="宋体" w:cs="Arial"/>
                <w:color w:val="00000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13"/>
              <w:rPr>
                <w:rFonts w:ascii="宋体" w:hAnsi="宋体" w:cs="Arial"/>
                <w:color w:val="000000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13"/>
              <w:rPr>
                <w:rFonts w:ascii="宋体" w:hAnsi="宋体" w:cs="Arial"/>
                <w:color w:val="00000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13"/>
              <w:rPr>
                <w:rFonts w:ascii="宋体" w:hAnsi="宋体" w:cs="Arial"/>
                <w:color w:val="00000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13"/>
              <w:rPr>
                <w:rFonts w:ascii="宋体" w:hAnsi="宋体" w:cs="Arial"/>
                <w:color w:val="00000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13"/>
              <w:rPr>
                <w:rFonts w:ascii="宋体" w:hAnsi="宋体" w:cs="Arial"/>
                <w:color w:val="00000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13"/>
              <w:rPr>
                <w:rFonts w:ascii="宋体" w:hAnsi="宋体" w:cs="Arial"/>
                <w:color w:val="00000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10430" w:type="dxa"/>
            <w:gridSpan w:val="18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 xml:space="preserve">编制单位：             </w:t>
            </w:r>
            <w:r>
              <w:rPr>
                <w:rFonts w:ascii="宋体" w:hAnsi="宋体" w:cs="Arial"/>
                <w:color w:val="000000"/>
                <w:szCs w:val="21"/>
              </w:rPr>
              <w:t xml:space="preserve">                       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年度       </w:t>
            </w:r>
            <w:r>
              <w:rPr>
                <w:rFonts w:ascii="宋体" w:hAnsi="宋体" w:cs="Arial"/>
                <w:color w:val="000000"/>
                <w:szCs w:val="21"/>
              </w:rPr>
              <w:t xml:space="preserve">         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403" w:type="dxa"/>
            <w:gridSpan w:val="4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项 目</w:t>
            </w:r>
          </w:p>
        </w:tc>
        <w:tc>
          <w:tcPr>
            <w:tcW w:w="7309" w:type="dxa"/>
            <w:gridSpan w:val="1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本年金额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pStyle w:val="13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65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上年金额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403" w:type="dxa"/>
            <w:gridSpan w:val="4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13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85" w:type="dxa"/>
            <w:gridSpan w:val="3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实收</w:t>
            </w:r>
          </w:p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资本</w:t>
            </w:r>
          </w:p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(或股本)</w:t>
            </w:r>
          </w:p>
        </w:tc>
        <w:tc>
          <w:tcPr>
            <w:tcW w:w="163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其他权益工具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资本</w:t>
            </w:r>
          </w:p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公积</w:t>
            </w:r>
          </w:p>
        </w:tc>
        <w:tc>
          <w:tcPr>
            <w:tcW w:w="757" w:type="dxa"/>
            <w:gridSpan w:val="2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减：</w:t>
            </w:r>
          </w:p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库存股</w:t>
            </w:r>
          </w:p>
        </w:tc>
        <w:tc>
          <w:tcPr>
            <w:tcW w:w="809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其他综合收益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专项储备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盈余</w:t>
            </w:r>
          </w:p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公积</w:t>
            </w:r>
          </w:p>
        </w:tc>
        <w:tc>
          <w:tcPr>
            <w:tcW w:w="668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未</w:t>
            </w:r>
          </w:p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分配</w:t>
            </w:r>
          </w:p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利润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所有者权益合计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实收</w:t>
            </w:r>
          </w:p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资本</w:t>
            </w:r>
          </w:p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(或股本)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其他权益工具</w:t>
            </w:r>
          </w:p>
        </w:tc>
        <w:tc>
          <w:tcPr>
            <w:tcW w:w="61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资本</w:t>
            </w:r>
          </w:p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公积</w:t>
            </w:r>
          </w:p>
        </w:tc>
        <w:tc>
          <w:tcPr>
            <w:tcW w:w="609" w:type="dxa"/>
            <w:gridSpan w:val="2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减：</w:t>
            </w:r>
          </w:p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库存股</w:t>
            </w:r>
          </w:p>
        </w:tc>
        <w:tc>
          <w:tcPr>
            <w:tcW w:w="61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其他综合收益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专项储备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盈余</w:t>
            </w:r>
          </w:p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公积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未</w:t>
            </w:r>
          </w:p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分配</w:t>
            </w:r>
          </w:p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利润</w:t>
            </w:r>
          </w:p>
        </w:tc>
        <w:tc>
          <w:tcPr>
            <w:tcW w:w="591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所有者权益合计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403" w:type="dxa"/>
            <w:gridSpan w:val="4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13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85" w:type="dxa"/>
            <w:gridSpan w:val="3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优先股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永续债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其他</w:t>
            </w:r>
          </w:p>
        </w:tc>
        <w:tc>
          <w:tcPr>
            <w:tcW w:w="64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57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</w:p>
        </w:tc>
        <w:tc>
          <w:tcPr>
            <w:tcW w:w="809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93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74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优先股</w:t>
            </w:r>
          </w:p>
        </w:tc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永续债</w:t>
            </w: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其他</w:t>
            </w:r>
          </w:p>
        </w:tc>
        <w:tc>
          <w:tcPr>
            <w:tcW w:w="61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09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</w:p>
        </w:tc>
        <w:tc>
          <w:tcPr>
            <w:tcW w:w="61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360" w:lineRule="auto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一、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上年年末余额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360" w:lineRule="auto"/>
              <w:ind w:firstLine="210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加：会计政策变更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前期差错更正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210"/>
              <w:rPr>
                <w:rFonts w:ascii="宋体" w:hAnsi="宋体" w:cs="Arial"/>
                <w:b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其他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360" w:lineRule="auto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二、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本年年初余额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三、本年增减变动金额（减少以“-”号填列）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360" w:lineRule="auto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（一）综合收益总额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360" w:lineRule="auto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（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二）所有者投入和减少资本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1．所有者投入的普通股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360" w:lineRule="auto"/>
              <w:ind w:firstLine="211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2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.其他权益工具持有者投入资本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360" w:lineRule="auto"/>
              <w:ind w:firstLine="210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．股份支付计入所有者权益的金额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spacing w:line="360" w:lineRule="auto"/>
              <w:ind w:firstLine="210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4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．其他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（三）利润分配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1．提取盈余公积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2．对所有者（或股东）的分配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ind w:firstLine="210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3．其他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（四）所有者权益内部结转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1．资本公积转增资本（或股本）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2．盈余公积转增资本（或股本）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3．盈余公积弥补亏损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等线" w:hAnsi="等线" w:eastAsia="等线" w:cs="Arial"/>
                <w:color w:val="000000"/>
                <w:szCs w:val="21"/>
              </w:rPr>
              <w:t>4.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设定收益计划变动额结转留存收益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等线" w:hAnsi="等线" w:eastAsia="等线" w:cs="Arial"/>
                <w:bCs/>
                <w:color w:val="000000"/>
                <w:szCs w:val="21"/>
              </w:rPr>
              <w:t>5.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其他综合收益结转留存收益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6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．其他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四、本年年末余额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</w:tbl>
    <w:p>
      <w:pPr>
        <w:pStyle w:val="13"/>
        <w:rPr>
          <w:color w:val="000000"/>
        </w:rPr>
      </w:pPr>
    </w:p>
    <w:p>
      <w:pPr>
        <w:pStyle w:val="7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12"/>
        <w:rPr>
          <w:color w:val="000000"/>
        </w:rPr>
      </w:pPr>
      <w:r>
        <w:rPr>
          <w:rFonts w:hint="eastAsia"/>
          <w:color w:val="000000"/>
        </w:rPr>
        <w:t>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000E"/>
    <w:multiLevelType w:val="multilevel"/>
    <w:tmpl w:val="1367000E"/>
    <w:lvl w:ilvl="0" w:tentative="0">
      <w:start w:val="1"/>
      <w:numFmt w:val="bullet"/>
      <w:pStyle w:val="9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03C9E"/>
    <w:rsid w:val="67E0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unhideWhenUsed/>
    <w:qFormat/>
    <w:uiPriority w:val="0"/>
    <w:pPr>
      <w:spacing w:after="120"/>
    </w:p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标题 2_0"/>
    <w:basedOn w:val="3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7">
    <w:name w:val="三级标题"/>
    <w:basedOn w:val="8"/>
    <w:qFormat/>
    <w:uiPriority w:val="0"/>
    <w:pPr>
      <w:ind w:firstLine="422"/>
    </w:pPr>
  </w:style>
  <w:style w:type="paragraph" w:customStyle="1" w:styleId="8">
    <w:name w:val="一级标题_0"/>
    <w:basedOn w:val="3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9">
    <w:name w:val="四级标题"/>
    <w:basedOn w:val="10"/>
    <w:qFormat/>
    <w:uiPriority w:val="0"/>
    <w:pPr>
      <w:numPr>
        <w:ilvl w:val="0"/>
        <w:numId w:val="1"/>
      </w:numPr>
    </w:pPr>
    <w:rPr>
      <w:rFonts w:eastAsia="宋体" w:cs="Times New Roman"/>
      <w:kern w:val="2"/>
      <w:sz w:val="21"/>
    </w:rPr>
  </w:style>
  <w:style w:type="paragraph" w:customStyle="1" w:styleId="10">
    <w:name w:val="二级标题_0"/>
    <w:basedOn w:val="3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11">
    <w:name w:val="需求正文_0"/>
    <w:basedOn w:val="3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12">
    <w:name w:val="纸质表单正文"/>
    <w:basedOn w:val="2"/>
    <w:qFormat/>
    <w:uiPriority w:val="0"/>
    <w:pPr>
      <w:spacing w:after="0"/>
      <w:ind w:firstLine="400"/>
    </w:pPr>
  </w:style>
  <w:style w:type="paragraph" w:customStyle="1" w:styleId="13">
    <w:name w:val="正文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2019-12-12T09:29:00Z</dcterms:created>
  <dc:creator>陈莉佳</dc:creator>
  <cp:lastModifiedBy>陈莉佳</cp:lastModifiedBy>
  <dcterms:modified xsi:type="dcterms:W3CDTF">2019-12-12T09:30:07Z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