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000000"/>
        </w:rPr>
      </w:pPr>
      <w:bookmarkStart w:id="0" w:name="_Toc25328294"/>
      <w:r>
        <w:rPr>
          <w:rFonts w:hint="eastAsia" w:ascii="宋体" w:hAnsi="宋体" w:eastAsia="宋体" w:cs="宋体"/>
          <w:color w:val="000000"/>
        </w:rPr>
        <w:t>A06894《利润表（适用已执行新金融准则、新收入准则和新租赁准则的一般企业）》</w:t>
      </w:r>
      <w:bookmarkEnd w:id="0"/>
      <w:bookmarkStart w:id="1" w:name="_GoBack"/>
      <w:bookmarkEnd w:id="1"/>
    </w:p>
    <w:p>
      <w:pPr>
        <w:tabs>
          <w:tab w:val="left" w:pos="4083"/>
          <w:tab w:val="left" w:pos="4375"/>
          <w:tab w:val="left" w:pos="4869"/>
          <w:tab w:val="left" w:pos="7728"/>
        </w:tabs>
        <w:spacing w:before="37" w:after="45"/>
        <w:ind w:left="670"/>
        <w:rPr>
          <w:color w:val="000000"/>
          <w:sz w:val="20"/>
          <w:szCs w:val="22"/>
        </w:rPr>
      </w:pPr>
    </w:p>
    <w:p>
      <w:pPr>
        <w:pStyle w:val="5"/>
        <w:jc w:val="center"/>
        <w:rPr>
          <w:b/>
          <w:color w:val="000000"/>
        </w:rPr>
      </w:pPr>
      <w:r>
        <w:rPr>
          <w:rFonts w:hint="eastAsia"/>
          <w:b/>
          <w:color w:val="000000"/>
        </w:rPr>
        <w:t>利润表</w:t>
      </w:r>
    </w:p>
    <w:p>
      <w:pPr>
        <w:pStyle w:val="5"/>
        <w:jc w:val="center"/>
        <w:rPr>
          <w:b/>
          <w:color w:val="000000"/>
        </w:rPr>
      </w:pPr>
    </w:p>
    <w:p>
      <w:pPr>
        <w:tabs>
          <w:tab w:val="left" w:pos="4083"/>
          <w:tab w:val="left" w:pos="4375"/>
          <w:tab w:val="left" w:pos="4869"/>
          <w:tab w:val="left" w:pos="7728"/>
        </w:tabs>
        <w:spacing w:before="37" w:after="45"/>
        <w:ind w:left="670"/>
        <w:rPr>
          <w:color w:val="000000"/>
          <w:sz w:val="20"/>
          <w:szCs w:val="22"/>
        </w:rPr>
      </w:pPr>
      <w:r>
        <w:rPr>
          <w:rFonts w:hint="eastAsia"/>
          <w:color w:val="000000"/>
          <w:sz w:val="20"/>
          <w:szCs w:val="22"/>
        </w:rPr>
        <w:t xml:space="preserve">                                                                  会企</w:t>
      </w:r>
      <w:r>
        <w:rPr>
          <w:color w:val="000000"/>
          <w:sz w:val="20"/>
          <w:szCs w:val="22"/>
        </w:rPr>
        <w:t xml:space="preserve"> 02 表</w:t>
      </w:r>
    </w:p>
    <w:p>
      <w:pPr>
        <w:tabs>
          <w:tab w:val="left" w:pos="4083"/>
          <w:tab w:val="left" w:pos="4375"/>
          <w:tab w:val="left" w:pos="4869"/>
          <w:tab w:val="left" w:pos="7505"/>
        </w:tabs>
        <w:spacing w:before="37" w:after="45"/>
        <w:ind w:left="670"/>
        <w:rPr>
          <w:color w:val="000000"/>
          <w:sz w:val="20"/>
          <w:szCs w:val="22"/>
        </w:rPr>
      </w:pPr>
      <w:r>
        <w:rPr>
          <w:color w:val="000000"/>
          <w:szCs w:val="22"/>
        </w:rPr>
        <mc:AlternateContent>
          <mc:Choice Requires="wps">
            <w:drawing>
              <wp:anchor distT="0" distB="0" distL="114300" distR="114300" simplePos="0" relativeHeight="251671552" behindDoc="0" locked="0" layoutInCell="1" allowOverlap="1">
                <wp:simplePos x="0" y="0"/>
                <wp:positionH relativeFrom="page">
                  <wp:posOffset>5629910</wp:posOffset>
                </wp:positionH>
                <wp:positionV relativeFrom="paragraph">
                  <wp:posOffset>197485</wp:posOffset>
                </wp:positionV>
                <wp:extent cx="26035" cy="27940"/>
                <wp:effectExtent l="0" t="0" r="12065" b="635"/>
                <wp:wrapNone/>
                <wp:docPr id="1" name="任意多边形 1"/>
                <wp:cNvGraphicFramePr/>
                <a:graphic xmlns:a="http://schemas.openxmlformats.org/drawingml/2006/main">
                  <a:graphicData uri="http://schemas.microsoft.com/office/word/2010/wordprocessingShape">
                    <wps:wsp>
                      <wps:cNvSpPr/>
                      <wps:spPr>
                        <a:xfrm>
                          <a:off x="0" y="0"/>
                          <a:ext cx="26035" cy="27940"/>
                        </a:xfrm>
                        <a:custGeom>
                          <a:avLst/>
                          <a:gdLst/>
                          <a:ahLst/>
                          <a:cxnLst>
                            <a:cxn ang="0">
                              <a:pos x="8890" y="225425"/>
                            </a:cxn>
                            <a:cxn ang="0">
                              <a:pos x="0" y="225425"/>
                            </a:cxn>
                            <a:cxn ang="0">
                              <a:pos x="0" y="223520"/>
                            </a:cxn>
                            <a:cxn ang="0">
                              <a:pos x="8890" y="223520"/>
                            </a:cxn>
                            <a:cxn ang="0">
                              <a:pos x="8890" y="225425"/>
                            </a:cxn>
                            <a:cxn ang="0">
                              <a:pos x="25400" y="207010"/>
                            </a:cxn>
                            <a:cxn ang="0">
                              <a:pos x="0" y="207010"/>
                            </a:cxn>
                            <a:cxn ang="0">
                              <a:pos x="0" y="197485"/>
                            </a:cxn>
                            <a:cxn ang="0">
                              <a:pos x="25400" y="197485"/>
                            </a:cxn>
                            <a:cxn ang="0">
                              <a:pos x="25400" y="207010"/>
                            </a:cxn>
                          </a:cxnLst>
                          <a:pathLst>
                            <a:path w="41" h="44">
                              <a:moveTo>
                                <a:pt x="14" y="44"/>
                              </a:moveTo>
                              <a:lnTo>
                                <a:pt x="0" y="44"/>
                              </a:lnTo>
                              <a:lnTo>
                                <a:pt x="0" y="41"/>
                              </a:lnTo>
                              <a:lnTo>
                                <a:pt x="14" y="41"/>
                              </a:lnTo>
                              <a:lnTo>
                                <a:pt x="14" y="44"/>
                              </a:lnTo>
                              <a:close/>
                              <a:moveTo>
                                <a:pt x="40" y="15"/>
                              </a:moveTo>
                              <a:lnTo>
                                <a:pt x="0" y="15"/>
                              </a:lnTo>
                              <a:lnTo>
                                <a:pt x="0" y="0"/>
                              </a:lnTo>
                              <a:lnTo>
                                <a:pt x="40" y="0"/>
                              </a:lnTo>
                              <a:lnTo>
                                <a:pt x="4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443.3pt;margin-top:15.55pt;height:2.2pt;width:2.05pt;mso-position-horizontal-relative:page;z-index:251671552;mso-width-relative:page;mso-height-relative:page;" fillcolor="#000000" filled="t" stroked="f" coordsize="41,44" o:gfxdata="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mKc1vYAAAACQEAAA8AAAAAAAAAAQAgAAAAIgAAAGRycy9k&#10;b3ducmV2LnhtbFBLAQIUABQAAAAIAIdO4kCzAejvdAIAAPEGAAAOAAAAAAAAAAEAIAAAACcBAABk&#10;cnMvZTJvRG9jLnhtbFBLBQYAAAAABgAGAFkBAAANBgAAAAA=&#10;" path="m14,44l0,44,0,41,14,41,14,44xm40,15l0,15,0,0,40,0,40,15xe">
                <v:path arrowok="t" o:connecttype="custom" o:connectlocs="8890,225425;0,225425;0,223520;8890,223520;8890,225425;25400,207010;0,207010;0,197485;25400,197485;25400,207010" o:connectangles="0,0,0,0,0,0,0,0,0,0"/>
                <v:fill on="t" focussize="0,0"/>
                <v:stroke on="f"/>
                <v:imagedata o:title=""/>
                <o:lock v:ext="edit"/>
              </v:shape>
            </w:pict>
          </mc:Fallback>
        </mc:AlternateContent>
      </w:r>
      <w:r>
        <w:rPr>
          <w:color w:val="000000"/>
          <w:sz w:val="20"/>
          <w:szCs w:val="22"/>
        </w:rPr>
        <w:t>编制</w:t>
      </w:r>
      <w:r>
        <w:rPr>
          <w:color w:val="000000"/>
          <w:spacing w:val="-4"/>
          <w:sz w:val="20"/>
          <w:szCs w:val="22"/>
        </w:rPr>
        <w:t>单</w:t>
      </w:r>
      <w:r>
        <w:rPr>
          <w:color w:val="000000"/>
          <w:sz w:val="20"/>
          <w:szCs w:val="22"/>
        </w:rPr>
        <w:t>位：</w:t>
      </w:r>
      <w:r>
        <w:rPr>
          <w:color w:val="000000"/>
          <w:sz w:val="20"/>
          <w:szCs w:val="22"/>
        </w:rPr>
        <w:tab/>
      </w:r>
      <w:r>
        <w:rPr>
          <w:color w:val="000000"/>
          <w:sz w:val="20"/>
          <w:szCs w:val="22"/>
          <w:u w:val="single"/>
        </w:rPr>
        <w:t xml:space="preserve"> </w:t>
      </w:r>
      <w:r>
        <w:rPr>
          <w:color w:val="000000"/>
          <w:sz w:val="20"/>
          <w:szCs w:val="22"/>
          <w:u w:val="single"/>
        </w:rPr>
        <w:tab/>
      </w:r>
      <w:r>
        <w:rPr>
          <w:color w:val="000000"/>
          <w:sz w:val="20"/>
          <w:szCs w:val="22"/>
        </w:rPr>
        <w:t>年</w:t>
      </w:r>
      <w:r>
        <w:rPr>
          <w:color w:val="000000"/>
          <w:sz w:val="20"/>
          <w:szCs w:val="22"/>
          <w:u w:val="single"/>
        </w:rPr>
        <w:t xml:space="preserve"> </w:t>
      </w:r>
      <w:r>
        <w:rPr>
          <w:color w:val="000000"/>
          <w:sz w:val="20"/>
          <w:szCs w:val="22"/>
          <w:u w:val="single"/>
        </w:rPr>
        <w:tab/>
      </w:r>
      <w:r>
        <w:rPr>
          <w:color w:val="000000"/>
          <w:sz w:val="20"/>
          <w:szCs w:val="22"/>
        </w:rPr>
        <w:t>月</w:t>
      </w:r>
      <w:r>
        <w:rPr>
          <w:color w:val="000000"/>
          <w:sz w:val="20"/>
          <w:szCs w:val="22"/>
        </w:rPr>
        <w:tab/>
      </w:r>
      <w:r>
        <w:rPr>
          <w:color w:val="000000"/>
          <w:sz w:val="20"/>
          <w:szCs w:val="22"/>
        </w:rPr>
        <w:t>单位</w:t>
      </w:r>
      <w:r>
        <w:rPr>
          <w:color w:val="000000"/>
          <w:spacing w:val="-44"/>
          <w:sz w:val="20"/>
          <w:szCs w:val="22"/>
        </w:rPr>
        <w:t>：</w:t>
      </w:r>
      <w:r>
        <w:rPr>
          <w:color w:val="000000"/>
          <w:sz w:val="20"/>
          <w:szCs w:val="22"/>
        </w:rPr>
        <w:t>元</w:t>
      </w:r>
    </w:p>
    <w:tbl>
      <w:tblPr>
        <w:tblStyle w:val="2"/>
        <w:tblW w:w="81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78"/>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5" w:hRule="atLeast"/>
        </w:trPr>
        <w:tc>
          <w:tcPr>
            <w:tcW w:w="5978" w:type="dxa"/>
            <w:noWrap w:val="0"/>
            <w:vAlign w:val="top"/>
          </w:tcPr>
          <w:p>
            <w:pPr>
              <w:pStyle w:val="10"/>
              <w:spacing w:before="3" w:line="252" w:lineRule="exact"/>
              <w:ind w:left="2781" w:right="2748"/>
              <w:jc w:val="center"/>
              <w:rPr>
                <w:color w:val="000000"/>
                <w:sz w:val="20"/>
              </w:rPr>
            </w:pPr>
            <w:r>
              <w:rPr>
                <w:color w:val="000000"/>
                <w:sz w:val="20"/>
              </w:rPr>
              <w:t>项目</w:t>
            </w:r>
          </w:p>
        </w:tc>
        <w:tc>
          <w:tcPr>
            <w:tcW w:w="1065" w:type="dxa"/>
            <w:noWrap w:val="0"/>
            <w:vAlign w:val="top"/>
          </w:tcPr>
          <w:p>
            <w:pPr>
              <w:pStyle w:val="10"/>
              <w:spacing w:before="3" w:line="252" w:lineRule="exact"/>
              <w:ind w:left="137"/>
              <w:rPr>
                <w:color w:val="000000"/>
                <w:sz w:val="20"/>
              </w:rPr>
            </w:pPr>
            <w:r>
              <w:rPr>
                <w:color w:val="000000"/>
                <w:sz w:val="20"/>
              </w:rPr>
              <w:t>本期金额</w:t>
            </w:r>
          </w:p>
        </w:tc>
        <w:tc>
          <w:tcPr>
            <w:tcW w:w="1065" w:type="dxa"/>
            <w:noWrap w:val="0"/>
            <w:vAlign w:val="top"/>
          </w:tcPr>
          <w:p>
            <w:pPr>
              <w:pStyle w:val="10"/>
              <w:spacing w:before="3" w:line="252" w:lineRule="exact"/>
              <w:ind w:left="137"/>
              <w:rPr>
                <w:color w:val="000000"/>
                <w:sz w:val="20"/>
              </w:rPr>
            </w:pPr>
            <w:r>
              <w:rPr>
                <w:color w:val="000000"/>
                <w:sz w:val="20"/>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122"/>
              <w:rPr>
                <w:color w:val="000000"/>
                <w:sz w:val="20"/>
              </w:rPr>
            </w:pPr>
            <w:r>
              <w:rPr>
                <w:color w:val="000000"/>
                <w:sz w:val="20"/>
              </w:rPr>
              <w:t>一、营业收入</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321"/>
              <w:rPr>
                <w:color w:val="000000"/>
                <w:sz w:val="20"/>
              </w:rPr>
            </w:pPr>
            <w:r>
              <w:rPr>
                <w:color w:val="000000"/>
                <w:sz w:val="20"/>
              </w:rPr>
              <w:t>减：营业成本</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20" w:line="253" w:lineRule="exact"/>
              <w:ind w:left="715"/>
              <w:rPr>
                <w:color w:val="000000"/>
                <w:sz w:val="20"/>
              </w:rPr>
            </w:pPr>
            <w:r>
              <w:rPr>
                <w:color w:val="000000"/>
                <w:sz w:val="20"/>
              </w:rPr>
              <w:t>税金及附加</w:t>
            </w:r>
          </w:p>
        </w:tc>
        <w:tc>
          <w:tcPr>
            <w:tcW w:w="1065" w:type="dxa"/>
            <w:noWrap w:val="0"/>
            <w:vAlign w:val="top"/>
          </w:tcPr>
          <w:p>
            <w:pPr>
              <w:pStyle w:val="10"/>
              <w:rPr>
                <w:rFonts w:ascii="Times New Roman"/>
                <w:color w:val="000000"/>
              </w:rPr>
            </w:pPr>
          </w:p>
        </w:tc>
        <w:tc>
          <w:tcPr>
            <w:tcW w:w="1065"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715"/>
              <w:rPr>
                <w:color w:val="000000"/>
                <w:sz w:val="20"/>
              </w:rPr>
            </w:pPr>
            <w:r>
              <w:rPr>
                <w:color w:val="000000"/>
                <w:sz w:val="20"/>
              </w:rPr>
              <w:t>销售费用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7" w:line="254" w:lineRule="exact"/>
              <w:ind w:left="715"/>
              <w:rPr>
                <w:color w:val="000000"/>
                <w:sz w:val="20"/>
              </w:rPr>
            </w:pPr>
            <w:r>
              <w:rPr>
                <w:color w:val="000000"/>
                <w:sz w:val="20"/>
              </w:rPr>
              <w:t>管理费用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715"/>
              <w:rPr>
                <w:color w:val="000000"/>
                <w:sz w:val="20"/>
              </w:rPr>
            </w:pPr>
            <w:r>
              <w:rPr>
                <w:color w:val="000000"/>
                <w:sz w:val="20"/>
              </w:rPr>
              <w:t>研发费用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trPr>
        <w:tc>
          <w:tcPr>
            <w:tcW w:w="5978" w:type="dxa"/>
            <w:noWrap w:val="0"/>
            <w:vAlign w:val="top"/>
          </w:tcPr>
          <w:p>
            <w:pPr>
              <w:pStyle w:val="10"/>
              <w:spacing w:before="20" w:line="254" w:lineRule="exact"/>
              <w:ind w:left="715"/>
              <w:rPr>
                <w:color w:val="000000"/>
                <w:sz w:val="20"/>
              </w:rPr>
            </w:pPr>
            <w:r>
              <w:rPr>
                <w:color w:val="000000"/>
                <w:sz w:val="20"/>
              </w:rPr>
              <w:t>财务费用</w:t>
            </w:r>
          </w:p>
        </w:tc>
        <w:tc>
          <w:tcPr>
            <w:tcW w:w="1065" w:type="dxa"/>
            <w:noWrap w:val="0"/>
            <w:vAlign w:val="top"/>
          </w:tcPr>
          <w:p>
            <w:pPr>
              <w:pStyle w:val="10"/>
              <w:rPr>
                <w:rFonts w:ascii="Times New Roman"/>
                <w:color w:val="000000"/>
              </w:rPr>
            </w:pPr>
          </w:p>
        </w:tc>
        <w:tc>
          <w:tcPr>
            <w:tcW w:w="1065"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1" w:hRule="atLeast"/>
        </w:trPr>
        <w:tc>
          <w:tcPr>
            <w:tcW w:w="5978" w:type="dxa"/>
            <w:noWrap w:val="0"/>
            <w:vAlign w:val="top"/>
          </w:tcPr>
          <w:p>
            <w:pPr>
              <w:pStyle w:val="10"/>
              <w:spacing w:before="18" w:line="253" w:lineRule="exact"/>
              <w:ind w:left="921"/>
              <w:rPr>
                <w:color w:val="000000"/>
                <w:sz w:val="20"/>
              </w:rPr>
            </w:pPr>
            <w:r>
              <w:rPr>
                <w:color w:val="000000"/>
                <w:sz w:val="20"/>
              </w:rPr>
              <w:t>其中：利息费用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1521"/>
              <w:rPr>
                <w:color w:val="000000"/>
                <w:sz w:val="20"/>
              </w:rPr>
            </w:pPr>
            <w:r>
              <w:rPr>
                <w:color w:val="000000"/>
                <w:sz w:val="20"/>
              </w:rPr>
              <w:t>利息收入</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321"/>
              <w:rPr>
                <w:color w:val="000000"/>
                <w:sz w:val="20"/>
              </w:rPr>
            </w:pPr>
            <w:r>
              <w:rPr>
                <w:color w:val="000000"/>
                <w:sz w:val="20"/>
              </w:rPr>
              <w:t>加：其他收益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19" w:line="254" w:lineRule="exact"/>
              <w:ind w:left="715"/>
              <w:rPr>
                <w:color w:val="000000"/>
                <w:sz w:val="20"/>
              </w:rPr>
            </w:pPr>
            <w:r>
              <w:rPr>
                <w:color w:val="000000"/>
                <w:sz w:val="20"/>
              </w:rPr>
              <w:t>投资收益（损失以“-”号填列）</w:t>
            </w:r>
          </w:p>
        </w:tc>
        <w:tc>
          <w:tcPr>
            <w:tcW w:w="1065" w:type="dxa"/>
            <w:noWrap w:val="0"/>
            <w:vAlign w:val="top"/>
          </w:tcPr>
          <w:p>
            <w:pPr>
              <w:pStyle w:val="10"/>
              <w:rPr>
                <w:rFonts w:ascii="Times New Roman"/>
                <w:color w:val="000000"/>
              </w:rPr>
            </w:pPr>
          </w:p>
        </w:tc>
        <w:tc>
          <w:tcPr>
            <w:tcW w:w="1065"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921"/>
              <w:rPr>
                <w:color w:val="000000"/>
                <w:sz w:val="20"/>
              </w:rPr>
            </w:pPr>
            <w:r>
              <w:rPr>
                <w:color w:val="000000"/>
                <w:sz w:val="20"/>
              </w:rPr>
              <w:t>其中：对联营企业和合营企业的投资收益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1516" w:right="-44"/>
              <w:rPr>
                <w:color w:val="000000"/>
                <w:sz w:val="20"/>
              </w:rPr>
            </w:pPr>
            <w:r>
              <w:rPr>
                <w:rFonts w:hint="eastAsia"/>
                <w:color w:val="000000"/>
                <w:sz w:val="20"/>
              </w:rPr>
              <w:t>以摊余成本计量的金融资产终止确认收益（损失以“</w:t>
            </w:r>
            <w:r>
              <w:rPr>
                <w:color w:val="000000"/>
                <w:sz w:val="20"/>
              </w:rPr>
              <w:t>-”号填列）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18" w:line="255" w:lineRule="exact"/>
              <w:ind w:left="715"/>
              <w:rPr>
                <w:color w:val="000000"/>
                <w:sz w:val="20"/>
              </w:rPr>
            </w:pPr>
            <w:r>
              <w:rPr>
                <w:color w:val="000000"/>
                <w:sz w:val="20"/>
              </w:rPr>
              <w:t>净敞口套期收益（损失以“-”号填列）</w:t>
            </w:r>
          </w:p>
        </w:tc>
        <w:tc>
          <w:tcPr>
            <w:tcW w:w="1065" w:type="dxa"/>
            <w:noWrap w:val="0"/>
            <w:vAlign w:val="top"/>
          </w:tcPr>
          <w:p>
            <w:pPr>
              <w:pStyle w:val="10"/>
              <w:rPr>
                <w:rFonts w:ascii="Times New Roman"/>
                <w:color w:val="000000"/>
              </w:rPr>
            </w:pPr>
          </w:p>
        </w:tc>
        <w:tc>
          <w:tcPr>
            <w:tcW w:w="1065"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715"/>
              <w:rPr>
                <w:color w:val="000000"/>
                <w:sz w:val="20"/>
              </w:rPr>
            </w:pPr>
            <w:r>
              <w:rPr>
                <w:color w:val="000000"/>
                <w:sz w:val="20"/>
              </w:rPr>
              <w:t>公允价值变动收益（损失以“-”号填列）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8" w:line="253" w:lineRule="exact"/>
              <w:ind w:left="715"/>
              <w:rPr>
                <w:color w:val="000000"/>
                <w:sz w:val="20"/>
              </w:rPr>
            </w:pPr>
            <w:r>
              <w:rPr>
                <w:color w:val="000000"/>
                <w:sz w:val="20"/>
              </w:rPr>
              <w:t>信用减值损失（损失以“-”号填列）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715"/>
              <w:rPr>
                <w:color w:val="000000"/>
                <w:sz w:val="20"/>
              </w:rPr>
            </w:pPr>
            <w:r>
              <w:rPr>
                <w:color w:val="000000"/>
                <w:sz w:val="20"/>
              </w:rPr>
              <w:t>资产减值损失（损失以“-”号填列）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19" w:line="254" w:lineRule="exact"/>
              <w:ind w:left="715"/>
              <w:rPr>
                <w:color w:val="000000"/>
                <w:sz w:val="20"/>
              </w:rPr>
            </w:pPr>
            <w:r>
              <w:rPr>
                <w:color w:val="000000"/>
                <w:sz w:val="20"/>
              </w:rPr>
              <w:t>资产处置收益（损失以“-”号填列）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122"/>
              <w:rPr>
                <w:color w:val="000000"/>
                <w:sz w:val="20"/>
              </w:rPr>
            </w:pPr>
            <w:r>
              <w:rPr>
                <w:color w:val="000000"/>
                <w:sz w:val="20"/>
              </w:rPr>
              <w:t>二、营业利润（亏损以“-”号填列）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321"/>
              <w:rPr>
                <w:color w:val="000000"/>
                <w:sz w:val="20"/>
              </w:rPr>
            </w:pPr>
            <w:r>
              <w:rPr>
                <w:color w:val="000000"/>
                <w:sz w:val="20"/>
              </w:rPr>
              <w:t>加：营业外收入</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321"/>
              <w:rPr>
                <w:color w:val="000000"/>
                <w:sz w:val="20"/>
              </w:rPr>
            </w:pPr>
            <w:r>
              <w:rPr>
                <w:color w:val="000000"/>
                <w:sz w:val="20"/>
              </w:rPr>
              <w:t>减：营业外支出</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20" w:line="253" w:lineRule="exact"/>
              <w:ind w:left="122"/>
              <w:rPr>
                <w:color w:val="000000"/>
                <w:sz w:val="20"/>
              </w:rPr>
            </w:pPr>
            <w:r>
              <w:rPr>
                <w:color w:val="000000"/>
                <w:sz w:val="20"/>
              </w:rPr>
              <w:t>三、利润总额（亏损总额以“-”号填列）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321"/>
              <w:rPr>
                <w:color w:val="000000"/>
                <w:sz w:val="20"/>
              </w:rPr>
            </w:pPr>
            <w:r>
              <w:rPr>
                <w:color w:val="000000"/>
                <w:sz w:val="20"/>
              </w:rPr>
              <w:t>减：所得税费用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7" w:line="254" w:lineRule="exact"/>
              <w:ind w:left="122"/>
              <w:rPr>
                <w:color w:val="000000"/>
                <w:sz w:val="20"/>
              </w:rPr>
            </w:pPr>
            <w:r>
              <w:rPr>
                <w:color w:val="000000"/>
                <w:sz w:val="20"/>
              </w:rPr>
              <w:t>四、净利润（净亏损以“-”号填列）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right="1341"/>
              <w:jc w:val="right"/>
              <w:rPr>
                <w:color w:val="000000"/>
                <w:sz w:val="20"/>
              </w:rPr>
            </w:pPr>
            <w:r>
              <w:rPr>
                <w:color w:val="000000"/>
                <w:w w:val="95"/>
                <w:sz w:val="20"/>
              </w:rPr>
              <w:t>（一）持续经营净利润（净亏损以“-”号填列）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trPr>
        <w:tc>
          <w:tcPr>
            <w:tcW w:w="5978" w:type="dxa"/>
            <w:noWrap w:val="0"/>
            <w:vAlign w:val="top"/>
          </w:tcPr>
          <w:p>
            <w:pPr>
              <w:pStyle w:val="10"/>
              <w:spacing w:before="20" w:line="254" w:lineRule="exact"/>
              <w:ind w:right="1341"/>
              <w:jc w:val="right"/>
              <w:rPr>
                <w:color w:val="000000"/>
                <w:sz w:val="20"/>
              </w:rPr>
            </w:pPr>
            <w:r>
              <w:rPr>
                <w:color w:val="000000"/>
                <w:w w:val="95"/>
                <w:sz w:val="20"/>
              </w:rPr>
              <w:t>（二）终止经营净利润（净亏损以“-”号填列）</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8" w:line="253" w:lineRule="exact"/>
              <w:ind w:left="122"/>
              <w:rPr>
                <w:color w:val="000000"/>
                <w:sz w:val="20"/>
              </w:rPr>
            </w:pPr>
            <w:r>
              <w:rPr>
                <w:color w:val="000000"/>
                <w:sz w:val="20"/>
              </w:rPr>
              <w:t>五、其他综合收益的税后净额</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388"/>
              <w:rPr>
                <w:color w:val="000000"/>
                <w:sz w:val="20"/>
              </w:rPr>
            </w:pPr>
            <w:r>
              <w:rPr>
                <w:color w:val="000000"/>
                <w:sz w:val="20"/>
              </w:rPr>
              <w:t>（一）不能重分类进损益的其他综合收益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787"/>
              <w:rPr>
                <w:color w:val="000000"/>
                <w:sz w:val="20"/>
              </w:rPr>
            </w:pPr>
            <w:r>
              <w:rPr>
                <w:color w:val="000000"/>
                <w:sz w:val="20"/>
              </w:rPr>
              <w:t>1．重新计量设定受益计划变动额</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19" w:line="254" w:lineRule="exact"/>
              <w:ind w:left="787"/>
              <w:rPr>
                <w:color w:val="000000"/>
                <w:sz w:val="20"/>
              </w:rPr>
            </w:pPr>
            <w:r>
              <w:rPr>
                <w:color w:val="000000"/>
                <w:sz w:val="20"/>
              </w:rPr>
              <w:t>2．权益法下不能转损益的其他综合收益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787"/>
              <w:rPr>
                <w:color w:val="000000"/>
                <w:sz w:val="20"/>
              </w:rPr>
            </w:pPr>
            <w:r>
              <w:rPr>
                <w:color w:val="000000"/>
                <w:sz w:val="20"/>
              </w:rPr>
              <w:t>3．其他权益工具投资公允价值变动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787"/>
              <w:rPr>
                <w:color w:val="000000"/>
                <w:sz w:val="20"/>
              </w:rPr>
            </w:pPr>
            <w:r>
              <w:rPr>
                <w:color w:val="000000"/>
                <w:sz w:val="20"/>
              </w:rPr>
              <w:t>4．企业自身信用风险公允价值变动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8" w:line="253" w:lineRule="exact"/>
              <w:ind w:left="787"/>
              <w:rPr>
                <w:color w:val="000000"/>
                <w:sz w:val="20"/>
              </w:rPr>
            </w:pPr>
            <w:r>
              <w:rPr>
                <w:color w:val="000000"/>
                <w:sz w:val="20"/>
              </w:rPr>
              <w:t>……</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trPr>
        <w:tc>
          <w:tcPr>
            <w:tcW w:w="5978" w:type="dxa"/>
            <w:noWrap w:val="0"/>
            <w:vAlign w:val="top"/>
          </w:tcPr>
          <w:p>
            <w:pPr>
              <w:pStyle w:val="10"/>
              <w:spacing w:before="21" w:line="253" w:lineRule="exact"/>
              <w:ind w:left="388"/>
              <w:rPr>
                <w:color w:val="000000"/>
                <w:sz w:val="20"/>
              </w:rPr>
            </w:pPr>
            <w:r>
              <w:rPr>
                <w:color w:val="000000"/>
                <w:sz w:val="20"/>
              </w:rPr>
              <w:t>（二）将重分类进损益的其他综合收益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7" w:line="254" w:lineRule="exact"/>
              <w:ind w:left="787"/>
              <w:rPr>
                <w:color w:val="000000"/>
                <w:sz w:val="20"/>
              </w:rPr>
            </w:pPr>
            <w:r>
              <w:rPr>
                <w:color w:val="000000"/>
                <w:sz w:val="20"/>
              </w:rPr>
              <w:t>1．权益法下可转损益的其他综合收益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787"/>
              <w:rPr>
                <w:color w:val="000000"/>
                <w:sz w:val="20"/>
              </w:rPr>
            </w:pPr>
            <w:r>
              <w:rPr>
                <w:color w:val="000000"/>
                <w:sz w:val="20"/>
              </w:rPr>
              <w:t>2．其他债权投资公允价值变动</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right="1335"/>
              <w:jc w:val="right"/>
              <w:rPr>
                <w:color w:val="000000"/>
                <w:sz w:val="20"/>
              </w:rPr>
            </w:pPr>
            <w:r>
              <w:rPr>
                <w:color w:val="000000"/>
                <w:w w:val="95"/>
                <w:sz w:val="20"/>
              </w:rPr>
              <w:t>3．金融资产重分类计入其他综合收益的金额</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trPr>
        <w:tc>
          <w:tcPr>
            <w:tcW w:w="5978" w:type="dxa"/>
            <w:noWrap w:val="0"/>
            <w:vAlign w:val="top"/>
          </w:tcPr>
          <w:p>
            <w:pPr>
              <w:pStyle w:val="10"/>
              <w:spacing w:before="20" w:line="254" w:lineRule="exact"/>
              <w:ind w:left="787"/>
              <w:rPr>
                <w:color w:val="000000"/>
                <w:sz w:val="20"/>
              </w:rPr>
            </w:pPr>
            <w:r>
              <w:rPr>
                <w:color w:val="000000"/>
                <w:sz w:val="20"/>
              </w:rPr>
              <w:t>4．其他债权投资信用减值准备</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5978" w:type="dxa"/>
            <w:noWrap w:val="0"/>
            <w:vAlign w:val="top"/>
          </w:tcPr>
          <w:p>
            <w:pPr>
              <w:pStyle w:val="10"/>
              <w:spacing w:before="18" w:line="253" w:lineRule="exact"/>
              <w:ind w:left="787"/>
              <w:rPr>
                <w:color w:val="000000"/>
                <w:sz w:val="20"/>
              </w:rPr>
            </w:pPr>
            <w:r>
              <w:rPr>
                <w:color w:val="000000"/>
                <w:sz w:val="20"/>
              </w:rPr>
              <w:t>5．现金流量套期储备</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9" w:line="253" w:lineRule="exact"/>
              <w:ind w:left="787"/>
              <w:rPr>
                <w:color w:val="000000"/>
                <w:sz w:val="20"/>
              </w:rPr>
            </w:pPr>
            <w:r>
              <w:rPr>
                <w:color w:val="000000"/>
                <w:sz w:val="20"/>
              </w:rPr>
              <w:t>6．外币财务报表折算差额</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1" w:hRule="atLeast"/>
        </w:trPr>
        <w:tc>
          <w:tcPr>
            <w:tcW w:w="5978" w:type="dxa"/>
            <w:noWrap w:val="0"/>
            <w:vAlign w:val="top"/>
          </w:tcPr>
          <w:p>
            <w:pPr>
              <w:pStyle w:val="10"/>
              <w:spacing w:before="17" w:line="254" w:lineRule="exact"/>
              <w:ind w:left="787"/>
              <w:rPr>
                <w:color w:val="000000"/>
                <w:sz w:val="20"/>
              </w:rPr>
            </w:pPr>
            <w:r>
              <w:rPr>
                <w:color w:val="000000"/>
                <w:sz w:val="20"/>
              </w:rPr>
              <w:t>……</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trPr>
        <w:tc>
          <w:tcPr>
            <w:tcW w:w="5978" w:type="dxa"/>
            <w:noWrap w:val="0"/>
            <w:vAlign w:val="top"/>
          </w:tcPr>
          <w:p>
            <w:pPr>
              <w:pStyle w:val="10"/>
              <w:spacing w:before="20" w:line="254" w:lineRule="exact"/>
              <w:ind w:left="122"/>
              <w:rPr>
                <w:color w:val="000000"/>
                <w:sz w:val="20"/>
              </w:rPr>
            </w:pPr>
            <w:r>
              <w:rPr>
                <w:color w:val="000000"/>
                <w:sz w:val="20"/>
              </w:rPr>
              <w:t>六、综合收益总额</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122"/>
              <w:rPr>
                <w:color w:val="000000"/>
                <w:sz w:val="20"/>
              </w:rPr>
            </w:pPr>
            <w:r>
              <w:rPr>
                <w:color w:val="000000"/>
                <w:sz w:val="20"/>
              </w:rPr>
              <w:t>七、每股收益：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5978" w:type="dxa"/>
            <w:noWrap w:val="0"/>
            <w:vAlign w:val="top"/>
          </w:tcPr>
          <w:p>
            <w:pPr>
              <w:pStyle w:val="10"/>
              <w:spacing w:before="18" w:line="254" w:lineRule="exact"/>
              <w:ind w:left="388"/>
              <w:rPr>
                <w:color w:val="000000"/>
                <w:sz w:val="20"/>
              </w:rPr>
            </w:pPr>
            <w:r>
              <w:rPr>
                <w:color w:val="000000"/>
                <w:sz w:val="20"/>
              </w:rPr>
              <w:t>（一）基本每股收益</w:t>
            </w:r>
          </w:p>
        </w:tc>
        <w:tc>
          <w:tcPr>
            <w:tcW w:w="1065" w:type="dxa"/>
            <w:noWrap w:val="0"/>
            <w:vAlign w:val="top"/>
          </w:tcPr>
          <w:p>
            <w:pPr>
              <w:pStyle w:val="10"/>
              <w:rPr>
                <w:rFonts w:ascii="Times New Roman"/>
                <w:color w:val="000000"/>
                <w:sz w:val="20"/>
              </w:rPr>
            </w:pPr>
          </w:p>
        </w:tc>
        <w:tc>
          <w:tcPr>
            <w:tcW w:w="1065"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5978" w:type="dxa"/>
            <w:noWrap w:val="0"/>
            <w:vAlign w:val="top"/>
          </w:tcPr>
          <w:p>
            <w:pPr>
              <w:pStyle w:val="10"/>
              <w:spacing w:before="18" w:line="255" w:lineRule="exact"/>
              <w:ind w:left="388"/>
              <w:rPr>
                <w:color w:val="000000"/>
                <w:sz w:val="20"/>
              </w:rPr>
            </w:pPr>
            <w:r>
              <w:rPr>
                <w:color w:val="000000"/>
                <w:sz w:val="20"/>
              </w:rPr>
              <w:t>（二）稀释每股收益</w:t>
            </w:r>
          </w:p>
        </w:tc>
        <w:tc>
          <w:tcPr>
            <w:tcW w:w="1065" w:type="dxa"/>
            <w:noWrap w:val="0"/>
            <w:vAlign w:val="top"/>
          </w:tcPr>
          <w:p>
            <w:pPr>
              <w:widowControl w:val="0"/>
              <w:autoSpaceDE w:val="0"/>
              <w:autoSpaceDN w:val="0"/>
              <w:rPr>
                <w:color w:val="000000"/>
                <w:szCs w:val="22"/>
              </w:rPr>
            </w:pPr>
          </w:p>
        </w:tc>
        <w:tc>
          <w:tcPr>
            <w:tcW w:w="1065" w:type="dxa"/>
            <w:noWrap w:val="0"/>
            <w:vAlign w:val="top"/>
          </w:tcPr>
          <w:p>
            <w:pPr>
              <w:widowControl w:val="0"/>
              <w:autoSpaceDE w:val="0"/>
              <w:autoSpaceDN w:val="0"/>
              <w:rPr>
                <w:color w:val="000000"/>
                <w:szCs w:val="22"/>
              </w:rPr>
            </w:pPr>
          </w:p>
        </w:tc>
      </w:tr>
    </w:tbl>
    <w:p>
      <w:pPr>
        <w:pStyle w:val="6"/>
        <w:ind w:firstLine="422"/>
        <w:rPr>
          <w:rFonts w:hint="eastAsia"/>
          <w:color w:val="000000"/>
        </w:rPr>
      </w:pPr>
    </w:p>
    <w:p>
      <w:pPr>
        <w:pStyle w:val="6"/>
        <w:ind w:firstLine="422"/>
        <w:rPr>
          <w:rFonts w:eastAsia="宋体"/>
          <w:color w:val="000000"/>
        </w:rPr>
      </w:pPr>
      <w:r>
        <w:rPr>
          <w:rFonts w:hint="eastAsia"/>
          <w:color w:val="000000"/>
        </w:rPr>
        <w:t>【表单说明】</w:t>
      </w:r>
    </w:p>
    <w:p>
      <w:pPr>
        <w:pStyle w:val="11"/>
        <w:tabs>
          <w:tab w:val="left" w:pos="1623"/>
        </w:tabs>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1.“研发费用”项目，反映企业进行研究与开发过程中发 </w:t>
      </w:r>
      <w:r>
        <w:rPr>
          <w:rFonts w:hint="eastAsia" w:ascii="宋体" w:hAnsi="宋体" w:eastAsia="宋体" w:cs="宋体"/>
          <w:color w:val="000000"/>
          <w:spacing w:val="-12"/>
          <w:sz w:val="21"/>
          <w:szCs w:val="21"/>
        </w:rPr>
        <w:t>生的费用化支出，以及计入管理费用的自行开发无形资产的摊销。</w:t>
      </w:r>
      <w:r>
        <w:rPr>
          <w:rFonts w:hint="eastAsia" w:ascii="宋体" w:hAnsi="宋体" w:eastAsia="宋体" w:cs="宋体"/>
          <w:color w:val="000000"/>
          <w:spacing w:val="-11"/>
          <w:sz w:val="21"/>
          <w:szCs w:val="21"/>
        </w:rPr>
        <w:t xml:space="preserve">该项目应根据“管理费用”科目下的“研究费用”明细科目的发 生额，以及“管理费用”科目下的“无形资产摊销”明细科目的 </w:t>
      </w:r>
      <w:r>
        <w:rPr>
          <w:rFonts w:hint="eastAsia" w:ascii="宋体" w:hAnsi="宋体" w:eastAsia="宋体" w:cs="宋体"/>
          <w:color w:val="000000"/>
          <w:spacing w:val="-4"/>
          <w:sz w:val="21"/>
          <w:szCs w:val="21"/>
        </w:rPr>
        <w:t>发生额分析填列。</w:t>
      </w:r>
    </w:p>
    <w:p>
      <w:pPr>
        <w:pStyle w:val="11"/>
        <w:tabs>
          <w:tab w:val="left" w:pos="1618"/>
        </w:tabs>
        <w:ind w:firstLine="388"/>
        <w:rPr>
          <w:rFonts w:hint="eastAsia" w:ascii="宋体" w:hAnsi="宋体" w:eastAsia="宋体" w:cs="宋体"/>
          <w:color w:val="000000"/>
          <w:sz w:val="21"/>
          <w:szCs w:val="21"/>
        </w:rPr>
      </w:pPr>
      <w:r>
        <w:rPr>
          <w:rFonts w:hint="eastAsia" w:ascii="宋体" w:hAnsi="宋体" w:eastAsia="宋体" w:cs="宋体"/>
          <w:color w:val="000000"/>
          <w:spacing w:val="-8"/>
          <w:sz w:val="21"/>
          <w:szCs w:val="21"/>
        </w:rPr>
        <w:t>2.“财务费用”项目下的“利息费用”项目，反映企业为筹集生产经营所需资金等而发生的应予费用化的利息支出。该项</w:t>
      </w:r>
      <w:r>
        <w:rPr>
          <w:rFonts w:hint="eastAsia" w:ascii="宋体" w:hAnsi="宋体" w:eastAsia="宋体" w:cs="宋体"/>
          <w:color w:val="000000"/>
          <w:spacing w:val="-11"/>
          <w:sz w:val="21"/>
          <w:szCs w:val="21"/>
        </w:rPr>
        <w:t>目应根据“财务费用”科目的相关明细科目的发生额分析填列。</w:t>
      </w:r>
      <w:r>
        <w:rPr>
          <w:rFonts w:hint="eastAsia" w:ascii="宋体" w:hAnsi="宋体" w:eastAsia="宋体" w:cs="宋体"/>
          <w:color w:val="000000"/>
          <w:spacing w:val="-4"/>
          <w:sz w:val="21"/>
          <w:szCs w:val="21"/>
        </w:rPr>
        <w:t>该项目作为“财务费用”项目的其中项，以正数填列。</w:t>
      </w:r>
    </w:p>
    <w:p>
      <w:pPr>
        <w:pStyle w:val="11"/>
        <w:tabs>
          <w:tab w:val="left" w:pos="1618"/>
        </w:tabs>
        <w:ind w:firstLine="388"/>
        <w:rPr>
          <w:rFonts w:hint="eastAsia" w:ascii="宋体" w:hAnsi="宋体" w:eastAsia="宋体" w:cs="宋体"/>
          <w:color w:val="000000"/>
          <w:sz w:val="21"/>
          <w:szCs w:val="21"/>
        </w:rPr>
      </w:pPr>
      <w:r>
        <w:rPr>
          <w:rFonts w:hint="eastAsia" w:ascii="宋体" w:hAnsi="宋体" w:eastAsia="宋体" w:cs="宋体"/>
          <w:color w:val="000000"/>
          <w:spacing w:val="-8"/>
          <w:sz w:val="21"/>
          <w:szCs w:val="21"/>
        </w:rPr>
        <w:t>3.“财务费用”项目下的“利息收入”项目，反映企业按照相关会计准则确认的应冲减财务费用的利息收入。该项目应根据 “财务费用”科目的相关明细科目的发生额分析填列。该项</w:t>
      </w:r>
      <w:r>
        <w:rPr>
          <w:rFonts w:hint="eastAsia" w:ascii="宋体" w:hAnsi="宋体" w:eastAsia="宋体" w:cs="宋体"/>
          <w:color w:val="000000"/>
          <w:spacing w:val="-1"/>
          <w:sz w:val="21"/>
          <w:szCs w:val="21"/>
        </w:rPr>
        <w:t>目作为“财务费用”项目的其中项，以正数填列。</w:t>
      </w:r>
    </w:p>
    <w:p>
      <w:pPr>
        <w:pStyle w:val="11"/>
        <w:tabs>
          <w:tab w:val="left" w:pos="1618"/>
        </w:tabs>
        <w:ind w:firstLine="384"/>
        <w:rPr>
          <w:rFonts w:hint="eastAsia" w:ascii="宋体" w:hAnsi="宋体" w:eastAsia="宋体" w:cs="宋体"/>
          <w:color w:val="000000"/>
          <w:sz w:val="21"/>
          <w:szCs w:val="21"/>
        </w:rPr>
      </w:pPr>
      <w:r>
        <w:rPr>
          <w:rFonts w:hint="eastAsia" w:ascii="宋体" w:hAnsi="宋体" w:eastAsia="宋体" w:cs="宋体"/>
          <w:color w:val="000000"/>
          <w:spacing w:val="-9"/>
          <w:sz w:val="21"/>
          <w:szCs w:val="21"/>
        </w:rPr>
        <w:t>4.“其他收益”项目，反映计入其他收益的政府补助，以</w:t>
      </w:r>
      <w:r>
        <w:rPr>
          <w:rFonts w:hint="eastAsia" w:ascii="宋体" w:hAnsi="宋体" w:eastAsia="宋体" w:cs="宋体"/>
          <w:color w:val="000000"/>
          <w:spacing w:val="-8"/>
          <w:sz w:val="21"/>
          <w:szCs w:val="21"/>
        </w:rPr>
        <w:t xml:space="preserve">及其他与日常活动相关且计入其他收益的项目。该项目应根据“ </w:t>
      </w:r>
      <w:r>
        <w:rPr>
          <w:rFonts w:hint="eastAsia" w:ascii="宋体" w:hAnsi="宋体" w:eastAsia="宋体" w:cs="宋体"/>
          <w:color w:val="000000"/>
          <w:spacing w:val="-11"/>
          <w:sz w:val="21"/>
          <w:szCs w:val="21"/>
        </w:rPr>
        <w:t>其他收益”科目的发生额分析填列。企业作为个人所得税的扣缴义务人，根据《中华人民共和国个人所得税法》收到的扣缴税款</w:t>
      </w:r>
      <w:r>
        <w:rPr>
          <w:rFonts w:hint="eastAsia" w:ascii="宋体" w:hAnsi="宋体" w:eastAsia="宋体" w:cs="宋体"/>
          <w:color w:val="000000"/>
          <w:spacing w:val="-4"/>
          <w:sz w:val="21"/>
          <w:szCs w:val="21"/>
        </w:rPr>
        <w:t>手续费，应作为其他与日常活动相关的收益在该项目中填列。</w:t>
      </w:r>
    </w:p>
    <w:p>
      <w:pPr>
        <w:pStyle w:val="11"/>
        <w:tabs>
          <w:tab w:val="left" w:pos="1623"/>
        </w:tabs>
        <w:ind w:firstLine="416"/>
        <w:rPr>
          <w:rFonts w:hint="eastAsia" w:ascii="宋体" w:hAnsi="宋体" w:eastAsia="宋体" w:cs="宋体"/>
          <w:color w:val="000000"/>
          <w:sz w:val="21"/>
          <w:szCs w:val="21"/>
        </w:rPr>
      </w:pPr>
      <w:r>
        <w:rPr>
          <w:rFonts w:hint="eastAsia" w:ascii="宋体" w:hAnsi="宋体" w:eastAsia="宋体" w:cs="宋体"/>
          <w:color w:val="000000"/>
          <w:spacing w:val="-1"/>
          <w:sz w:val="21"/>
          <w:szCs w:val="21"/>
        </w:rPr>
        <w:t>5.“以摊余成本计量的金融资产终止确认收益”项目，反</w:t>
      </w:r>
      <w:r>
        <w:rPr>
          <w:rFonts w:hint="eastAsia" w:ascii="宋体" w:hAnsi="宋体" w:eastAsia="宋体" w:cs="宋体"/>
          <w:color w:val="000000"/>
          <w:spacing w:val="4"/>
          <w:sz w:val="21"/>
          <w:szCs w:val="21"/>
        </w:rPr>
        <w:t>映企业因转让等情形导致终止确认以摊余成本计量的金融资产</w:t>
      </w:r>
      <w:r>
        <w:rPr>
          <w:rFonts w:hint="eastAsia" w:ascii="宋体" w:hAnsi="宋体" w:eastAsia="宋体" w:cs="宋体"/>
          <w:color w:val="000000"/>
          <w:spacing w:val="-7"/>
          <w:sz w:val="21"/>
          <w:szCs w:val="21"/>
        </w:rPr>
        <w:t>而产生的利得或损失。该项目应根据“投资收益”科目的相关明</w:t>
      </w:r>
      <w:r>
        <w:rPr>
          <w:rFonts w:hint="eastAsia" w:ascii="宋体" w:hAnsi="宋体" w:eastAsia="宋体" w:cs="宋体"/>
          <w:color w:val="000000"/>
          <w:spacing w:val="-3"/>
          <w:sz w:val="21"/>
          <w:szCs w:val="21"/>
        </w:rPr>
        <w:t>细科目的发生额分析填列；如为损失，以“-”号填列。</w:t>
      </w:r>
    </w:p>
    <w:p>
      <w:pPr>
        <w:pStyle w:val="11"/>
        <w:tabs>
          <w:tab w:val="left" w:pos="1618"/>
        </w:tabs>
        <w:ind w:firstLine="392"/>
        <w:rPr>
          <w:rFonts w:hint="eastAsia" w:ascii="宋体" w:hAnsi="宋体" w:eastAsia="宋体" w:cs="宋体"/>
          <w:color w:val="000000"/>
          <w:sz w:val="21"/>
          <w:szCs w:val="21"/>
        </w:rPr>
      </w:pPr>
      <w:r>
        <w:rPr>
          <w:rFonts w:hint="eastAsia" w:ascii="宋体" w:hAnsi="宋体" w:eastAsia="宋体" w:cs="宋体"/>
          <w:color w:val="000000"/>
          <w:spacing w:val="-7"/>
          <w:sz w:val="21"/>
          <w:szCs w:val="21"/>
        </w:rPr>
        <w:t>6.“净敞口套期收益”项目，反映净敞口套期下被套期项</w:t>
      </w:r>
      <w:r>
        <w:rPr>
          <w:rFonts w:hint="eastAsia" w:ascii="宋体" w:hAnsi="宋体" w:eastAsia="宋体" w:cs="宋体"/>
          <w:color w:val="000000"/>
          <w:spacing w:val="4"/>
          <w:sz w:val="21"/>
          <w:szCs w:val="21"/>
        </w:rPr>
        <w:t>目累计公允价值变动转入当期损益的金额或现金流量套期储备</w:t>
      </w:r>
      <w:r>
        <w:rPr>
          <w:rFonts w:hint="eastAsia" w:ascii="宋体" w:hAnsi="宋体" w:eastAsia="宋体" w:cs="宋体"/>
          <w:color w:val="000000"/>
          <w:spacing w:val="-7"/>
          <w:sz w:val="21"/>
          <w:szCs w:val="21"/>
        </w:rPr>
        <w:t>转入当期损益的金额。该项目应根据“净敞口套期损益”科目的</w:t>
      </w:r>
      <w:r>
        <w:rPr>
          <w:rFonts w:hint="eastAsia" w:ascii="宋体" w:hAnsi="宋体" w:eastAsia="宋体" w:cs="宋体"/>
          <w:color w:val="000000"/>
          <w:spacing w:val="-4"/>
          <w:sz w:val="21"/>
          <w:szCs w:val="21"/>
        </w:rPr>
        <w:t>发生额分析填列；如为套期损失，以“-”号填列。</w:t>
      </w:r>
    </w:p>
    <w:p>
      <w:pPr>
        <w:pStyle w:val="11"/>
        <w:tabs>
          <w:tab w:val="left" w:pos="1618"/>
        </w:tabs>
        <w:ind w:firstLine="388"/>
        <w:rPr>
          <w:rFonts w:hint="eastAsia" w:ascii="宋体" w:hAnsi="宋体" w:eastAsia="宋体" w:cs="宋体"/>
          <w:color w:val="000000"/>
          <w:sz w:val="21"/>
          <w:szCs w:val="21"/>
        </w:rPr>
      </w:pPr>
      <w:r>
        <w:rPr>
          <w:rFonts w:hint="eastAsia" w:ascii="宋体" w:hAnsi="宋体" w:eastAsia="宋体" w:cs="宋体"/>
          <w:color w:val="000000"/>
          <w:spacing w:val="-8"/>
          <w:sz w:val="21"/>
          <w:szCs w:val="21"/>
        </w:rPr>
        <w:t>7.“信用减值损失”项目，反映企业按照《企业会计准则第</w:t>
      </w:r>
      <w:r>
        <w:rPr>
          <w:rFonts w:hint="eastAsia" w:ascii="宋体" w:hAnsi="宋体" w:eastAsia="宋体" w:cs="宋体"/>
          <w:color w:val="000000"/>
          <w:sz w:val="21"/>
          <w:szCs w:val="21"/>
        </w:rPr>
        <w:t>22</w:t>
      </w:r>
      <w:r>
        <w:rPr>
          <w:rFonts w:hint="eastAsia" w:ascii="宋体" w:hAnsi="宋体" w:eastAsia="宋体" w:cs="宋体"/>
          <w:color w:val="000000"/>
          <w:spacing w:val="17"/>
          <w:sz w:val="21"/>
          <w:szCs w:val="21"/>
        </w:rPr>
        <w:t xml:space="preserve"> 号</w:t>
      </w:r>
      <w:r>
        <w:rPr>
          <w:rFonts w:hint="eastAsia" w:ascii="宋体" w:hAnsi="宋体" w:eastAsia="宋体" w:cs="宋体"/>
          <w:color w:val="000000"/>
          <w:sz w:val="21"/>
          <w:szCs w:val="21"/>
        </w:rPr>
        <w:t>——</w:t>
      </w:r>
      <w:r>
        <w:rPr>
          <w:rFonts w:hint="eastAsia" w:ascii="宋体" w:hAnsi="宋体" w:eastAsia="宋体" w:cs="宋体"/>
          <w:color w:val="000000"/>
          <w:spacing w:val="-17"/>
          <w:sz w:val="21"/>
          <w:szCs w:val="21"/>
        </w:rPr>
        <w:t>金融工具确认和计量》</w:t>
      </w:r>
      <w:r>
        <w:rPr>
          <w:rFonts w:hint="eastAsia" w:ascii="宋体" w:hAnsi="宋体" w:eastAsia="宋体" w:cs="宋体"/>
          <w:color w:val="000000"/>
          <w:sz w:val="21"/>
          <w:szCs w:val="21"/>
        </w:rPr>
        <w:t>（</w:t>
      </w:r>
      <w:r>
        <w:rPr>
          <w:rFonts w:hint="eastAsia" w:ascii="宋体" w:hAnsi="宋体" w:eastAsia="宋体" w:cs="宋体"/>
          <w:color w:val="000000"/>
          <w:spacing w:val="-2"/>
          <w:sz w:val="21"/>
          <w:szCs w:val="21"/>
        </w:rPr>
        <w:t>财会〔</w:t>
      </w:r>
      <w:r>
        <w:rPr>
          <w:rFonts w:hint="eastAsia" w:ascii="宋体" w:hAnsi="宋体" w:eastAsia="宋体" w:cs="宋体"/>
          <w:color w:val="000000"/>
          <w:sz w:val="21"/>
          <w:szCs w:val="21"/>
        </w:rPr>
        <w:t>2017</w:t>
      </w:r>
      <w:r>
        <w:rPr>
          <w:rFonts w:hint="eastAsia" w:ascii="宋体" w:hAnsi="宋体" w:eastAsia="宋体" w:cs="宋体"/>
          <w:color w:val="000000"/>
          <w:spacing w:val="-3"/>
          <w:sz w:val="21"/>
          <w:szCs w:val="21"/>
        </w:rPr>
        <w:t>〕</w:t>
      </w:r>
      <w:r>
        <w:rPr>
          <w:rFonts w:hint="eastAsia" w:ascii="宋体" w:hAnsi="宋体" w:eastAsia="宋体" w:cs="宋体"/>
          <w:color w:val="000000"/>
          <w:sz w:val="21"/>
          <w:szCs w:val="21"/>
        </w:rPr>
        <w:t>7</w:t>
      </w:r>
      <w:r>
        <w:rPr>
          <w:rFonts w:hint="eastAsia" w:ascii="宋体" w:hAnsi="宋体" w:eastAsia="宋体" w:cs="宋体"/>
          <w:color w:val="000000"/>
          <w:spacing w:val="-29"/>
          <w:sz w:val="21"/>
          <w:szCs w:val="21"/>
        </w:rPr>
        <w:t xml:space="preserve"> 号</w:t>
      </w:r>
      <w:r>
        <w:rPr>
          <w:rFonts w:hint="eastAsia" w:ascii="宋体" w:hAnsi="宋体" w:eastAsia="宋体" w:cs="宋体"/>
          <w:color w:val="000000"/>
          <w:spacing w:val="-6"/>
          <w:sz w:val="21"/>
          <w:szCs w:val="21"/>
        </w:rPr>
        <w:t>）</w:t>
      </w:r>
      <w:r>
        <w:rPr>
          <w:rFonts w:hint="eastAsia" w:ascii="宋体" w:hAnsi="宋体" w:eastAsia="宋体" w:cs="宋体"/>
          <w:color w:val="000000"/>
          <w:spacing w:val="-2"/>
          <w:sz w:val="21"/>
          <w:szCs w:val="21"/>
        </w:rPr>
        <w:t>的要求计</w:t>
      </w:r>
      <w:r>
        <w:rPr>
          <w:rFonts w:hint="eastAsia" w:ascii="宋体" w:hAnsi="宋体" w:eastAsia="宋体" w:cs="宋体"/>
          <w:color w:val="000000"/>
          <w:spacing w:val="-6"/>
          <w:sz w:val="21"/>
          <w:szCs w:val="21"/>
        </w:rPr>
        <w:t>提的各项金融工具信用减值准备所确认的信用损失。该项目应根</w:t>
      </w:r>
      <w:r>
        <w:rPr>
          <w:rFonts w:hint="eastAsia" w:ascii="宋体" w:hAnsi="宋体" w:eastAsia="宋体" w:cs="宋体"/>
          <w:color w:val="000000"/>
          <w:spacing w:val="-3"/>
          <w:sz w:val="21"/>
          <w:szCs w:val="21"/>
        </w:rPr>
        <w:t>据“信用减值损失”科目的发生额分析填列。</w:t>
      </w:r>
    </w:p>
    <w:p>
      <w:pPr>
        <w:pStyle w:val="11"/>
        <w:tabs>
          <w:tab w:val="left" w:pos="1618"/>
        </w:tabs>
        <w:ind w:firstLine="392"/>
        <w:rPr>
          <w:rFonts w:hint="eastAsia" w:ascii="宋体" w:hAnsi="宋体" w:eastAsia="宋体" w:cs="宋体"/>
          <w:color w:val="000000"/>
          <w:sz w:val="21"/>
          <w:szCs w:val="21"/>
        </w:rPr>
      </w:pPr>
      <w:r>
        <w:rPr>
          <w:rFonts w:hint="eastAsia" w:ascii="宋体" w:hAnsi="宋体" w:eastAsia="宋体" w:cs="宋体"/>
          <w:color w:val="000000"/>
          <w:spacing w:val="-7"/>
          <w:sz w:val="21"/>
          <w:szCs w:val="21"/>
        </w:rPr>
        <w:t xml:space="preserve">8.“资产处置收益”项目，反映企业出售划分为持有待售 </w:t>
      </w:r>
      <w:r>
        <w:rPr>
          <w:rFonts w:hint="eastAsia" w:ascii="宋体" w:hAnsi="宋体" w:eastAsia="宋体" w:cs="宋体"/>
          <w:color w:val="000000"/>
          <w:spacing w:val="-9"/>
          <w:sz w:val="21"/>
          <w:szCs w:val="21"/>
        </w:rPr>
        <w:t>的非流动资产</w:t>
      </w:r>
      <w:r>
        <w:rPr>
          <w:rFonts w:hint="eastAsia" w:ascii="宋体" w:hAnsi="宋体" w:eastAsia="宋体" w:cs="宋体"/>
          <w:color w:val="000000"/>
          <w:sz w:val="21"/>
          <w:szCs w:val="21"/>
        </w:rPr>
        <w:t>（</w:t>
      </w:r>
      <w:r>
        <w:rPr>
          <w:rFonts w:hint="eastAsia" w:ascii="宋体" w:hAnsi="宋体" w:eastAsia="宋体" w:cs="宋体"/>
          <w:color w:val="000000"/>
          <w:spacing w:val="-6"/>
          <w:sz w:val="21"/>
          <w:szCs w:val="21"/>
        </w:rPr>
        <w:t>金融工具、长期股权投资和投资性房地产除外</w:t>
      </w:r>
      <w:r>
        <w:rPr>
          <w:rFonts w:hint="eastAsia" w:ascii="宋体" w:hAnsi="宋体" w:eastAsia="宋体" w:cs="宋体"/>
          <w:color w:val="000000"/>
          <w:spacing w:val="-31"/>
          <w:sz w:val="21"/>
          <w:szCs w:val="21"/>
        </w:rPr>
        <w:t xml:space="preserve">） </w:t>
      </w:r>
      <w:r>
        <w:rPr>
          <w:rFonts w:hint="eastAsia" w:ascii="宋体" w:hAnsi="宋体" w:eastAsia="宋体" w:cs="宋体"/>
          <w:color w:val="000000"/>
          <w:spacing w:val="-8"/>
          <w:sz w:val="21"/>
          <w:szCs w:val="21"/>
        </w:rPr>
        <w:t>或处置组</w:t>
      </w:r>
      <w:r>
        <w:rPr>
          <w:rFonts w:hint="eastAsia" w:ascii="宋体" w:hAnsi="宋体" w:eastAsia="宋体" w:cs="宋体"/>
          <w:color w:val="000000"/>
          <w:sz w:val="21"/>
          <w:szCs w:val="21"/>
        </w:rPr>
        <w:t>（</w:t>
      </w:r>
      <w:r>
        <w:rPr>
          <w:rFonts w:hint="eastAsia" w:ascii="宋体" w:hAnsi="宋体" w:eastAsia="宋体" w:cs="宋体"/>
          <w:color w:val="000000"/>
          <w:spacing w:val="-2"/>
          <w:sz w:val="21"/>
          <w:szCs w:val="21"/>
        </w:rPr>
        <w:t>子公司和业务除外</w:t>
      </w:r>
      <w:r>
        <w:rPr>
          <w:rFonts w:hint="eastAsia" w:ascii="宋体" w:hAnsi="宋体" w:eastAsia="宋体" w:cs="宋体"/>
          <w:color w:val="000000"/>
          <w:spacing w:val="-31"/>
          <w:sz w:val="21"/>
          <w:szCs w:val="21"/>
        </w:rPr>
        <w:t>）</w:t>
      </w:r>
      <w:r>
        <w:rPr>
          <w:rFonts w:hint="eastAsia" w:ascii="宋体" w:hAnsi="宋体" w:eastAsia="宋体" w:cs="宋体"/>
          <w:color w:val="000000"/>
          <w:spacing w:val="-4"/>
          <w:sz w:val="21"/>
          <w:szCs w:val="21"/>
        </w:rPr>
        <w:t>时确认的处置利得或损失，以及</w:t>
      </w:r>
      <w:r>
        <w:rPr>
          <w:rFonts w:hint="eastAsia" w:ascii="宋体" w:hAnsi="宋体" w:eastAsia="宋体" w:cs="宋体"/>
          <w:color w:val="000000"/>
          <w:spacing w:val="-8"/>
          <w:sz w:val="21"/>
          <w:szCs w:val="21"/>
        </w:rPr>
        <w:t>处置未划分为持有待售的固定资产、在建工程、生产性生物资产</w:t>
      </w:r>
      <w:r>
        <w:rPr>
          <w:rFonts w:hint="eastAsia" w:ascii="宋体" w:hAnsi="宋体" w:eastAsia="宋体" w:cs="宋体"/>
          <w:color w:val="000000"/>
          <w:spacing w:val="-10"/>
          <w:sz w:val="21"/>
          <w:szCs w:val="21"/>
        </w:rPr>
        <w:t>及无形资产而产生的处置利得或损失。债务重组中因处置非流动</w:t>
      </w:r>
      <w:r>
        <w:rPr>
          <w:rFonts w:hint="eastAsia" w:ascii="宋体" w:hAnsi="宋体" w:eastAsia="宋体" w:cs="宋体"/>
          <w:color w:val="000000"/>
          <w:spacing w:val="-20"/>
          <w:sz w:val="21"/>
          <w:szCs w:val="21"/>
        </w:rPr>
        <w:t>资产</w:t>
      </w:r>
      <w:r>
        <w:rPr>
          <w:rFonts w:hint="eastAsia" w:ascii="宋体" w:hAnsi="宋体" w:eastAsia="宋体" w:cs="宋体"/>
          <w:color w:val="000000"/>
          <w:sz w:val="21"/>
          <w:szCs w:val="21"/>
        </w:rPr>
        <w:t>（</w:t>
      </w:r>
      <w:r>
        <w:rPr>
          <w:rFonts w:hint="eastAsia" w:ascii="宋体" w:hAnsi="宋体" w:eastAsia="宋体" w:cs="宋体"/>
          <w:color w:val="000000"/>
          <w:spacing w:val="-6"/>
          <w:sz w:val="21"/>
          <w:szCs w:val="21"/>
        </w:rPr>
        <w:t>金融工具、长期股权投资和投资性房地产除外</w:t>
      </w:r>
      <w:r>
        <w:rPr>
          <w:rFonts w:hint="eastAsia" w:ascii="宋体" w:hAnsi="宋体" w:eastAsia="宋体" w:cs="宋体"/>
          <w:color w:val="000000"/>
          <w:spacing w:val="-29"/>
          <w:sz w:val="21"/>
          <w:szCs w:val="21"/>
        </w:rPr>
        <w:t>）</w:t>
      </w:r>
      <w:r>
        <w:rPr>
          <w:rFonts w:hint="eastAsia" w:ascii="宋体" w:hAnsi="宋体" w:eastAsia="宋体" w:cs="宋体"/>
          <w:color w:val="000000"/>
          <w:sz w:val="21"/>
          <w:szCs w:val="21"/>
        </w:rPr>
        <w:t>产生的利</w:t>
      </w:r>
      <w:r>
        <w:rPr>
          <w:rFonts w:hint="eastAsia" w:ascii="宋体" w:hAnsi="宋体" w:eastAsia="宋体" w:cs="宋体"/>
          <w:color w:val="000000"/>
          <w:spacing w:val="-4"/>
          <w:sz w:val="21"/>
          <w:szCs w:val="21"/>
        </w:rPr>
        <w:t>得或损失和非货币性资产交换中换出非流动资产</w:t>
      </w:r>
      <w:r>
        <w:rPr>
          <w:rFonts w:hint="eastAsia" w:ascii="宋体" w:hAnsi="宋体" w:eastAsia="宋体" w:cs="宋体"/>
          <w:color w:val="000000"/>
          <w:sz w:val="21"/>
          <w:szCs w:val="21"/>
        </w:rPr>
        <w:t>（</w:t>
      </w:r>
      <w:r>
        <w:rPr>
          <w:rFonts w:hint="eastAsia" w:ascii="宋体" w:hAnsi="宋体" w:eastAsia="宋体" w:cs="宋体"/>
          <w:color w:val="000000"/>
          <w:spacing w:val="-9"/>
          <w:sz w:val="21"/>
          <w:szCs w:val="21"/>
        </w:rPr>
        <w:t>金融工具、长</w:t>
      </w:r>
      <w:r>
        <w:rPr>
          <w:rFonts w:hint="eastAsia" w:ascii="宋体" w:hAnsi="宋体" w:eastAsia="宋体" w:cs="宋体"/>
          <w:color w:val="000000"/>
          <w:spacing w:val="-5"/>
          <w:sz w:val="21"/>
          <w:szCs w:val="21"/>
        </w:rPr>
        <w:t>期股权投资和投资性房地产除外</w:t>
      </w:r>
      <w:r>
        <w:rPr>
          <w:rFonts w:hint="eastAsia" w:ascii="宋体" w:hAnsi="宋体" w:eastAsia="宋体" w:cs="宋体"/>
          <w:color w:val="000000"/>
          <w:spacing w:val="-88"/>
          <w:sz w:val="21"/>
          <w:szCs w:val="21"/>
        </w:rPr>
        <w:t>）</w:t>
      </w:r>
      <w:r>
        <w:rPr>
          <w:rFonts w:hint="eastAsia" w:ascii="宋体" w:hAnsi="宋体" w:eastAsia="宋体" w:cs="宋体"/>
          <w:color w:val="000000"/>
          <w:sz w:val="21"/>
          <w:szCs w:val="21"/>
        </w:rPr>
        <w:t>产生的利得或损失也包括在本</w:t>
      </w:r>
      <w:r>
        <w:rPr>
          <w:rFonts w:hint="eastAsia" w:ascii="宋体" w:hAnsi="宋体" w:eastAsia="宋体" w:cs="宋体"/>
          <w:color w:val="000000"/>
          <w:spacing w:val="-1"/>
          <w:sz w:val="21"/>
          <w:szCs w:val="21"/>
        </w:rPr>
        <w:t>项目内。该项目应根据“资产处置损益”科目的发生额分析填列</w:t>
      </w:r>
      <w:r>
        <w:rPr>
          <w:rFonts w:hint="eastAsia" w:ascii="宋体" w:hAnsi="宋体" w:eastAsia="宋体" w:cs="宋体"/>
          <w:color w:val="000000"/>
          <w:spacing w:val="-3"/>
          <w:sz w:val="21"/>
          <w:szCs w:val="21"/>
        </w:rPr>
        <w:t>；如为处置损失，以“-”号填列。</w:t>
      </w:r>
    </w:p>
    <w:p>
      <w:pPr>
        <w:pStyle w:val="11"/>
        <w:tabs>
          <w:tab w:val="left" w:pos="1618"/>
        </w:tabs>
        <w:ind w:firstLine="388"/>
        <w:rPr>
          <w:rFonts w:hint="eastAsia" w:ascii="宋体" w:hAnsi="宋体" w:eastAsia="宋体" w:cs="宋体"/>
          <w:color w:val="000000"/>
          <w:sz w:val="21"/>
          <w:szCs w:val="21"/>
        </w:rPr>
      </w:pPr>
      <w:r>
        <w:rPr>
          <w:rFonts w:hint="eastAsia" w:ascii="宋体" w:hAnsi="宋体" w:eastAsia="宋体" w:cs="宋体"/>
          <w:color w:val="000000"/>
          <w:spacing w:val="-8"/>
          <w:sz w:val="21"/>
          <w:szCs w:val="21"/>
        </w:rPr>
        <w:t>9.“营业外收入”项目，反映企业发生的除营业利润以外</w:t>
      </w:r>
      <w:r>
        <w:rPr>
          <w:rFonts w:hint="eastAsia" w:ascii="宋体" w:hAnsi="宋体" w:eastAsia="宋体" w:cs="宋体"/>
          <w:color w:val="000000"/>
          <w:spacing w:val="-9"/>
          <w:sz w:val="21"/>
          <w:szCs w:val="21"/>
        </w:rPr>
        <w:t>的收益，主要包括与企业日常活动无关的政府补助、盘盈利得、</w:t>
      </w:r>
      <w:r>
        <w:rPr>
          <w:rFonts w:hint="eastAsia" w:ascii="宋体" w:hAnsi="宋体" w:eastAsia="宋体" w:cs="宋体"/>
          <w:color w:val="000000"/>
          <w:spacing w:val="-15"/>
          <w:sz w:val="21"/>
          <w:szCs w:val="21"/>
        </w:rPr>
        <w:t>捐赠利得</w:t>
      </w:r>
      <w:r>
        <w:rPr>
          <w:rFonts w:hint="eastAsia" w:ascii="宋体" w:hAnsi="宋体" w:eastAsia="宋体" w:cs="宋体"/>
          <w:color w:val="000000"/>
          <w:sz w:val="21"/>
          <w:szCs w:val="21"/>
        </w:rPr>
        <w:t>（</w:t>
      </w:r>
      <w:r>
        <w:rPr>
          <w:rFonts w:hint="eastAsia" w:ascii="宋体" w:hAnsi="宋体" w:eastAsia="宋体" w:cs="宋体"/>
          <w:color w:val="000000"/>
          <w:spacing w:val="-4"/>
          <w:sz w:val="21"/>
          <w:szCs w:val="21"/>
        </w:rPr>
        <w:t>企业接受股东或股东的子公司直接或间接的捐赠，经</w:t>
      </w:r>
      <w:r>
        <w:rPr>
          <w:rFonts w:hint="eastAsia" w:ascii="宋体" w:hAnsi="宋体" w:eastAsia="宋体" w:cs="宋体"/>
          <w:color w:val="000000"/>
          <w:spacing w:val="-3"/>
          <w:sz w:val="21"/>
          <w:szCs w:val="21"/>
        </w:rPr>
        <w:t>济实质属于股东对企业的资本性投入的除外</w:t>
      </w:r>
      <w:r>
        <w:rPr>
          <w:rFonts w:hint="eastAsia" w:ascii="宋体" w:hAnsi="宋体" w:eastAsia="宋体" w:cs="宋体"/>
          <w:color w:val="000000"/>
          <w:spacing w:val="-124"/>
          <w:sz w:val="21"/>
          <w:szCs w:val="21"/>
        </w:rPr>
        <w:t>）</w:t>
      </w:r>
      <w:r>
        <w:rPr>
          <w:rFonts w:hint="eastAsia" w:ascii="宋体" w:hAnsi="宋体" w:eastAsia="宋体" w:cs="宋体"/>
          <w:color w:val="000000"/>
          <w:spacing w:val="-31"/>
          <w:sz w:val="21"/>
          <w:szCs w:val="21"/>
        </w:rPr>
        <w:t xml:space="preserve">等。该项目应根据“ </w:t>
      </w:r>
      <w:r>
        <w:rPr>
          <w:rFonts w:hint="eastAsia" w:ascii="宋体" w:hAnsi="宋体" w:eastAsia="宋体" w:cs="宋体"/>
          <w:color w:val="000000"/>
          <w:spacing w:val="-9"/>
          <w:sz w:val="21"/>
          <w:szCs w:val="21"/>
        </w:rPr>
        <w:t>营业外收入”科目的发生额分析填列。</w:t>
      </w:r>
    </w:p>
    <w:p>
      <w:pPr>
        <w:pStyle w:val="11"/>
        <w:tabs>
          <w:tab w:val="left" w:pos="1762"/>
        </w:tabs>
        <w:rPr>
          <w:rFonts w:hint="eastAsia" w:ascii="宋体" w:hAnsi="宋体" w:eastAsia="宋体" w:cs="宋体"/>
          <w:color w:val="000000"/>
          <w:spacing w:val="-7"/>
          <w:sz w:val="21"/>
          <w:szCs w:val="21"/>
        </w:rPr>
      </w:pPr>
      <w:r>
        <w:rPr>
          <w:rFonts w:hint="eastAsia" w:ascii="宋体" w:hAnsi="宋体" w:eastAsia="宋体" w:cs="宋体"/>
          <w:color w:val="000000"/>
          <w:sz w:val="21"/>
          <w:szCs w:val="21"/>
        </w:rPr>
        <w:t>10.“营业外支出”项目，反映企业发生的除营业利润以</w:t>
      </w:r>
      <w:r>
        <w:rPr>
          <w:rFonts w:hint="eastAsia" w:ascii="宋体" w:hAnsi="宋体" w:eastAsia="宋体" w:cs="宋体"/>
          <w:color w:val="000000"/>
          <w:spacing w:val="-9"/>
          <w:sz w:val="21"/>
          <w:szCs w:val="21"/>
        </w:rPr>
        <w:t>外的支出，主要包括公益性捐赠支出、非常损失、盘亏损失、非</w:t>
      </w:r>
      <w:r>
        <w:rPr>
          <w:rFonts w:hint="eastAsia" w:ascii="宋体" w:hAnsi="宋体" w:eastAsia="宋体" w:cs="宋体"/>
          <w:color w:val="000000"/>
          <w:spacing w:val="-11"/>
          <w:sz w:val="21"/>
          <w:szCs w:val="21"/>
        </w:rPr>
        <w:t>流动资产毁损报废损失等。该项目应根据“营业外支出”科目的</w:t>
      </w:r>
      <w:r>
        <w:rPr>
          <w:rFonts w:hint="eastAsia" w:ascii="宋体" w:hAnsi="宋体" w:eastAsia="宋体" w:cs="宋体"/>
          <w:color w:val="000000"/>
          <w:spacing w:val="-15"/>
          <w:sz w:val="21"/>
          <w:szCs w:val="21"/>
        </w:rPr>
        <w:t>发生额分析填列。“非流动资产毁损报废损</w:t>
      </w:r>
      <w:r>
        <w:rPr>
          <w:rFonts w:hint="eastAsia" w:ascii="宋体" w:hAnsi="宋体" w:eastAsia="宋体" w:cs="宋体"/>
          <w:color w:val="000000"/>
          <w:spacing w:val="-7"/>
          <w:sz w:val="21"/>
          <w:szCs w:val="21"/>
        </w:rPr>
        <w:t>失”通常包括因自然灾害发生毁损、已丧失使用功能等原因而报废清理产生的损失。企业在不同交易中形成的非流动资产毁损报废利得和损失不得相互抵销，应分别在“营业外收入”项目和“营业外支出”项目进行填列。</w:t>
      </w:r>
    </w:p>
    <w:p>
      <w:pPr>
        <w:tabs>
          <w:tab w:val="left" w:pos="1762"/>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11.“（一）持续经营净利润”和“（二）终止经营净利润”项目，分别反映净利润中与持续经营相关的净利润和与终止经营相关的净利润；如为净亏损，以“-”号填列。该两个项目应按照《企业会计准则第 42 号——持有待售的非流动资产、处置组和终止经营》的相关规定分别列报。</w:t>
      </w:r>
    </w:p>
    <w:p>
      <w:pPr>
        <w:tabs>
          <w:tab w:val="left" w:pos="1762"/>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12.“其他权益工具投资公允价值变动”项目，反映企业指定为以公允价值计量且其变动计入其他综合收益的非交易性权益工具投资发生的公允价值变动。该项目应根据“其他综合收益” 科目的相关明细科目的发生额分析填列。</w:t>
      </w:r>
    </w:p>
    <w:p>
      <w:pPr>
        <w:pStyle w:val="11"/>
        <w:tabs>
          <w:tab w:val="left" w:pos="1762"/>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13.“企业自身信用风险公允价值变动”项目，反映企业指定为以公允价值计量且其变动计入当期损益的金融负债，由企业自身信用风险变动引起的公允价值变动而计入其他综合收益的金额。该项目应根据“其他综合收益”科目的相关明细科目的发生额分析填列。</w:t>
      </w:r>
    </w:p>
    <w:p>
      <w:pPr>
        <w:pStyle w:val="11"/>
        <w:tabs>
          <w:tab w:val="left" w:pos="1769"/>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14.“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该项目应根据“其他综合收益”科目下的相关明细科目的发生额分析填列。</w:t>
      </w:r>
    </w:p>
    <w:p>
      <w:pPr>
        <w:pStyle w:val="11"/>
        <w:tabs>
          <w:tab w:val="left" w:pos="1769"/>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15.“金融资产重分类计入其他综合收益的金额”项目， 反映企业将一项以摊余成本计量的金融资产重分类为以公允价值计量且其变动计入其他综合收益的金融资产时，计入其他综合收益的原账面价值与公允价值之间的差额。该项目应根据“其他综合收益”科目下的相关明细科目的发生额分析填列。</w:t>
      </w:r>
    </w:p>
    <w:p>
      <w:pPr>
        <w:pStyle w:val="11"/>
        <w:tabs>
          <w:tab w:val="left" w:pos="1769"/>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16.“其他债权投资信用减值准备”项目，反映企业按照《企业会计准则第 22 号——金融工具确认和计量》（财会〔2017 〕7号）第十八条分类为以公允价值计量且其变动计入其他综合收益的金融资产的损失准备。该项目应根据“其他综合收益”科目下的“信用减值准备”明细科目的发生额分析填列。</w:t>
      </w:r>
    </w:p>
    <w:p>
      <w:pPr>
        <w:pStyle w:val="11"/>
        <w:tabs>
          <w:tab w:val="left" w:pos="1769"/>
        </w:tabs>
        <w:ind w:firstLine="392"/>
        <w:rPr>
          <w:rFonts w:hint="eastAsia" w:ascii="宋体" w:hAnsi="宋体" w:eastAsia="宋体" w:cs="宋体"/>
          <w:color w:val="000000"/>
          <w:spacing w:val="-7"/>
          <w:sz w:val="21"/>
          <w:szCs w:val="21"/>
        </w:rPr>
      </w:pPr>
      <w:r>
        <w:rPr>
          <w:rFonts w:hint="eastAsia" w:ascii="宋体" w:hAnsi="宋体" w:eastAsia="宋体" w:cs="宋体"/>
          <w:color w:val="000000"/>
          <w:spacing w:val="-7"/>
          <w:sz w:val="21"/>
          <w:szCs w:val="21"/>
        </w:rPr>
        <w:t>17.“现金流量套期储备”项目，反映企业套期工具产生的利得或损失中属于套期有效的部分。该项目应根据“其他综合收益”科目下的“套期储备”明细科目的发生额分析填列。</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D6566"/>
    <w:rsid w:val="4E6D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 w:type="paragraph" w:styleId="11">
    <w:name w:val="List Paragraph"/>
    <w:basedOn w:val="1"/>
    <w:qFormat/>
    <w:uiPriority w:val="34"/>
    <w:pPr>
      <w:ind w:firstLine="420"/>
    </w:pPr>
    <w:rPr>
      <w:rFonts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2019-12-12T02:48:00Z</dcterms:created>
  <dc:creator>陈莉佳</dc:creator>
  <cp:lastModifiedBy>陈莉佳</cp:lastModifiedBy>
  <dcterms:modified xsi:type="dcterms:W3CDTF">2019-12-12T02:51:27Z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