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宋体" w:hAnsi="宋体" w:eastAsia="宋体" w:cs="宋体"/>
          <w:color w:val="000000"/>
          <w:kern w:val="0"/>
        </w:rPr>
      </w:pPr>
      <w:bookmarkStart w:id="0" w:name="_Toc25328297"/>
      <w:r>
        <w:rPr>
          <w:rFonts w:hint="eastAsia" w:ascii="宋体" w:hAnsi="宋体" w:eastAsia="宋体" w:cs="宋体"/>
          <w:color w:val="000000"/>
        </w:rPr>
        <w:t>A06897</w:t>
      </w:r>
      <w:r>
        <w:rPr>
          <w:rFonts w:hint="eastAsia" w:ascii="宋体" w:hAnsi="宋体" w:eastAsia="宋体" w:cs="宋体"/>
          <w:color w:val="000000"/>
          <w:kern w:val="0"/>
        </w:rPr>
        <w:t>《现金流量表（适用已执行新金融工具准则的金融企业）》</w:t>
      </w:r>
      <w:bookmarkEnd w:id="0"/>
    </w:p>
    <w:p>
      <w:pPr>
        <w:spacing w:before="42"/>
        <w:ind w:left="611" w:right="452"/>
        <w:jc w:val="center"/>
        <w:rPr>
          <w:b/>
          <w:color w:val="000000"/>
          <w:szCs w:val="22"/>
        </w:rPr>
      </w:pPr>
      <w:bookmarkStart w:id="1" w:name="_GoBack"/>
      <w:bookmarkEnd w:id="1"/>
    </w:p>
    <w:p>
      <w:pPr>
        <w:spacing w:before="42"/>
        <w:ind w:left="611" w:right="452"/>
        <w:jc w:val="center"/>
        <w:rPr>
          <w:b/>
          <w:color w:val="000000"/>
          <w:szCs w:val="22"/>
        </w:rPr>
      </w:pPr>
      <w:r>
        <w:rPr>
          <w:b/>
          <w:color w:val="000000"/>
          <w:szCs w:val="22"/>
        </w:rPr>
        <w:t>现金流量表</w:t>
      </w:r>
    </w:p>
    <w:p>
      <w:pPr>
        <w:spacing w:before="42"/>
        <w:ind w:left="611" w:right="452"/>
        <w:jc w:val="center"/>
        <w:rPr>
          <w:b/>
          <w:color w:val="000000"/>
          <w:szCs w:val="22"/>
        </w:rPr>
      </w:pPr>
      <w:r>
        <w:rPr>
          <w:rFonts w:hint="eastAsia"/>
          <w:b/>
          <w:color w:val="000000"/>
          <w:szCs w:val="22"/>
        </w:rPr>
        <w:t xml:space="preserve"> </w:t>
      </w:r>
      <w:r>
        <w:rPr>
          <w:b/>
          <w:color w:val="000000"/>
          <w:szCs w:val="22"/>
        </w:rPr>
        <w:t xml:space="preserve">                                                 </w:t>
      </w:r>
      <w:r>
        <w:rPr>
          <w:color w:val="000000"/>
          <w:spacing w:val="-14"/>
          <w:sz w:val="21"/>
          <w:szCs w:val="22"/>
        </w:rPr>
        <w:t xml:space="preserve">会金融 </w:t>
      </w:r>
      <w:r>
        <w:rPr>
          <w:color w:val="000000"/>
          <w:sz w:val="21"/>
          <w:szCs w:val="22"/>
        </w:rPr>
        <w:t>03 表</w:t>
      </w:r>
    </w:p>
    <w:p>
      <w:pPr>
        <w:tabs>
          <w:tab w:val="left" w:pos="3705"/>
          <w:tab w:val="left" w:pos="6855"/>
          <w:tab w:val="left" w:pos="8116"/>
        </w:tabs>
        <w:spacing w:before="43" w:after="19"/>
        <w:ind w:left="660"/>
        <w:rPr>
          <w:color w:val="000000"/>
          <w:sz w:val="21"/>
          <w:szCs w:val="22"/>
        </w:rPr>
      </w:pPr>
      <w:r>
        <w:rPr>
          <w:color w:val="000000"/>
          <w:sz w:val="21"/>
          <w:szCs w:val="22"/>
        </w:rPr>
        <w:t>编制</w:t>
      </w:r>
      <w:r>
        <w:rPr>
          <w:color w:val="000000"/>
          <w:spacing w:val="-3"/>
          <w:sz w:val="21"/>
          <w:szCs w:val="22"/>
        </w:rPr>
        <w:t>单</w:t>
      </w:r>
      <w:r>
        <w:rPr>
          <w:color w:val="000000"/>
          <w:sz w:val="21"/>
          <w:szCs w:val="22"/>
        </w:rPr>
        <w:t>位：              年</w:t>
      </w:r>
      <w:r>
        <w:rPr>
          <w:color w:val="000000"/>
          <w:sz w:val="21"/>
          <w:szCs w:val="22"/>
        </w:rPr>
        <w:tab/>
      </w:r>
      <w:r>
        <w:rPr>
          <w:color w:val="000000"/>
          <w:sz w:val="21"/>
          <w:szCs w:val="22"/>
        </w:rPr>
        <w:t>月</w:t>
      </w:r>
      <w:r>
        <w:rPr>
          <w:color w:val="000000"/>
          <w:sz w:val="21"/>
          <w:szCs w:val="22"/>
        </w:rPr>
        <w:tab/>
      </w:r>
      <w:r>
        <w:rPr>
          <w:color w:val="000000"/>
          <w:sz w:val="21"/>
          <w:szCs w:val="22"/>
        </w:rPr>
        <w:t>单</w:t>
      </w:r>
      <w:r>
        <w:rPr>
          <w:color w:val="000000"/>
          <w:spacing w:val="-3"/>
          <w:sz w:val="21"/>
          <w:szCs w:val="22"/>
        </w:rPr>
        <w:t>位</w:t>
      </w:r>
      <w:r>
        <w:rPr>
          <w:color w:val="000000"/>
          <w:sz w:val="21"/>
          <w:szCs w:val="22"/>
        </w:rPr>
        <w:t>：元</w:t>
      </w:r>
    </w:p>
    <w:p>
      <w:pPr>
        <w:pStyle w:val="2"/>
        <w:spacing w:line="20" w:lineRule="exact"/>
        <w:ind w:left="544"/>
        <w:rPr>
          <w:color w:val="000000"/>
          <w:sz w:val="2"/>
        </w:rPr>
      </w:pPr>
    </w:p>
    <w:tbl>
      <w:tblPr>
        <w:tblStyle w:val="4"/>
        <w:tblW w:w="8405"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78"/>
        <w:gridCol w:w="1134"/>
        <w:gridCol w:w="1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8" w:hRule="atLeast"/>
          <w:jc w:val="center"/>
        </w:trPr>
        <w:tc>
          <w:tcPr>
            <w:tcW w:w="6078" w:type="dxa"/>
            <w:noWrap w:val="0"/>
            <w:vAlign w:val="center"/>
          </w:tcPr>
          <w:p>
            <w:pPr>
              <w:pStyle w:val="9"/>
              <w:spacing w:before="10" w:line="268" w:lineRule="exact"/>
              <w:ind w:left="820" w:right="784"/>
              <w:jc w:val="center"/>
              <w:rPr>
                <w:color w:val="000000"/>
                <w:sz w:val="21"/>
              </w:rPr>
            </w:pPr>
            <w:r>
              <w:rPr>
                <w:color w:val="000000"/>
                <w:sz w:val="21"/>
              </w:rPr>
              <w:t>项目</w:t>
            </w:r>
          </w:p>
        </w:tc>
        <w:tc>
          <w:tcPr>
            <w:tcW w:w="1134" w:type="dxa"/>
            <w:noWrap w:val="0"/>
            <w:vAlign w:val="center"/>
          </w:tcPr>
          <w:p>
            <w:pPr>
              <w:pStyle w:val="9"/>
              <w:spacing w:before="10" w:line="268" w:lineRule="exact"/>
              <w:ind w:left="107"/>
              <w:rPr>
                <w:color w:val="000000"/>
                <w:sz w:val="21"/>
              </w:rPr>
            </w:pPr>
            <w:r>
              <w:rPr>
                <w:color w:val="000000"/>
                <w:sz w:val="21"/>
              </w:rPr>
              <w:t>本期金额</w:t>
            </w:r>
          </w:p>
        </w:tc>
        <w:tc>
          <w:tcPr>
            <w:tcW w:w="1193" w:type="dxa"/>
            <w:noWrap w:val="0"/>
            <w:vAlign w:val="center"/>
          </w:tcPr>
          <w:p>
            <w:pPr>
              <w:pStyle w:val="9"/>
              <w:spacing w:before="10" w:line="268" w:lineRule="exact"/>
              <w:ind w:left="174"/>
              <w:rPr>
                <w:color w:val="000000"/>
                <w:sz w:val="21"/>
              </w:rPr>
            </w:pPr>
            <w:r>
              <w:rPr>
                <w:color w:val="000000"/>
                <w:sz w:val="21"/>
              </w:rPr>
              <w:t>上期金额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0" w:hRule="atLeast"/>
          <w:jc w:val="center"/>
        </w:trPr>
        <w:tc>
          <w:tcPr>
            <w:tcW w:w="6078" w:type="dxa"/>
            <w:noWrap w:val="0"/>
            <w:vAlign w:val="center"/>
          </w:tcPr>
          <w:p>
            <w:pPr>
              <w:pStyle w:val="9"/>
              <w:spacing w:before="22"/>
              <w:ind w:left="129"/>
              <w:rPr>
                <w:color w:val="000000"/>
                <w:sz w:val="21"/>
              </w:rPr>
            </w:pPr>
            <w:r>
              <w:rPr>
                <w:color w:val="000000"/>
                <w:sz w:val="21"/>
              </w:rPr>
              <w:t>一、经营活动产生的现金流量：</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jc w:val="center"/>
        </w:trPr>
        <w:tc>
          <w:tcPr>
            <w:tcW w:w="6078" w:type="dxa"/>
            <w:noWrap w:val="0"/>
            <w:vAlign w:val="center"/>
          </w:tcPr>
          <w:p>
            <w:pPr>
              <w:pStyle w:val="9"/>
              <w:spacing w:before="17" w:line="276" w:lineRule="exact"/>
              <w:ind w:left="554"/>
              <w:rPr>
                <w:color w:val="000000"/>
              </w:rPr>
            </w:pPr>
            <w:r>
              <w:rPr>
                <w:color w:val="000000"/>
              </w:rPr>
              <w:t>销售商品、提供劳务收到的现金</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jc w:val="center"/>
        </w:trPr>
        <w:tc>
          <w:tcPr>
            <w:tcW w:w="6078" w:type="dxa"/>
            <w:noWrap w:val="0"/>
            <w:vAlign w:val="center"/>
          </w:tcPr>
          <w:p>
            <w:pPr>
              <w:pStyle w:val="9"/>
              <w:spacing w:before="15" w:line="276" w:lineRule="exact"/>
              <w:ind w:left="554"/>
              <w:rPr>
                <w:rFonts w:ascii="Times New Roman" w:eastAsia="Times New Roman"/>
                <w:color w:val="000000"/>
              </w:rPr>
            </w:pPr>
            <w:r>
              <w:rPr>
                <w:rFonts w:ascii="Times New Roman" w:eastAsia="Times New Roman"/>
                <w:color w:val="000000"/>
              </w:rPr>
              <w:t>[</w:t>
            </w:r>
            <w:r>
              <w:rPr>
                <w:color w:val="000000"/>
              </w:rPr>
              <w:t>客户存款和同业存放款项净增加额</w:t>
            </w:r>
            <w:r>
              <w:rPr>
                <w:rFonts w:ascii="Times New Roman" w:eastAsia="Times New Roman"/>
                <w:color w:val="000000"/>
              </w:rPr>
              <w:t>]</w:t>
            </w:r>
            <w:r>
              <w:rPr>
                <w:rFonts w:ascii="Times New Roman" w:eastAsia="Times New Roman"/>
                <w:color w:val="000000"/>
                <w:vertAlign w:val="superscript"/>
              </w:rPr>
              <w:t>3</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jc w:val="center"/>
        </w:trPr>
        <w:tc>
          <w:tcPr>
            <w:tcW w:w="6078" w:type="dxa"/>
            <w:noWrap w:val="0"/>
            <w:vAlign w:val="center"/>
          </w:tcPr>
          <w:p>
            <w:pPr>
              <w:pStyle w:val="9"/>
              <w:spacing w:before="15" w:line="276" w:lineRule="exact"/>
              <w:ind w:left="554"/>
              <w:rPr>
                <w:rFonts w:ascii="Times New Roman" w:eastAsia="Times New Roman"/>
                <w:color w:val="000000"/>
              </w:rPr>
            </w:pPr>
            <w:r>
              <w:rPr>
                <w:rFonts w:ascii="Times New Roman" w:eastAsia="Times New Roman"/>
                <w:color w:val="000000"/>
              </w:rPr>
              <w:t>[</w:t>
            </w:r>
            <w:r>
              <w:rPr>
                <w:color w:val="000000"/>
              </w:rPr>
              <w:t>向中央银行借款净增加额</w:t>
            </w:r>
            <w:r>
              <w:rPr>
                <w:rFonts w:ascii="Times New Roman" w:eastAsia="Times New Roman"/>
                <w:color w:val="000000"/>
              </w:rPr>
              <w:t>]</w:t>
            </w:r>
            <w:r>
              <w:rPr>
                <w:rFonts w:ascii="Times New Roman" w:eastAsia="Times New Roman"/>
                <w:color w:val="000000"/>
                <w:vertAlign w:val="superscript"/>
              </w:rPr>
              <w:t>3</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jc w:val="center"/>
        </w:trPr>
        <w:tc>
          <w:tcPr>
            <w:tcW w:w="6078" w:type="dxa"/>
            <w:noWrap w:val="0"/>
            <w:vAlign w:val="center"/>
          </w:tcPr>
          <w:p>
            <w:pPr>
              <w:pStyle w:val="9"/>
              <w:spacing w:before="15" w:line="277" w:lineRule="exact"/>
              <w:ind w:left="554"/>
              <w:rPr>
                <w:color w:val="000000"/>
              </w:rPr>
            </w:pPr>
            <w:r>
              <w:rPr>
                <w:color w:val="000000"/>
              </w:rPr>
              <w:t>向其他金融机构拆入资金净增加额</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jc w:val="center"/>
        </w:trPr>
        <w:tc>
          <w:tcPr>
            <w:tcW w:w="6078" w:type="dxa"/>
            <w:noWrap w:val="0"/>
            <w:vAlign w:val="center"/>
          </w:tcPr>
          <w:p>
            <w:pPr>
              <w:pStyle w:val="9"/>
              <w:spacing w:before="17" w:line="277" w:lineRule="exact"/>
              <w:ind w:left="554"/>
              <w:rPr>
                <w:rFonts w:ascii="Times New Roman" w:eastAsia="Times New Roman"/>
                <w:color w:val="000000"/>
              </w:rPr>
            </w:pPr>
            <w:r>
              <w:rPr>
                <w:rFonts w:ascii="Times New Roman" w:eastAsia="Times New Roman"/>
                <w:color w:val="000000"/>
              </w:rPr>
              <w:t>[</w:t>
            </w:r>
            <w:r>
              <w:rPr>
                <w:color w:val="000000"/>
              </w:rPr>
              <w:t>收到原保险合同保费取得的现金</w:t>
            </w:r>
            <w:r>
              <w:rPr>
                <w:rFonts w:ascii="Times New Roman" w:eastAsia="Times New Roman"/>
                <w:color w:val="000000"/>
              </w:rPr>
              <w:t>]</w:t>
            </w:r>
            <w:r>
              <w:rPr>
                <w:rFonts w:ascii="Times New Roman" w:eastAsia="Times New Roman"/>
                <w:color w:val="000000"/>
                <w:vertAlign w:val="superscript"/>
              </w:rPr>
              <w:t>2</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jc w:val="center"/>
        </w:trPr>
        <w:tc>
          <w:tcPr>
            <w:tcW w:w="6078" w:type="dxa"/>
            <w:noWrap w:val="0"/>
            <w:vAlign w:val="center"/>
          </w:tcPr>
          <w:p>
            <w:pPr>
              <w:pStyle w:val="9"/>
              <w:spacing w:before="15" w:line="276" w:lineRule="exact"/>
              <w:ind w:left="554"/>
              <w:rPr>
                <w:rFonts w:ascii="Times New Roman" w:eastAsia="Times New Roman"/>
                <w:color w:val="000000"/>
              </w:rPr>
            </w:pPr>
            <w:r>
              <w:rPr>
                <w:rFonts w:ascii="Times New Roman" w:eastAsia="Times New Roman"/>
                <w:color w:val="000000"/>
              </w:rPr>
              <w:t>[</w:t>
            </w:r>
            <w:r>
              <w:rPr>
                <w:color w:val="000000"/>
              </w:rPr>
              <w:t>收到再保业务现金净额</w:t>
            </w:r>
            <w:r>
              <w:rPr>
                <w:rFonts w:ascii="Times New Roman" w:eastAsia="Times New Roman"/>
                <w:color w:val="000000"/>
              </w:rPr>
              <w:t>]</w:t>
            </w:r>
            <w:r>
              <w:rPr>
                <w:rFonts w:ascii="Times New Roman" w:eastAsia="Times New Roman"/>
                <w:color w:val="000000"/>
                <w:vertAlign w:val="superscript"/>
              </w:rPr>
              <w:t>2</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jc w:val="center"/>
        </w:trPr>
        <w:tc>
          <w:tcPr>
            <w:tcW w:w="6078" w:type="dxa"/>
            <w:noWrap w:val="0"/>
            <w:vAlign w:val="center"/>
          </w:tcPr>
          <w:p>
            <w:pPr>
              <w:pStyle w:val="9"/>
              <w:spacing w:before="15" w:line="276" w:lineRule="exact"/>
              <w:ind w:left="554"/>
              <w:rPr>
                <w:rFonts w:ascii="Times New Roman" w:eastAsia="Times New Roman"/>
                <w:color w:val="000000"/>
              </w:rPr>
            </w:pPr>
            <w:r>
              <w:rPr>
                <w:rFonts w:ascii="Times New Roman" w:eastAsia="Times New Roman"/>
                <w:color w:val="000000"/>
              </w:rPr>
              <w:t>[</w:t>
            </w:r>
            <w:r>
              <w:rPr>
                <w:color w:val="000000"/>
              </w:rPr>
              <w:t>保户储金及投资款净增加额</w:t>
            </w:r>
            <w:r>
              <w:rPr>
                <w:rFonts w:ascii="Times New Roman" w:eastAsia="Times New Roman"/>
                <w:color w:val="000000"/>
              </w:rPr>
              <w:t>]</w:t>
            </w:r>
            <w:r>
              <w:rPr>
                <w:rFonts w:ascii="Times New Roman" w:eastAsia="Times New Roman"/>
                <w:color w:val="000000"/>
                <w:vertAlign w:val="superscript"/>
              </w:rPr>
              <w:t>2</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jc w:val="center"/>
        </w:trPr>
        <w:tc>
          <w:tcPr>
            <w:tcW w:w="6078" w:type="dxa"/>
            <w:noWrap w:val="0"/>
            <w:vAlign w:val="center"/>
          </w:tcPr>
          <w:p>
            <w:pPr>
              <w:pStyle w:val="9"/>
              <w:spacing w:before="15" w:line="276" w:lineRule="exact"/>
              <w:ind w:left="554"/>
              <w:rPr>
                <w:color w:val="000000"/>
              </w:rPr>
            </w:pPr>
            <w:r>
              <w:rPr>
                <w:color w:val="000000"/>
              </w:rPr>
              <w:t>收取利息、手续费及佣金的现金</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jc w:val="center"/>
        </w:trPr>
        <w:tc>
          <w:tcPr>
            <w:tcW w:w="6078" w:type="dxa"/>
            <w:noWrap w:val="0"/>
            <w:vAlign w:val="center"/>
          </w:tcPr>
          <w:p>
            <w:pPr>
              <w:pStyle w:val="9"/>
              <w:spacing w:before="25"/>
              <w:ind w:left="554"/>
              <w:rPr>
                <w:color w:val="000000"/>
                <w:sz w:val="21"/>
              </w:rPr>
            </w:pPr>
            <w:r>
              <w:rPr>
                <w:color w:val="000000"/>
                <w:sz w:val="21"/>
              </w:rPr>
              <w:t>拆入资金净增加额</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jc w:val="center"/>
        </w:trPr>
        <w:tc>
          <w:tcPr>
            <w:tcW w:w="6078" w:type="dxa"/>
            <w:noWrap w:val="0"/>
            <w:vAlign w:val="center"/>
          </w:tcPr>
          <w:p>
            <w:pPr>
              <w:pStyle w:val="9"/>
              <w:spacing w:before="22"/>
              <w:ind w:left="554"/>
              <w:rPr>
                <w:color w:val="000000"/>
                <w:sz w:val="21"/>
              </w:rPr>
            </w:pPr>
            <w:r>
              <w:rPr>
                <w:color w:val="000000"/>
                <w:sz w:val="21"/>
              </w:rPr>
              <w:t>回购业务资金净增加额</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jc w:val="center"/>
        </w:trPr>
        <w:tc>
          <w:tcPr>
            <w:tcW w:w="6078" w:type="dxa"/>
            <w:noWrap w:val="0"/>
            <w:vAlign w:val="center"/>
          </w:tcPr>
          <w:p>
            <w:pPr>
              <w:pStyle w:val="9"/>
              <w:spacing w:before="22"/>
              <w:ind w:left="554"/>
              <w:rPr>
                <w:rFonts w:ascii="Times New Roman" w:eastAsia="Times New Roman"/>
                <w:color w:val="000000"/>
                <w:sz w:val="21"/>
              </w:rPr>
            </w:pPr>
            <w:r>
              <w:rPr>
                <w:rFonts w:ascii="Times New Roman" w:eastAsia="Times New Roman"/>
                <w:color w:val="000000"/>
                <w:sz w:val="21"/>
              </w:rPr>
              <w:t>[</w:t>
            </w:r>
            <w:r>
              <w:rPr>
                <w:color w:val="000000"/>
                <w:sz w:val="21"/>
              </w:rPr>
              <w:t>代理买卖证券收到的现金净额</w:t>
            </w:r>
            <w:r>
              <w:rPr>
                <w:rFonts w:ascii="Times New Roman" w:eastAsia="Times New Roman"/>
                <w:color w:val="000000"/>
                <w:sz w:val="21"/>
              </w:rPr>
              <w:t>]</w:t>
            </w:r>
            <w:r>
              <w:rPr>
                <w:rFonts w:ascii="Times New Roman" w:eastAsia="Times New Roman"/>
                <w:color w:val="000000"/>
                <w:sz w:val="21"/>
                <w:vertAlign w:val="superscript"/>
              </w:rPr>
              <w:t>1</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jc w:val="center"/>
        </w:trPr>
        <w:tc>
          <w:tcPr>
            <w:tcW w:w="6078" w:type="dxa"/>
            <w:noWrap w:val="0"/>
            <w:vAlign w:val="center"/>
          </w:tcPr>
          <w:p>
            <w:pPr>
              <w:pStyle w:val="9"/>
              <w:spacing w:before="15" w:line="277" w:lineRule="exact"/>
              <w:ind w:left="554"/>
              <w:rPr>
                <w:color w:val="000000"/>
              </w:rPr>
            </w:pPr>
            <w:r>
              <w:rPr>
                <w:color w:val="000000"/>
              </w:rPr>
              <w:t>收到其他与经营活动有关的现金</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jc w:val="center"/>
        </w:trPr>
        <w:tc>
          <w:tcPr>
            <w:tcW w:w="6078" w:type="dxa"/>
            <w:noWrap w:val="0"/>
            <w:vAlign w:val="center"/>
          </w:tcPr>
          <w:p>
            <w:pPr>
              <w:pStyle w:val="9"/>
              <w:spacing w:before="25"/>
              <w:ind w:left="837"/>
              <w:rPr>
                <w:color w:val="000000"/>
                <w:sz w:val="21"/>
              </w:rPr>
            </w:pPr>
            <w:r>
              <w:rPr>
                <w:color w:val="000000"/>
                <w:sz w:val="21"/>
              </w:rPr>
              <w:t>经营活动现金流入小计</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jc w:val="center"/>
        </w:trPr>
        <w:tc>
          <w:tcPr>
            <w:tcW w:w="6078" w:type="dxa"/>
            <w:noWrap w:val="0"/>
            <w:vAlign w:val="center"/>
          </w:tcPr>
          <w:p>
            <w:pPr>
              <w:pStyle w:val="9"/>
              <w:spacing w:before="15" w:line="276" w:lineRule="exact"/>
              <w:ind w:left="556"/>
              <w:rPr>
                <w:rFonts w:ascii="Times New Roman" w:eastAsia="Times New Roman"/>
                <w:color w:val="000000"/>
              </w:rPr>
            </w:pPr>
            <w:r>
              <w:rPr>
                <w:rFonts w:ascii="Times New Roman" w:eastAsia="Times New Roman"/>
                <w:color w:val="000000"/>
              </w:rPr>
              <w:t>[</w:t>
            </w:r>
            <w:r>
              <w:rPr>
                <w:color w:val="000000"/>
              </w:rPr>
              <w:t>客户贷款及垫款净增加额</w:t>
            </w:r>
            <w:r>
              <w:rPr>
                <w:rFonts w:ascii="Times New Roman" w:eastAsia="Times New Roman"/>
                <w:color w:val="000000"/>
              </w:rPr>
              <w:t>]</w:t>
            </w:r>
            <w:r>
              <w:rPr>
                <w:rFonts w:ascii="Times New Roman" w:eastAsia="Times New Roman"/>
                <w:color w:val="000000"/>
                <w:vertAlign w:val="superscript"/>
              </w:rPr>
              <w:t>3</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jc w:val="center"/>
        </w:trPr>
        <w:tc>
          <w:tcPr>
            <w:tcW w:w="6078" w:type="dxa"/>
            <w:noWrap w:val="0"/>
            <w:vAlign w:val="center"/>
          </w:tcPr>
          <w:p>
            <w:pPr>
              <w:pStyle w:val="9"/>
              <w:spacing w:before="22"/>
              <w:ind w:left="556"/>
              <w:rPr>
                <w:rFonts w:ascii="Times New Roman" w:eastAsia="Times New Roman"/>
                <w:color w:val="000000"/>
              </w:rPr>
            </w:pPr>
            <w:r>
              <w:rPr>
                <w:rFonts w:ascii="Times New Roman" w:eastAsia="Times New Roman"/>
                <w:color w:val="000000"/>
                <w:sz w:val="21"/>
              </w:rPr>
              <w:t>[</w:t>
            </w:r>
            <w:r>
              <w:rPr>
                <w:color w:val="000000"/>
                <w:sz w:val="21"/>
              </w:rPr>
              <w:t>存放中央银行和同业款项净增加额</w:t>
            </w:r>
            <w:r>
              <w:rPr>
                <w:rFonts w:ascii="Times New Roman" w:eastAsia="Times New Roman"/>
                <w:color w:val="000000"/>
              </w:rPr>
              <w:t>]</w:t>
            </w:r>
            <w:r>
              <w:rPr>
                <w:rFonts w:ascii="Times New Roman" w:eastAsia="Times New Roman"/>
                <w:color w:val="000000"/>
                <w:vertAlign w:val="superscript"/>
              </w:rPr>
              <w:t>3</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jc w:val="center"/>
        </w:trPr>
        <w:tc>
          <w:tcPr>
            <w:tcW w:w="6078" w:type="dxa"/>
            <w:noWrap w:val="0"/>
            <w:vAlign w:val="center"/>
          </w:tcPr>
          <w:p>
            <w:pPr>
              <w:pStyle w:val="9"/>
              <w:spacing w:before="23"/>
              <w:ind w:left="556"/>
              <w:rPr>
                <w:rFonts w:ascii="Times New Roman" w:eastAsia="Times New Roman"/>
                <w:color w:val="000000"/>
              </w:rPr>
            </w:pPr>
            <w:r>
              <w:rPr>
                <w:rFonts w:ascii="Times New Roman" w:eastAsia="Times New Roman"/>
                <w:color w:val="000000"/>
              </w:rPr>
              <w:t>[</w:t>
            </w:r>
            <w:r>
              <w:rPr>
                <w:color w:val="000000"/>
                <w:sz w:val="21"/>
              </w:rPr>
              <w:t>支付原保险合同赔付款项的现金</w:t>
            </w:r>
            <w:r>
              <w:rPr>
                <w:rFonts w:ascii="Times New Roman" w:eastAsia="Times New Roman"/>
                <w:color w:val="000000"/>
              </w:rPr>
              <w:t>]</w:t>
            </w:r>
            <w:r>
              <w:rPr>
                <w:rFonts w:ascii="Times New Roman" w:eastAsia="Times New Roman"/>
                <w:color w:val="000000"/>
                <w:vertAlign w:val="superscript"/>
              </w:rPr>
              <w:t>2</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jc w:val="center"/>
        </w:trPr>
        <w:tc>
          <w:tcPr>
            <w:tcW w:w="6078" w:type="dxa"/>
            <w:noWrap w:val="0"/>
            <w:vAlign w:val="center"/>
          </w:tcPr>
          <w:p>
            <w:pPr>
              <w:pStyle w:val="9"/>
              <w:spacing w:before="25"/>
              <w:ind w:left="556"/>
              <w:rPr>
                <w:color w:val="000000"/>
                <w:sz w:val="21"/>
              </w:rPr>
            </w:pPr>
            <w:r>
              <w:rPr>
                <w:color w:val="000000"/>
                <w:sz w:val="21"/>
              </w:rPr>
              <w:t>为交易目的而持有的金融资产净增加额</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jc w:val="center"/>
        </w:trPr>
        <w:tc>
          <w:tcPr>
            <w:tcW w:w="6078" w:type="dxa"/>
            <w:noWrap w:val="0"/>
            <w:vAlign w:val="center"/>
          </w:tcPr>
          <w:p>
            <w:pPr>
              <w:pStyle w:val="9"/>
              <w:spacing w:before="22"/>
              <w:ind w:left="556"/>
              <w:rPr>
                <w:color w:val="000000"/>
                <w:sz w:val="21"/>
              </w:rPr>
            </w:pPr>
            <w:r>
              <w:rPr>
                <w:color w:val="000000"/>
                <w:sz w:val="21"/>
              </w:rPr>
              <w:t>拆出资金净增加额</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jc w:val="center"/>
        </w:trPr>
        <w:tc>
          <w:tcPr>
            <w:tcW w:w="6078" w:type="dxa"/>
            <w:noWrap w:val="0"/>
            <w:vAlign w:val="center"/>
          </w:tcPr>
          <w:p>
            <w:pPr>
              <w:pStyle w:val="9"/>
              <w:spacing w:before="22"/>
              <w:ind w:left="556"/>
              <w:rPr>
                <w:color w:val="000000"/>
                <w:sz w:val="21"/>
              </w:rPr>
            </w:pPr>
            <w:r>
              <w:rPr>
                <w:color w:val="000000"/>
                <w:sz w:val="21"/>
              </w:rPr>
              <w:t>返售业务资金净增加额</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jc w:val="center"/>
        </w:trPr>
        <w:tc>
          <w:tcPr>
            <w:tcW w:w="6078" w:type="dxa"/>
            <w:noWrap w:val="0"/>
            <w:vAlign w:val="center"/>
          </w:tcPr>
          <w:p>
            <w:pPr>
              <w:pStyle w:val="9"/>
              <w:spacing w:before="15" w:line="276" w:lineRule="exact"/>
              <w:ind w:left="556"/>
              <w:rPr>
                <w:color w:val="000000"/>
              </w:rPr>
            </w:pPr>
            <w:r>
              <w:rPr>
                <w:color w:val="000000"/>
              </w:rPr>
              <w:t>支付利息、手续费及佣金的现金</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jc w:val="center"/>
        </w:trPr>
        <w:tc>
          <w:tcPr>
            <w:tcW w:w="6078" w:type="dxa"/>
            <w:noWrap w:val="0"/>
            <w:vAlign w:val="center"/>
          </w:tcPr>
          <w:p>
            <w:pPr>
              <w:pStyle w:val="9"/>
              <w:spacing w:before="17" w:line="276" w:lineRule="exact"/>
              <w:ind w:left="556"/>
              <w:rPr>
                <w:rFonts w:ascii="Times New Roman" w:eastAsia="Times New Roman"/>
                <w:color w:val="000000"/>
              </w:rPr>
            </w:pPr>
            <w:r>
              <w:rPr>
                <w:rFonts w:ascii="Times New Roman" w:eastAsia="Times New Roman"/>
                <w:color w:val="000000"/>
              </w:rPr>
              <w:t>[</w:t>
            </w:r>
            <w:r>
              <w:rPr>
                <w:color w:val="000000"/>
              </w:rPr>
              <w:t>支付保单红利的现金</w:t>
            </w:r>
            <w:r>
              <w:rPr>
                <w:rFonts w:ascii="Times New Roman" w:eastAsia="Times New Roman"/>
                <w:color w:val="000000"/>
              </w:rPr>
              <w:t>]</w:t>
            </w:r>
            <w:r>
              <w:rPr>
                <w:rFonts w:ascii="Times New Roman" w:eastAsia="Times New Roman"/>
                <w:color w:val="000000"/>
                <w:vertAlign w:val="superscript"/>
              </w:rPr>
              <w:t>2</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jc w:val="center"/>
        </w:trPr>
        <w:tc>
          <w:tcPr>
            <w:tcW w:w="6078" w:type="dxa"/>
            <w:noWrap w:val="0"/>
            <w:vAlign w:val="center"/>
          </w:tcPr>
          <w:p>
            <w:pPr>
              <w:pStyle w:val="9"/>
              <w:spacing w:before="15" w:line="277" w:lineRule="exact"/>
              <w:ind w:left="556"/>
              <w:rPr>
                <w:color w:val="000000"/>
              </w:rPr>
            </w:pPr>
            <w:r>
              <w:rPr>
                <w:color w:val="000000"/>
              </w:rPr>
              <w:t>支付给职工及为职工支付的现金</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jc w:val="center"/>
        </w:trPr>
        <w:tc>
          <w:tcPr>
            <w:tcW w:w="6078" w:type="dxa"/>
            <w:noWrap w:val="0"/>
            <w:vAlign w:val="center"/>
          </w:tcPr>
          <w:p>
            <w:pPr>
              <w:pStyle w:val="9"/>
              <w:spacing w:before="15" w:line="276" w:lineRule="exact"/>
              <w:ind w:left="556"/>
              <w:rPr>
                <w:color w:val="000000"/>
              </w:rPr>
            </w:pPr>
            <w:r>
              <w:rPr>
                <w:color w:val="000000"/>
              </w:rPr>
              <w:t>支付的各项税费</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jc w:val="center"/>
        </w:trPr>
        <w:tc>
          <w:tcPr>
            <w:tcW w:w="6078" w:type="dxa"/>
            <w:noWrap w:val="0"/>
            <w:vAlign w:val="center"/>
          </w:tcPr>
          <w:p>
            <w:pPr>
              <w:pStyle w:val="9"/>
              <w:spacing w:before="22"/>
              <w:ind w:left="554"/>
              <w:rPr>
                <w:color w:val="000000"/>
                <w:sz w:val="21"/>
              </w:rPr>
            </w:pPr>
            <w:r>
              <w:rPr>
                <w:color w:val="000000"/>
                <w:sz w:val="21"/>
              </w:rPr>
              <w:t>支付其他与经营活动有关的现金</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4" w:hRule="atLeast"/>
          <w:jc w:val="center"/>
        </w:trPr>
        <w:tc>
          <w:tcPr>
            <w:tcW w:w="6078" w:type="dxa"/>
            <w:noWrap w:val="0"/>
            <w:vAlign w:val="center"/>
          </w:tcPr>
          <w:p>
            <w:pPr>
              <w:pStyle w:val="9"/>
              <w:spacing w:before="25"/>
              <w:ind w:left="837"/>
              <w:rPr>
                <w:color w:val="000000"/>
                <w:sz w:val="21"/>
              </w:rPr>
            </w:pPr>
            <w:r>
              <w:rPr>
                <w:color w:val="000000"/>
                <w:sz w:val="21"/>
              </w:rPr>
              <w:t>经营活动现金流出小计</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jc w:val="center"/>
        </w:trPr>
        <w:tc>
          <w:tcPr>
            <w:tcW w:w="6078" w:type="dxa"/>
            <w:noWrap w:val="0"/>
            <w:vAlign w:val="center"/>
          </w:tcPr>
          <w:p>
            <w:pPr>
              <w:pStyle w:val="9"/>
              <w:spacing w:before="22"/>
              <w:ind w:left="1120"/>
              <w:rPr>
                <w:color w:val="000000"/>
                <w:sz w:val="21"/>
              </w:rPr>
            </w:pPr>
            <w:r>
              <w:rPr>
                <w:color w:val="000000"/>
                <w:sz w:val="21"/>
              </w:rPr>
              <w:t>经营活动产生的现金流量净额</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jc w:val="center"/>
        </w:trPr>
        <w:tc>
          <w:tcPr>
            <w:tcW w:w="6078" w:type="dxa"/>
            <w:noWrap w:val="0"/>
            <w:vAlign w:val="center"/>
          </w:tcPr>
          <w:p>
            <w:pPr>
              <w:pStyle w:val="9"/>
              <w:spacing w:before="22"/>
              <w:ind w:left="129"/>
              <w:rPr>
                <w:color w:val="000000"/>
                <w:sz w:val="21"/>
              </w:rPr>
            </w:pPr>
            <w:r>
              <w:rPr>
                <w:color w:val="000000"/>
                <w:sz w:val="21"/>
              </w:rPr>
              <w:t>二、投资活动产生的现金流量：</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jc w:val="center"/>
        </w:trPr>
        <w:tc>
          <w:tcPr>
            <w:tcW w:w="6078" w:type="dxa"/>
            <w:noWrap w:val="0"/>
            <w:vAlign w:val="center"/>
          </w:tcPr>
          <w:p>
            <w:pPr>
              <w:pStyle w:val="9"/>
              <w:spacing w:before="22"/>
              <w:ind w:left="554"/>
              <w:rPr>
                <w:color w:val="000000"/>
                <w:sz w:val="21"/>
              </w:rPr>
            </w:pPr>
            <w:r>
              <w:rPr>
                <w:color w:val="000000"/>
                <w:sz w:val="21"/>
              </w:rPr>
              <w:t>收回投资收到的现金</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jc w:val="center"/>
        </w:trPr>
        <w:tc>
          <w:tcPr>
            <w:tcW w:w="6078" w:type="dxa"/>
            <w:noWrap w:val="0"/>
            <w:vAlign w:val="center"/>
          </w:tcPr>
          <w:p>
            <w:pPr>
              <w:pStyle w:val="9"/>
              <w:spacing w:before="25"/>
              <w:ind w:left="554"/>
              <w:rPr>
                <w:color w:val="000000"/>
                <w:sz w:val="21"/>
              </w:rPr>
            </w:pPr>
            <w:r>
              <w:rPr>
                <w:color w:val="000000"/>
                <w:sz w:val="21"/>
              </w:rPr>
              <w:t>取得投资收益收到的现金</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jc w:val="center"/>
        </w:trPr>
        <w:tc>
          <w:tcPr>
            <w:tcW w:w="6078" w:type="dxa"/>
            <w:noWrap w:val="0"/>
            <w:vAlign w:val="center"/>
          </w:tcPr>
          <w:p>
            <w:pPr>
              <w:pStyle w:val="9"/>
              <w:spacing w:before="22"/>
              <w:ind w:left="554"/>
              <w:rPr>
                <w:color w:val="000000"/>
                <w:sz w:val="21"/>
              </w:rPr>
            </w:pPr>
            <w:r>
              <w:rPr>
                <w:color w:val="000000"/>
                <w:sz w:val="21"/>
              </w:rPr>
              <w:t>处置固定资产、无形资产和其他长期资产收回的现金净额</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jc w:val="center"/>
        </w:trPr>
        <w:tc>
          <w:tcPr>
            <w:tcW w:w="6078" w:type="dxa"/>
            <w:noWrap w:val="0"/>
            <w:vAlign w:val="center"/>
          </w:tcPr>
          <w:p>
            <w:pPr>
              <w:pStyle w:val="9"/>
              <w:spacing w:before="22"/>
              <w:ind w:left="554"/>
              <w:rPr>
                <w:color w:val="000000"/>
                <w:sz w:val="21"/>
              </w:rPr>
            </w:pPr>
            <w:r>
              <w:rPr>
                <w:color w:val="000000"/>
                <w:sz w:val="21"/>
              </w:rPr>
              <w:t>收到其他与投资活动有关的现金</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jc w:val="center"/>
        </w:trPr>
        <w:tc>
          <w:tcPr>
            <w:tcW w:w="6078" w:type="dxa"/>
            <w:noWrap w:val="0"/>
            <w:vAlign w:val="center"/>
          </w:tcPr>
          <w:p>
            <w:pPr>
              <w:pStyle w:val="9"/>
              <w:spacing w:before="22"/>
              <w:ind w:left="837"/>
              <w:rPr>
                <w:color w:val="000000"/>
                <w:sz w:val="21"/>
              </w:rPr>
            </w:pPr>
            <w:r>
              <w:rPr>
                <w:color w:val="000000"/>
                <w:sz w:val="21"/>
              </w:rPr>
              <w:t>投资活动现金流入小计</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jc w:val="center"/>
        </w:trPr>
        <w:tc>
          <w:tcPr>
            <w:tcW w:w="6078" w:type="dxa"/>
            <w:noWrap w:val="0"/>
            <w:vAlign w:val="center"/>
          </w:tcPr>
          <w:p>
            <w:pPr>
              <w:pStyle w:val="9"/>
              <w:spacing w:before="25"/>
              <w:ind w:left="554"/>
              <w:rPr>
                <w:color w:val="000000"/>
                <w:sz w:val="21"/>
              </w:rPr>
            </w:pPr>
            <w:r>
              <w:rPr>
                <w:color w:val="000000"/>
                <w:sz w:val="21"/>
              </w:rPr>
              <w:t>投资支付的现金</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jc w:val="center"/>
        </w:trPr>
        <w:tc>
          <w:tcPr>
            <w:tcW w:w="6078" w:type="dxa"/>
            <w:noWrap w:val="0"/>
            <w:vAlign w:val="center"/>
          </w:tcPr>
          <w:p>
            <w:pPr>
              <w:pStyle w:val="9"/>
              <w:spacing w:before="22"/>
              <w:ind w:left="554"/>
              <w:rPr>
                <w:rFonts w:ascii="Times New Roman" w:eastAsia="Times New Roman"/>
                <w:color w:val="000000"/>
              </w:rPr>
            </w:pPr>
            <w:r>
              <w:rPr>
                <w:rFonts w:ascii="Times New Roman" w:eastAsia="Times New Roman"/>
                <w:color w:val="000000"/>
              </w:rPr>
              <w:t>[</w:t>
            </w:r>
            <w:r>
              <w:rPr>
                <w:color w:val="000000"/>
                <w:sz w:val="21"/>
              </w:rPr>
              <w:t>返售业务资金净增加额</w:t>
            </w:r>
            <w:r>
              <w:rPr>
                <w:rFonts w:ascii="Times New Roman" w:eastAsia="Times New Roman"/>
                <w:color w:val="000000"/>
              </w:rPr>
              <w:t>]</w:t>
            </w:r>
            <w:r>
              <w:rPr>
                <w:rFonts w:ascii="Times New Roman" w:eastAsia="Times New Roman"/>
                <w:color w:val="000000"/>
                <w:vertAlign w:val="superscript"/>
              </w:rPr>
              <w:t>2</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jc w:val="center"/>
        </w:trPr>
        <w:tc>
          <w:tcPr>
            <w:tcW w:w="6078" w:type="dxa"/>
            <w:noWrap w:val="0"/>
            <w:vAlign w:val="center"/>
          </w:tcPr>
          <w:p>
            <w:pPr>
              <w:pStyle w:val="9"/>
              <w:spacing w:before="22"/>
              <w:ind w:left="554"/>
              <w:rPr>
                <w:rFonts w:ascii="Times New Roman" w:eastAsia="Times New Roman"/>
                <w:color w:val="000000"/>
                <w:sz w:val="21"/>
              </w:rPr>
            </w:pPr>
            <w:r>
              <w:rPr>
                <w:rFonts w:ascii="Times New Roman" w:eastAsia="Times New Roman"/>
                <w:color w:val="000000"/>
              </w:rPr>
              <w:t>[</w:t>
            </w:r>
            <w:r>
              <w:rPr>
                <w:color w:val="000000"/>
                <w:sz w:val="21"/>
              </w:rPr>
              <w:t>质押贷款净增加额</w:t>
            </w:r>
            <w:r>
              <w:rPr>
                <w:rFonts w:ascii="Times New Roman" w:eastAsia="Times New Roman"/>
                <w:color w:val="000000"/>
                <w:sz w:val="21"/>
              </w:rPr>
              <w:t>]</w:t>
            </w:r>
            <w:r>
              <w:rPr>
                <w:rFonts w:ascii="Times New Roman" w:eastAsia="Times New Roman"/>
                <w:color w:val="000000"/>
                <w:sz w:val="21"/>
                <w:vertAlign w:val="superscript"/>
              </w:rPr>
              <w:t>2</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jc w:val="center"/>
        </w:trPr>
        <w:tc>
          <w:tcPr>
            <w:tcW w:w="6078" w:type="dxa"/>
            <w:noWrap w:val="0"/>
            <w:vAlign w:val="center"/>
          </w:tcPr>
          <w:p>
            <w:pPr>
              <w:pStyle w:val="9"/>
              <w:spacing w:before="22"/>
              <w:ind w:left="554"/>
              <w:rPr>
                <w:color w:val="000000"/>
                <w:sz w:val="21"/>
              </w:rPr>
            </w:pPr>
            <w:r>
              <w:rPr>
                <w:color w:val="000000"/>
                <w:sz w:val="21"/>
              </w:rPr>
              <w:t>购建固定资产、无形资产和其他长期资产支付的现金</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jc w:val="center"/>
        </w:trPr>
        <w:tc>
          <w:tcPr>
            <w:tcW w:w="6078" w:type="dxa"/>
            <w:noWrap w:val="0"/>
            <w:vAlign w:val="center"/>
          </w:tcPr>
          <w:p>
            <w:pPr>
              <w:pStyle w:val="9"/>
              <w:spacing w:before="25"/>
              <w:ind w:left="554"/>
              <w:rPr>
                <w:color w:val="000000"/>
                <w:sz w:val="21"/>
              </w:rPr>
            </w:pPr>
            <w:r>
              <w:rPr>
                <w:color w:val="000000"/>
                <w:sz w:val="21"/>
              </w:rPr>
              <w:t>支付其他与投资活动有关的现金</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jc w:val="center"/>
        </w:trPr>
        <w:tc>
          <w:tcPr>
            <w:tcW w:w="6078" w:type="dxa"/>
            <w:noWrap w:val="0"/>
            <w:vAlign w:val="center"/>
          </w:tcPr>
          <w:p>
            <w:pPr>
              <w:pStyle w:val="9"/>
              <w:spacing w:before="25"/>
              <w:ind w:left="554"/>
              <w:rPr>
                <w:color w:val="000000"/>
                <w:sz w:val="21"/>
              </w:rPr>
            </w:pPr>
            <w:r>
              <w:rPr>
                <w:color w:val="000000"/>
                <w:sz w:val="21"/>
              </w:rPr>
              <w:t>投资活动现金流出小计</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jc w:val="center"/>
        </w:trPr>
        <w:tc>
          <w:tcPr>
            <w:tcW w:w="6078" w:type="dxa"/>
            <w:noWrap w:val="0"/>
            <w:vAlign w:val="center"/>
          </w:tcPr>
          <w:p>
            <w:pPr>
              <w:pStyle w:val="9"/>
              <w:spacing w:before="25"/>
              <w:ind w:left="554"/>
              <w:rPr>
                <w:color w:val="000000"/>
                <w:sz w:val="21"/>
              </w:rPr>
            </w:pPr>
            <w:r>
              <w:rPr>
                <w:color w:val="000000"/>
                <w:sz w:val="21"/>
              </w:rPr>
              <w:t>投资活动产生的现金流量净额</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jc w:val="center"/>
        </w:trPr>
        <w:tc>
          <w:tcPr>
            <w:tcW w:w="6078" w:type="dxa"/>
            <w:noWrap w:val="0"/>
            <w:vAlign w:val="center"/>
          </w:tcPr>
          <w:p>
            <w:pPr>
              <w:pStyle w:val="9"/>
              <w:spacing w:before="25"/>
              <w:ind w:left="554"/>
              <w:rPr>
                <w:color w:val="000000"/>
                <w:sz w:val="21"/>
              </w:rPr>
            </w:pPr>
            <w:r>
              <w:rPr>
                <w:color w:val="000000"/>
                <w:sz w:val="21"/>
              </w:rPr>
              <w:t>三、筹资活动产生的现金流量：</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jc w:val="center"/>
        </w:trPr>
        <w:tc>
          <w:tcPr>
            <w:tcW w:w="6078" w:type="dxa"/>
            <w:noWrap w:val="0"/>
            <w:vAlign w:val="center"/>
          </w:tcPr>
          <w:p>
            <w:pPr>
              <w:pStyle w:val="9"/>
              <w:spacing w:before="25"/>
              <w:ind w:left="554"/>
              <w:rPr>
                <w:color w:val="000000"/>
                <w:sz w:val="21"/>
              </w:rPr>
            </w:pPr>
            <w:r>
              <w:rPr>
                <w:color w:val="000000"/>
                <w:sz w:val="21"/>
              </w:rPr>
              <w:t>吸收投资收到的现金</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jc w:val="center"/>
        </w:trPr>
        <w:tc>
          <w:tcPr>
            <w:tcW w:w="6078" w:type="dxa"/>
            <w:noWrap w:val="0"/>
            <w:vAlign w:val="center"/>
          </w:tcPr>
          <w:p>
            <w:pPr>
              <w:pStyle w:val="9"/>
              <w:spacing w:before="25"/>
              <w:ind w:left="554"/>
              <w:rPr>
                <w:color w:val="000000"/>
                <w:sz w:val="21"/>
              </w:rPr>
            </w:pPr>
            <w:r>
              <w:rPr>
                <w:color w:val="000000"/>
                <w:sz w:val="21"/>
              </w:rPr>
              <w:t>取得借款收到的现金</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jc w:val="center"/>
        </w:trPr>
        <w:tc>
          <w:tcPr>
            <w:tcW w:w="6078" w:type="dxa"/>
            <w:noWrap w:val="0"/>
            <w:vAlign w:val="center"/>
          </w:tcPr>
          <w:p>
            <w:pPr>
              <w:pStyle w:val="9"/>
              <w:spacing w:before="25"/>
              <w:ind w:left="554"/>
              <w:rPr>
                <w:color w:val="000000"/>
                <w:sz w:val="21"/>
              </w:rPr>
            </w:pPr>
            <w:r>
              <w:rPr>
                <w:color w:val="000000"/>
                <w:sz w:val="21"/>
              </w:rPr>
              <w:t>发行债券收到的现金</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jc w:val="center"/>
        </w:trPr>
        <w:tc>
          <w:tcPr>
            <w:tcW w:w="6078" w:type="dxa"/>
            <w:noWrap w:val="0"/>
            <w:vAlign w:val="center"/>
          </w:tcPr>
          <w:p>
            <w:pPr>
              <w:pStyle w:val="9"/>
              <w:spacing w:before="25"/>
              <w:ind w:left="554"/>
              <w:rPr>
                <w:color w:val="000000"/>
                <w:sz w:val="21"/>
              </w:rPr>
            </w:pPr>
            <w:r>
              <w:rPr>
                <w:color w:val="000000"/>
                <w:sz w:val="21"/>
              </w:rPr>
              <w:t>[回购业务资金净增加额]2</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jc w:val="center"/>
        </w:trPr>
        <w:tc>
          <w:tcPr>
            <w:tcW w:w="6078" w:type="dxa"/>
            <w:noWrap w:val="0"/>
            <w:vAlign w:val="center"/>
          </w:tcPr>
          <w:p>
            <w:pPr>
              <w:pStyle w:val="9"/>
              <w:spacing w:before="25"/>
              <w:ind w:left="554"/>
              <w:rPr>
                <w:color w:val="000000"/>
                <w:sz w:val="21"/>
              </w:rPr>
            </w:pPr>
            <w:r>
              <w:rPr>
                <w:color w:val="000000"/>
                <w:sz w:val="21"/>
              </w:rPr>
              <w:t>收到其他与筹资活动有关的现金</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jc w:val="center"/>
        </w:trPr>
        <w:tc>
          <w:tcPr>
            <w:tcW w:w="6078" w:type="dxa"/>
            <w:noWrap w:val="0"/>
            <w:vAlign w:val="center"/>
          </w:tcPr>
          <w:p>
            <w:pPr>
              <w:pStyle w:val="9"/>
              <w:spacing w:before="25"/>
              <w:ind w:left="554"/>
              <w:rPr>
                <w:color w:val="000000"/>
                <w:sz w:val="21"/>
              </w:rPr>
            </w:pPr>
            <w:r>
              <w:rPr>
                <w:color w:val="000000"/>
                <w:sz w:val="21"/>
              </w:rPr>
              <w:t>筹资活动现金流入小计</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jc w:val="center"/>
        </w:trPr>
        <w:tc>
          <w:tcPr>
            <w:tcW w:w="6078" w:type="dxa"/>
            <w:noWrap w:val="0"/>
            <w:vAlign w:val="center"/>
          </w:tcPr>
          <w:p>
            <w:pPr>
              <w:pStyle w:val="9"/>
              <w:spacing w:before="25"/>
              <w:ind w:left="554"/>
              <w:rPr>
                <w:color w:val="000000"/>
                <w:sz w:val="21"/>
              </w:rPr>
            </w:pPr>
            <w:r>
              <w:rPr>
                <w:color w:val="000000"/>
                <w:sz w:val="21"/>
              </w:rPr>
              <w:t>偿还债务支付的现金</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jc w:val="center"/>
        </w:trPr>
        <w:tc>
          <w:tcPr>
            <w:tcW w:w="6078" w:type="dxa"/>
            <w:noWrap w:val="0"/>
            <w:vAlign w:val="center"/>
          </w:tcPr>
          <w:p>
            <w:pPr>
              <w:pStyle w:val="9"/>
              <w:spacing w:before="25"/>
              <w:ind w:left="554"/>
              <w:rPr>
                <w:color w:val="000000"/>
                <w:sz w:val="21"/>
              </w:rPr>
            </w:pPr>
            <w:r>
              <w:rPr>
                <w:color w:val="000000"/>
                <w:sz w:val="21"/>
              </w:rPr>
              <w:t>分配股利、利润或偿付利息支付的现金</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jc w:val="center"/>
        </w:trPr>
        <w:tc>
          <w:tcPr>
            <w:tcW w:w="6078" w:type="dxa"/>
            <w:noWrap w:val="0"/>
            <w:vAlign w:val="center"/>
          </w:tcPr>
          <w:p>
            <w:pPr>
              <w:pStyle w:val="9"/>
              <w:spacing w:before="25"/>
              <w:ind w:left="554"/>
              <w:rPr>
                <w:color w:val="000000"/>
                <w:sz w:val="21"/>
              </w:rPr>
            </w:pPr>
            <w:r>
              <w:rPr>
                <w:color w:val="000000"/>
                <w:sz w:val="21"/>
              </w:rPr>
              <w:t>支付其他与筹资活动有关的现金</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jc w:val="center"/>
        </w:trPr>
        <w:tc>
          <w:tcPr>
            <w:tcW w:w="6078" w:type="dxa"/>
            <w:noWrap w:val="0"/>
            <w:vAlign w:val="center"/>
          </w:tcPr>
          <w:p>
            <w:pPr>
              <w:pStyle w:val="9"/>
              <w:spacing w:before="25"/>
              <w:ind w:left="554"/>
              <w:rPr>
                <w:color w:val="000000"/>
                <w:sz w:val="21"/>
              </w:rPr>
            </w:pPr>
            <w:r>
              <w:rPr>
                <w:color w:val="000000"/>
                <w:sz w:val="21"/>
              </w:rPr>
              <w:t>筹资活动现金流出小计</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jc w:val="center"/>
        </w:trPr>
        <w:tc>
          <w:tcPr>
            <w:tcW w:w="6078" w:type="dxa"/>
            <w:noWrap w:val="0"/>
            <w:vAlign w:val="center"/>
          </w:tcPr>
          <w:p>
            <w:pPr>
              <w:pStyle w:val="9"/>
              <w:spacing w:before="25"/>
              <w:ind w:left="554"/>
              <w:rPr>
                <w:color w:val="000000"/>
                <w:sz w:val="21"/>
              </w:rPr>
            </w:pPr>
            <w:r>
              <w:rPr>
                <w:color w:val="000000"/>
                <w:sz w:val="21"/>
              </w:rPr>
              <w:t>筹资活动产生的现金流量净额</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jc w:val="center"/>
        </w:trPr>
        <w:tc>
          <w:tcPr>
            <w:tcW w:w="6078" w:type="dxa"/>
            <w:noWrap w:val="0"/>
            <w:vAlign w:val="center"/>
          </w:tcPr>
          <w:p>
            <w:pPr>
              <w:pStyle w:val="9"/>
              <w:spacing w:before="25"/>
              <w:ind w:left="554"/>
              <w:rPr>
                <w:color w:val="000000"/>
                <w:sz w:val="21"/>
              </w:rPr>
            </w:pPr>
            <w:r>
              <w:rPr>
                <w:color w:val="000000"/>
                <w:sz w:val="21"/>
              </w:rPr>
              <w:t>四、汇率变动对现金及现金等价物的影响</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jc w:val="center"/>
        </w:trPr>
        <w:tc>
          <w:tcPr>
            <w:tcW w:w="6078" w:type="dxa"/>
            <w:noWrap w:val="0"/>
            <w:vAlign w:val="center"/>
          </w:tcPr>
          <w:p>
            <w:pPr>
              <w:pStyle w:val="9"/>
              <w:spacing w:before="25"/>
              <w:ind w:left="554"/>
              <w:rPr>
                <w:color w:val="000000"/>
                <w:sz w:val="21"/>
              </w:rPr>
            </w:pPr>
            <w:r>
              <w:rPr>
                <w:color w:val="000000"/>
                <w:sz w:val="21"/>
              </w:rPr>
              <w:t>五、现金及现金等价物净增加额</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jc w:val="center"/>
        </w:trPr>
        <w:tc>
          <w:tcPr>
            <w:tcW w:w="6078" w:type="dxa"/>
            <w:noWrap w:val="0"/>
            <w:vAlign w:val="center"/>
          </w:tcPr>
          <w:p>
            <w:pPr>
              <w:pStyle w:val="9"/>
              <w:spacing w:before="25"/>
              <w:ind w:left="554"/>
              <w:rPr>
                <w:color w:val="000000"/>
                <w:sz w:val="21"/>
              </w:rPr>
            </w:pPr>
            <w:r>
              <w:rPr>
                <w:color w:val="000000"/>
                <w:sz w:val="21"/>
              </w:rPr>
              <w:t>加：期初现金及现金等价物余额</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jc w:val="center"/>
        </w:trPr>
        <w:tc>
          <w:tcPr>
            <w:tcW w:w="6078" w:type="dxa"/>
            <w:noWrap w:val="0"/>
            <w:vAlign w:val="center"/>
          </w:tcPr>
          <w:p>
            <w:pPr>
              <w:pStyle w:val="9"/>
              <w:spacing w:before="25"/>
              <w:ind w:left="554"/>
              <w:rPr>
                <w:color w:val="000000"/>
                <w:sz w:val="21"/>
              </w:rPr>
            </w:pPr>
            <w:r>
              <w:rPr>
                <w:color w:val="000000"/>
                <w:sz w:val="21"/>
              </w:rPr>
              <w:t>六、期末现金及现金等价物余额</w:t>
            </w:r>
          </w:p>
        </w:tc>
        <w:tc>
          <w:tcPr>
            <w:tcW w:w="1134" w:type="dxa"/>
            <w:noWrap w:val="0"/>
            <w:vAlign w:val="center"/>
          </w:tcPr>
          <w:p>
            <w:pPr>
              <w:pStyle w:val="9"/>
              <w:rPr>
                <w:rFonts w:ascii="Times New Roman"/>
                <w:color w:val="000000"/>
                <w:sz w:val="20"/>
              </w:rPr>
            </w:pPr>
          </w:p>
        </w:tc>
        <w:tc>
          <w:tcPr>
            <w:tcW w:w="1193" w:type="dxa"/>
            <w:noWrap w:val="0"/>
            <w:vAlign w:val="center"/>
          </w:tcPr>
          <w:p>
            <w:pPr>
              <w:pStyle w:val="9"/>
              <w:rPr>
                <w:rFonts w:ascii="Times New Roman"/>
                <w:color w:val="000000"/>
                <w:sz w:val="20"/>
              </w:rPr>
            </w:pPr>
          </w:p>
        </w:tc>
      </w:tr>
    </w:tbl>
    <w:p>
      <w:pPr>
        <w:rPr>
          <w:color w:val="000000"/>
          <w:szCs w:val="22"/>
        </w:rPr>
      </w:pPr>
    </w:p>
    <w:p>
      <w:pPr>
        <w:pStyle w:val="2"/>
        <w:spacing w:line="20" w:lineRule="exact"/>
        <w:ind w:left="544"/>
        <w:rPr>
          <w:color w:val="000000"/>
          <w:sz w:val="2"/>
        </w:rPr>
      </w:pPr>
    </w:p>
    <w:p>
      <w:pPr>
        <w:pStyle w:val="2"/>
        <w:spacing w:line="44" w:lineRule="exact"/>
        <w:ind w:left="7742"/>
        <w:rPr>
          <w:color w:val="000000"/>
          <w:sz w:val="4"/>
        </w:rPr>
      </w:pPr>
    </w:p>
    <w:p>
      <w:pPr>
        <w:spacing w:line="244" w:lineRule="auto"/>
        <w:ind w:left="778" w:right="949"/>
        <w:rPr>
          <w:color w:val="000000"/>
          <w:szCs w:val="22"/>
        </w:rPr>
      </w:pPr>
      <w:r>
        <w:rPr>
          <w:color w:val="000000"/>
          <w:szCs w:val="22"/>
        </w:rPr>
        <w:t>注 1：[……]</w:t>
      </w:r>
      <w:r>
        <w:rPr>
          <w:color w:val="000000"/>
          <w:szCs w:val="22"/>
          <w:vertAlign w:val="superscript"/>
        </w:rPr>
        <w:t>1</w:t>
      </w:r>
      <w:r>
        <w:rPr>
          <w:color w:val="000000"/>
          <w:szCs w:val="22"/>
        </w:rPr>
        <w:t xml:space="preserve"> 系证券公司专用项目，企业正式使用时不加方括号。下同。</w:t>
      </w:r>
    </w:p>
    <w:p>
      <w:pPr>
        <w:spacing w:line="244" w:lineRule="auto"/>
        <w:ind w:left="778" w:right="949"/>
        <w:rPr>
          <w:color w:val="000000"/>
          <w:szCs w:val="22"/>
        </w:rPr>
      </w:pPr>
      <w:r>
        <w:rPr>
          <w:color w:val="000000"/>
          <w:szCs w:val="22"/>
        </w:rPr>
        <w:t>注 2：[……]</w:t>
      </w:r>
      <w:r>
        <w:rPr>
          <w:color w:val="000000"/>
          <w:szCs w:val="22"/>
          <w:vertAlign w:val="superscript"/>
        </w:rPr>
        <w:t>2</w:t>
      </w:r>
      <w:r>
        <w:rPr>
          <w:color w:val="000000"/>
          <w:szCs w:val="22"/>
        </w:rPr>
        <w:t xml:space="preserve"> 系保险公司专用项目。</w:t>
      </w:r>
    </w:p>
    <w:p>
      <w:pPr>
        <w:spacing w:line="305" w:lineRule="exact"/>
        <w:ind w:left="778"/>
        <w:rPr>
          <w:color w:val="000000"/>
          <w:szCs w:val="22"/>
        </w:rPr>
      </w:pPr>
      <w:r>
        <w:rPr>
          <w:color w:val="000000"/>
          <w:szCs w:val="22"/>
        </w:rPr>
        <w:t>注 3：[……]</w:t>
      </w:r>
      <w:r>
        <w:rPr>
          <w:color w:val="000000"/>
          <w:szCs w:val="22"/>
          <w:vertAlign w:val="superscript"/>
        </w:rPr>
        <w:t>3</w:t>
      </w:r>
      <w:r>
        <w:rPr>
          <w:color w:val="000000"/>
          <w:szCs w:val="22"/>
        </w:rPr>
        <w:t xml:space="preserve"> 系银行专用项目。</w:t>
      </w:r>
    </w:p>
    <w:p>
      <w:pPr>
        <w:spacing w:before="4"/>
        <w:ind w:left="780"/>
        <w:rPr>
          <w:color w:val="000000"/>
          <w:szCs w:val="22"/>
        </w:rPr>
      </w:pPr>
      <w:r>
        <w:rPr>
          <w:color w:val="000000"/>
          <w:szCs w:val="22"/>
        </w:rPr>
        <w:t>注 4：无方括号和角标的项目为通用项目，适用于两类及两类以上金融企业。</w:t>
      </w:r>
    </w:p>
    <w:p>
      <w:pPr>
        <w:pStyle w:val="10"/>
        <w:rPr>
          <w:rFonts w:hint="eastAsia" w:ascii="宋体" w:hAnsi="宋体" w:eastAsia="宋体" w:cs="宋体"/>
          <w:color w:val="000000"/>
        </w:rPr>
      </w:pPr>
      <w:r>
        <w:rPr>
          <w:rFonts w:hint="eastAsia" w:ascii="宋体" w:hAnsi="宋体" w:eastAsia="宋体" w:cs="宋体"/>
          <w:color w:val="000000"/>
        </w:rPr>
        <w:t>【表单说明】</w:t>
      </w:r>
    </w:p>
    <w:p>
      <w:pPr>
        <w:pStyle w:val="2"/>
        <w:widowControl/>
        <w:ind w:firstLine="420" w:firstLineChars="200"/>
        <w:rPr>
          <w:rFonts w:hint="eastAsia" w:ascii="宋体" w:hAnsi="宋体" w:cs="宋体"/>
          <w:color w:val="000000"/>
          <w:szCs w:val="21"/>
        </w:rPr>
      </w:pPr>
      <w:r>
        <w:rPr>
          <w:rFonts w:hint="eastAsia" w:ascii="宋体" w:hAnsi="宋体" w:cs="宋体"/>
          <w:color w:val="000000"/>
          <w:szCs w:val="21"/>
        </w:rPr>
        <w:t xml:space="preserve"> “为交易目的而持有的金融资产净增加额”项目，反映企业因买卖为交易目的而持有的金融资产所支付与收到的经营活动净现金流量。</w:t>
      </w:r>
    </w:p>
    <w:p>
      <w:r>
        <w:rPr>
          <w:rFonts w:hint="eastAsia" w:ascii="宋体" w:hAnsi="宋体" w:eastAsia="宋体" w:cs="宋体"/>
          <w:color w:val="000000"/>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7000E"/>
    <w:multiLevelType w:val="multilevel"/>
    <w:tmpl w:val="1367000E"/>
    <w:lvl w:ilvl="0" w:tentative="0">
      <w:start w:val="1"/>
      <w:numFmt w:val="bullet"/>
      <w:pStyle w:val="7"/>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C22F55"/>
    <w:rsid w:val="20C22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3"/>
    <w:unhideWhenUsed/>
    <w:qFormat/>
    <w:uiPriority w:val="0"/>
    <w:pPr>
      <w:spacing w:after="120"/>
    </w:pPr>
  </w:style>
  <w:style w:type="paragraph" w:customStyle="1" w:styleId="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
    <w:name w:val="标题 2_0"/>
    <w:basedOn w:val="3"/>
    <w:next w:val="3"/>
    <w:qFormat/>
    <w:uiPriority w:val="0"/>
    <w:pPr>
      <w:keepNext/>
      <w:keepLines/>
      <w:spacing w:before="260" w:after="260" w:line="416" w:lineRule="auto"/>
      <w:outlineLvl w:val="1"/>
    </w:pPr>
    <w:rPr>
      <w:rFonts w:ascii="Arial" w:hAnsi="Arial" w:eastAsia="黑体"/>
      <w:b/>
      <w:bCs/>
      <w:sz w:val="32"/>
      <w:szCs w:val="32"/>
    </w:rPr>
  </w:style>
  <w:style w:type="paragraph" w:customStyle="1" w:styleId="7">
    <w:name w:val="四级标题"/>
    <w:basedOn w:val="8"/>
    <w:qFormat/>
    <w:uiPriority w:val="0"/>
    <w:pPr>
      <w:numPr>
        <w:ilvl w:val="0"/>
        <w:numId w:val="1"/>
      </w:numPr>
    </w:pPr>
    <w:rPr>
      <w:rFonts w:eastAsia="宋体" w:cs="Times New Roman"/>
      <w:kern w:val="2"/>
      <w:sz w:val="21"/>
    </w:rPr>
  </w:style>
  <w:style w:type="paragraph" w:customStyle="1" w:styleId="8">
    <w:name w:val="二级标题_0"/>
    <w:basedOn w:val="3"/>
    <w:qFormat/>
    <w:uiPriority w:val="0"/>
    <w:pPr>
      <w:widowControl/>
      <w:ind w:firstLine="420"/>
      <w:jc w:val="left"/>
      <w:outlineLvl w:val="3"/>
    </w:pPr>
    <w:rPr>
      <w:rFonts w:ascii="Arial" w:hAnsi="Arial" w:eastAsia="Times New Roman" w:cs="Arial"/>
      <w:kern w:val="0"/>
      <w:sz w:val="24"/>
      <w:szCs w:val="24"/>
    </w:rPr>
  </w:style>
  <w:style w:type="paragraph" w:customStyle="1" w:styleId="9">
    <w:name w:val="Table Paragraph"/>
    <w:basedOn w:val="1"/>
    <w:qFormat/>
    <w:uiPriority w:val="1"/>
    <w:pPr>
      <w:widowControl w:val="0"/>
      <w:autoSpaceDE w:val="0"/>
      <w:autoSpaceDN w:val="0"/>
    </w:pPr>
    <w:rPr>
      <w:rFonts w:ascii="仿宋" w:hAnsi="仿宋" w:eastAsia="仿宋" w:cs="仿宋"/>
      <w:sz w:val="22"/>
      <w:szCs w:val="22"/>
      <w:lang w:val="zh-CN" w:bidi="zh-CN"/>
    </w:rPr>
  </w:style>
  <w:style w:type="paragraph" w:customStyle="1" w:styleId="10">
    <w:name w:val="一级标题_0"/>
    <w:basedOn w:val="3"/>
    <w:qFormat/>
    <w:uiPriority w:val="0"/>
    <w:pPr>
      <w:widowControl/>
      <w:ind w:firstLine="420"/>
      <w:jc w:val="left"/>
      <w:outlineLvl w:val="2"/>
    </w:pPr>
    <w:rPr>
      <w:rFonts w:ascii="Arial" w:hAnsi="Arial" w:eastAsia="Times New Roman" w:cs="Arial"/>
      <w:b/>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2019-12-12T09:34:00Z</dcterms:created>
  <dc:creator>陈莉佳</dc:creator>
  <cp:lastModifiedBy>陈莉佳</cp:lastModifiedBy>
  <dcterms:modified xsi:type="dcterms:W3CDTF">2019-12-12T09:34:36Z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