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  <w:kern w:val="0"/>
        </w:rPr>
      </w:pPr>
      <w:bookmarkStart w:id="0" w:name="_Toc25328338"/>
      <w:r>
        <w:rPr>
          <w:rFonts w:hint="eastAsia" w:ascii="宋体" w:hAnsi="宋体" w:eastAsia="宋体" w:cs="宋体"/>
          <w:color w:val="000000"/>
        </w:rPr>
        <w:t>C00121</w:t>
      </w:r>
      <w:r>
        <w:rPr>
          <w:rFonts w:hint="eastAsia" w:ascii="宋体" w:hAnsi="宋体" w:eastAsia="宋体" w:cs="宋体"/>
          <w:color w:val="000000"/>
          <w:kern w:val="0"/>
        </w:rPr>
        <w:t>《现金流量表（适用执行企业会计准则的一般企业）》</w:t>
      </w:r>
      <w:bookmarkEnd w:id="0"/>
    </w:p>
    <w:p>
      <w:pPr>
        <w:pStyle w:val="5"/>
        <w:rPr>
          <w:color w:val="000000"/>
        </w:rPr>
      </w:pPr>
      <w:bookmarkStart w:id="1" w:name="_GoBack"/>
      <w:bookmarkEnd w:id="1"/>
      <w:r>
        <w:rPr>
          <w:color w:val="000000"/>
        </w:rPr>
        <w:t> </w:t>
      </w:r>
    </w:p>
    <w:tbl>
      <w:tblPr>
        <w:tblStyle w:val="2"/>
        <w:tblW w:w="112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0"/>
        <w:gridCol w:w="1323"/>
        <w:gridCol w:w="13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</w:rPr>
              <w:t>现金流量表</w:t>
            </w:r>
          </w:p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                                                    会企03表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6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编制单位：             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  <w:u w:val="single"/>
              </w:rPr>
              <w:t>    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  <w:u w:val="single"/>
              </w:rPr>
              <w:t xml:space="preserve">    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月          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项             目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本期金额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上期金额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一、经营活动产生的现金流量：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销售商品、提供劳务收到的现金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收到的税费返还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收到其他与经营活动有关的现金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经营活动现金流入小计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购买商品、接受劳务支付的现金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支付给职工以及为职工支付的现金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支付的各项税费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支付其他与经营活动有关的现金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经营活动现金流出小计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经营活动产生的现金流量净额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二、投资活动产生的现金流量：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收回投资收到的现金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取得投资收益收到的现金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处置固定资产、无形资产和其他长期资产收回的现金净额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处置子公司及其他营业单位收到的现金净额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收到其他与投资活动有关的现金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投资活动现金流入小计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购建固定资产、无形资产和其他长期资产支付的现金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取得子公司及其他营业单位支付的现金净额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支付其他与投资活动有关的现金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投资活动现金流出小计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投资活动产生的现金流量净额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三、筹资活动产生的现金流量：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吸收投资收到的现金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取得借款收到的现金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收到其他与筹资活动有关的现金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筹资活动现金流入小计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偿还债务支付的现金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分配股利、利润或偿付利息支付的现金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支付其他与筹资活动有关的现金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筹资活动现金流出小计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40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筹资活动产生的现金流量净额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10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五、现金及现金等价物净增加额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ind w:firstLine="400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加：期初现金及现金等价物余额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六、期末现金及现金等价物余额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</w:tbl>
    <w:p>
      <w:pPr>
        <w:pStyle w:val="5"/>
        <w:rPr>
          <w:color w:val="000000"/>
        </w:rPr>
      </w:pPr>
      <w:r>
        <w:rPr>
          <w:color w:val="000000"/>
        </w:rPr>
        <w:t> </w:t>
      </w:r>
    </w:p>
    <w:p>
      <w:pPr>
        <w:pStyle w:val="5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5"/>
        <w:ind w:firstLine="420"/>
        <w:rPr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4"/>
        <w:rPr>
          <w:rFonts w:hint="eastAsia" w:ascii="宋体" w:hAnsi="宋体" w:eastAsia="宋体" w:cs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8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1A6F"/>
    <w:rsid w:val="4A4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三级标题"/>
    <w:basedOn w:val="7"/>
    <w:qFormat/>
    <w:uiPriority w:val="0"/>
    <w:pPr>
      <w:ind w:firstLine="422"/>
    </w:pPr>
  </w:style>
  <w:style w:type="paragraph" w:customStyle="1" w:styleId="7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四级标题"/>
    <w:basedOn w:val="9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9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10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1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">
    <w:name w:val="正文1_0_0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2019-12-12T09:25:00Z</dcterms:created>
  <dc:creator>陈莉佳</dc:creator>
  <cp:lastModifiedBy>陈莉佳</cp:lastModifiedBy>
  <dcterms:modified xsi:type="dcterms:W3CDTF">2019-12-12T09:28:54Z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