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color w:val="000000"/>
        </w:rPr>
      </w:pPr>
      <w:bookmarkStart w:id="0" w:name="_Toc25328341"/>
      <w:r>
        <w:rPr>
          <w:rFonts w:hint="eastAsia" w:ascii="宋体" w:hAnsi="宋体" w:eastAsia="宋体" w:cs="宋体"/>
          <w:color w:val="000000"/>
        </w:rPr>
        <w:t>C00127《现金流量表（适用未执行新金融工具准则的商业银行）》</w:t>
      </w:r>
      <w:bookmarkEnd w:id="0"/>
    </w:p>
    <w:p>
      <w:pPr>
        <w:pStyle w:val="10"/>
        <w:rPr>
          <w:rFonts w:ascii="Arial" w:hAnsi="Arial" w:cs="Arial"/>
          <w:color w:val="000000"/>
        </w:rPr>
      </w:pPr>
      <w:bookmarkStart w:id="1" w:name="_GoBack"/>
      <w:bookmarkEnd w:id="1"/>
    </w:p>
    <w:p>
      <w:pPr>
        <w:pStyle w:val="10"/>
        <w:widowControl/>
        <w:spacing w:line="360" w:lineRule="auto"/>
        <w:jc w:val="center"/>
        <w:rPr>
          <w:rFonts w:ascii="宋体" w:hAnsi="宋体" w:cs="Arial"/>
          <w:color w:val="000000"/>
          <w:sz w:val="28"/>
          <w:szCs w:val="28"/>
        </w:rPr>
      </w:pPr>
      <w:r>
        <w:rPr>
          <w:rFonts w:hint="eastAsia" w:ascii="宋体" w:hAnsi="宋体" w:cs="Arial"/>
          <w:color w:val="000000"/>
          <w:sz w:val="28"/>
          <w:szCs w:val="28"/>
        </w:rPr>
        <w:t>现金流量表</w:t>
      </w:r>
    </w:p>
    <w:p>
      <w:pPr>
        <w:pStyle w:val="10"/>
        <w:widowControl/>
        <w:spacing w:line="360" w:lineRule="auto"/>
        <w:jc w:val="center"/>
        <w:rPr>
          <w:rFonts w:ascii="Arial" w:hAnsi="Arial" w:cs="Arial"/>
          <w:color w:val="000000"/>
          <w:szCs w:val="20"/>
        </w:rPr>
      </w:pPr>
      <w:r>
        <w:rPr>
          <w:rFonts w:hint="eastAsia" w:ascii="宋体" w:hAnsi="宋体" w:cs="Arial"/>
          <w:color w:val="000000"/>
          <w:sz w:val="28"/>
          <w:szCs w:val="28"/>
        </w:rPr>
        <w:t>（适用执行企业会计准则的商业银行）</w:t>
      </w:r>
    </w:p>
    <w:p>
      <w:pPr>
        <w:pStyle w:val="11"/>
        <w:spacing w:line="360" w:lineRule="auto"/>
        <w:ind w:right="84"/>
        <w:jc w:val="right"/>
        <w:rPr>
          <w:rFonts w:ascii="宋体" w:hAnsi="宋体" w:cs="仿宋_GB2312"/>
          <w:kern w:val="2"/>
          <w:sz w:val="21"/>
          <w:szCs w:val="21"/>
        </w:rPr>
      </w:pPr>
      <w:r>
        <w:rPr>
          <w:rFonts w:hint="eastAsia" w:ascii="宋体" w:hAnsi="宋体" w:cs="仿宋_GB2312"/>
          <w:kern w:val="2"/>
          <w:sz w:val="21"/>
          <w:szCs w:val="21"/>
        </w:rPr>
        <w:t xml:space="preserve"> 会商银</w:t>
      </w:r>
      <w:r>
        <w:rPr>
          <w:rFonts w:ascii="宋体" w:hAnsi="宋体" w:cs="仿宋_GB2312"/>
          <w:kern w:val="2"/>
          <w:sz w:val="21"/>
          <w:szCs w:val="21"/>
        </w:rPr>
        <w:t>03</w:t>
      </w:r>
      <w:r>
        <w:rPr>
          <w:rFonts w:hint="eastAsia" w:ascii="宋体" w:hAnsi="宋体" w:cs="仿宋_GB2312"/>
          <w:kern w:val="2"/>
          <w:sz w:val="21"/>
          <w:szCs w:val="21"/>
        </w:rPr>
        <w:t>表</w:t>
      </w:r>
    </w:p>
    <w:p>
      <w:pPr>
        <w:pStyle w:val="11"/>
        <w:spacing w:line="360" w:lineRule="auto"/>
        <w:rPr>
          <w:rFonts w:ascii="宋体" w:hAnsi="宋体" w:cs="仿宋_GB2312"/>
          <w:kern w:val="2"/>
          <w:sz w:val="21"/>
          <w:szCs w:val="21"/>
        </w:rPr>
      </w:pPr>
      <w:r>
        <w:rPr>
          <w:rFonts w:hint="eastAsia" w:ascii="宋体" w:hAnsi="宋体" w:cs="仿宋_GB2312"/>
          <w:kern w:val="2"/>
          <w:sz w:val="21"/>
          <w:szCs w:val="21"/>
        </w:rPr>
        <w:t>编制单位：</w:t>
      </w:r>
      <w:r>
        <w:rPr>
          <w:rFonts w:ascii="宋体" w:hAnsi="宋体" w:cs="仿宋_GB2312"/>
          <w:kern w:val="2"/>
          <w:sz w:val="21"/>
          <w:szCs w:val="21"/>
        </w:rPr>
        <w:t xml:space="preserve">                            </w:t>
      </w:r>
      <w:r>
        <w:rPr>
          <w:rFonts w:hint="eastAsia" w:ascii="宋体" w:hAnsi="宋体" w:cs="仿宋_GB2312"/>
          <w:kern w:val="2"/>
          <w:sz w:val="21"/>
          <w:szCs w:val="21"/>
        </w:rPr>
        <w:t>年</w:t>
      </w:r>
      <w:r>
        <w:rPr>
          <w:rFonts w:ascii="宋体" w:hAnsi="宋体" w:cs="仿宋_GB2312"/>
          <w:kern w:val="2"/>
          <w:sz w:val="21"/>
          <w:szCs w:val="21"/>
        </w:rPr>
        <w:t xml:space="preserve">  </w:t>
      </w:r>
      <w:r>
        <w:rPr>
          <w:rFonts w:hint="eastAsia" w:ascii="宋体" w:hAnsi="宋体" w:cs="仿宋_GB2312"/>
          <w:kern w:val="2"/>
          <w:sz w:val="21"/>
          <w:szCs w:val="21"/>
        </w:rPr>
        <w:t>月</w:t>
      </w:r>
      <w:r>
        <w:rPr>
          <w:rFonts w:ascii="宋体" w:hAnsi="宋体" w:cs="仿宋_GB2312"/>
          <w:kern w:val="2"/>
          <w:sz w:val="21"/>
          <w:szCs w:val="21"/>
        </w:rPr>
        <w:tab/>
      </w:r>
      <w:r>
        <w:rPr>
          <w:rFonts w:ascii="宋体" w:hAnsi="宋体" w:cs="仿宋_GB2312"/>
          <w:kern w:val="2"/>
          <w:sz w:val="21"/>
          <w:szCs w:val="21"/>
        </w:rPr>
        <w:t xml:space="preserve">               </w:t>
      </w:r>
      <w:r>
        <w:rPr>
          <w:rFonts w:hint="eastAsia" w:ascii="宋体" w:hAnsi="宋体" w:cs="仿宋_GB2312"/>
          <w:kern w:val="2"/>
          <w:sz w:val="21"/>
          <w:szCs w:val="21"/>
        </w:rPr>
        <w:t xml:space="preserve">        单位：元</w:t>
      </w:r>
    </w:p>
    <w:tbl>
      <w:tblPr>
        <w:tblStyle w:val="2"/>
        <w:tblW w:w="86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0"/>
        <w:gridCol w:w="1435"/>
        <w:gridCol w:w="1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jc w:val="center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项</w:t>
            </w:r>
            <w:r>
              <w:rPr>
                <w:rFonts w:ascii="宋体" w:hAnsi="宋体" w:cs="仿宋_GB2312"/>
                <w:kern w:val="2"/>
                <w:sz w:val="21"/>
                <w:szCs w:val="21"/>
              </w:rPr>
              <w:tab/>
            </w:r>
            <w:r>
              <w:rPr>
                <w:rFonts w:ascii="宋体" w:hAnsi="宋体" w:cs="仿宋_GB2312"/>
                <w:kern w:val="2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目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本期金额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jc w:val="center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上期金额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一、经营活动产生的现金流量：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客户存款和同业存放款项净增加额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向中央银行借款净增加额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向其他金融机构拆入资金净增加额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收取利息、手续费及佣金的现金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收到其他与经营活动有关的现金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经营活动现金流入小计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客户贷款及垫款净增加额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存放中央银行和同业款项净增加额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支付手续费及佣金的现金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支付给职工以及为职工支付的现金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支付的各项税费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支付其他与经营活动有关的现金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经营活动现金流出小计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经营活动产生的现金流量净额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二、投资活动产生的现金流量：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收回投资收到的现金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取得投资收益收到的现金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收到其他与投资活动有关的现金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投资活动现金流入小计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投资支付的现金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购建固定资产、无形资产和其他长期资产支付的现金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支付其他与投资活动有关的现金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投资活动现金流出小计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投资活动产生的现金流量净额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三、筹资活动产生的现金流量：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吸收投资收到的现金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发行债券收到的现金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收到其他与筹资活动有关的现金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筹资活动现金流入小计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偿还债务支付的现金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分配股利、利润或偿付利息支付的现金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支付其他与筹资活动有关的现金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筹资活动现金流出小计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筹资活动产生的现金流量净额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四、汇率变动对现金及现金等价物的影响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五、现金及现金等价物净增加额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加：期初现金及现金等价物余额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57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2"/>
                <w:sz w:val="21"/>
                <w:szCs w:val="21"/>
              </w:rPr>
              <w:t>六、期末现金及现金等价物余额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pStyle w:val="11"/>
              <w:ind w:firstLine="420"/>
              <w:rPr>
                <w:rFonts w:ascii="宋体" w:hAnsi="宋体" w:cs="仿宋_GB2312"/>
                <w:kern w:val="2"/>
                <w:sz w:val="21"/>
                <w:szCs w:val="21"/>
              </w:rPr>
            </w:pPr>
          </w:p>
        </w:tc>
      </w:tr>
    </w:tbl>
    <w:p>
      <w:pPr>
        <w:pStyle w:val="10"/>
        <w:rPr>
          <w:rFonts w:ascii="Arial" w:hAnsi="Arial" w:cs="Arial"/>
          <w:color w:val="000000"/>
        </w:rPr>
      </w:pPr>
    </w:p>
    <w:p>
      <w:pPr>
        <w:pStyle w:val="6"/>
        <w:ind w:firstLine="422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【表单说明】</w:t>
      </w:r>
    </w:p>
    <w:p>
      <w:pPr>
        <w:pStyle w:val="10"/>
        <w:ind w:firstLine="42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>
      <w:pPr>
        <w:pStyle w:val="10"/>
        <w:rPr>
          <w:rFonts w:ascii="Arial" w:hAnsi="Arial" w:cs="Arial"/>
          <w:color w:val="000000"/>
        </w:rPr>
      </w:pPr>
    </w:p>
    <w:p>
      <w:pPr>
        <w:pStyle w:val="12"/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7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24F60"/>
    <w:rsid w:val="7A52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一级标题_0"/>
    <w:basedOn w:val="5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7">
    <w:name w:val="四级标题"/>
    <w:basedOn w:val="8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8">
    <w:name w:val="二级标题_0"/>
    <w:basedOn w:val="5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5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正文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_0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2019-12-12T10:11:00Z</dcterms:created>
  <dc:creator>陈莉佳</dc:creator>
  <cp:lastModifiedBy>陈莉佳</cp:lastModifiedBy>
  <dcterms:modified xsi:type="dcterms:W3CDTF">2019-12-12T10:11:48Z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