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color w:val="000000"/>
          <w:szCs w:val="21"/>
        </w:rPr>
      </w:pPr>
      <w:bookmarkStart w:id="1" w:name="_GoBack"/>
      <w:bookmarkStart w:id="0" w:name="_Toc25328296"/>
      <w:r>
        <w:rPr>
          <w:rFonts w:hint="eastAsia" w:ascii="宋体" w:hAnsi="宋体"/>
          <w:color w:val="000000"/>
        </w:rPr>
        <w:t>A</w:t>
      </w:r>
      <w:r>
        <w:rPr>
          <w:rFonts w:ascii="宋体" w:hAnsi="宋体"/>
          <w:color w:val="000000"/>
        </w:rPr>
        <w:t>06896</w:t>
      </w:r>
      <w:r>
        <w:rPr>
          <w:rFonts w:hint="eastAsia"/>
          <w:color w:val="000000"/>
          <w:szCs w:val="21"/>
        </w:rPr>
        <w:t>《利润表（适用已执行新金融工具准则的金融企业）》</w:t>
      </w:r>
      <w:bookmarkEnd w:id="1"/>
      <w:bookmarkEnd w:id="0"/>
    </w:p>
    <w:p>
      <w:pPr>
        <w:pStyle w:val="3"/>
        <w:jc w:val="center"/>
        <w:rPr>
          <w:rFonts w:ascii="宋体" w:hAnsi="宋体"/>
          <w:b/>
          <w:color w:val="000000"/>
          <w:szCs w:val="21"/>
        </w:rPr>
      </w:pPr>
      <w:r>
        <w:rPr>
          <w:rFonts w:hint="eastAsia" w:ascii="宋体" w:hAnsi="宋体"/>
          <w:b/>
          <w:color w:val="000000"/>
          <w:szCs w:val="21"/>
        </w:rPr>
        <w:t>利润表</w:t>
      </w:r>
    </w:p>
    <w:p>
      <w:pPr>
        <w:pStyle w:val="3"/>
        <w:jc w:val="center"/>
        <w:rPr>
          <w:rFonts w:ascii="宋体" w:hAnsi="宋体"/>
          <w:b/>
          <w:color w:val="000000"/>
          <w:szCs w:val="21"/>
        </w:rPr>
      </w:pPr>
    </w:p>
    <w:p>
      <w:pPr>
        <w:ind w:left="1194"/>
        <w:rPr>
          <w:color w:val="000000"/>
          <w:sz w:val="21"/>
          <w:szCs w:val="21"/>
        </w:rPr>
      </w:pPr>
      <w:r>
        <w:rPr>
          <w:color w:val="000000"/>
          <w:sz w:val="21"/>
          <w:szCs w:val="21"/>
        </w:rPr>
        <w:t xml:space="preserve">                                                           </w:t>
      </w:r>
      <w:r>
        <w:rPr>
          <w:rFonts w:hint="eastAsia"/>
          <w:color w:val="000000"/>
          <w:sz w:val="21"/>
          <w:szCs w:val="21"/>
        </w:rPr>
        <w:t>会金融</w:t>
      </w:r>
      <w:r>
        <w:rPr>
          <w:color w:val="000000"/>
          <w:sz w:val="21"/>
          <w:szCs w:val="21"/>
        </w:rPr>
        <w:t xml:space="preserve"> 02 表</w:t>
      </w:r>
    </w:p>
    <w:p>
      <w:pPr>
        <w:tabs>
          <w:tab w:val="left" w:pos="4606"/>
          <w:tab w:val="left" w:pos="5026"/>
          <w:tab w:val="left" w:pos="8176"/>
        </w:tabs>
        <w:spacing w:before="43" w:after="19"/>
        <w:ind w:left="660"/>
        <w:rPr>
          <w:color w:val="000000"/>
          <w:sz w:val="21"/>
          <w:szCs w:val="21"/>
        </w:rPr>
      </w:pPr>
      <w:r>
        <w:rPr>
          <w:color w:val="000000"/>
          <w:sz w:val="21"/>
          <w:szCs w:val="21"/>
        </w:rPr>
        <w:t>编制</w:t>
      </w:r>
      <w:r>
        <w:rPr>
          <w:color w:val="000000"/>
          <w:spacing w:val="-3"/>
          <w:sz w:val="21"/>
          <w:szCs w:val="21"/>
        </w:rPr>
        <w:t>单</w:t>
      </w:r>
      <w:r>
        <w:rPr>
          <w:color w:val="000000"/>
          <w:sz w:val="21"/>
          <w:szCs w:val="21"/>
        </w:rPr>
        <w:t>位：</w:t>
      </w:r>
      <w:r>
        <w:rPr>
          <w:color w:val="000000"/>
          <w:sz w:val="21"/>
          <w:szCs w:val="21"/>
        </w:rPr>
        <w:tab/>
      </w:r>
      <w:r>
        <w:rPr>
          <w:color w:val="000000"/>
          <w:sz w:val="21"/>
          <w:szCs w:val="21"/>
        </w:rPr>
        <w:t>年</w:t>
      </w:r>
      <w:r>
        <w:rPr>
          <w:color w:val="000000"/>
          <w:sz w:val="21"/>
          <w:szCs w:val="21"/>
        </w:rPr>
        <w:tab/>
      </w:r>
      <w:r>
        <w:rPr>
          <w:color w:val="000000"/>
          <w:sz w:val="21"/>
          <w:szCs w:val="21"/>
        </w:rPr>
        <w:t>月</w:t>
      </w:r>
      <w:r>
        <w:rPr>
          <w:color w:val="000000"/>
          <w:sz w:val="21"/>
          <w:szCs w:val="21"/>
        </w:rPr>
        <w:tab/>
      </w:r>
      <w:r>
        <w:rPr>
          <w:color w:val="000000"/>
          <w:spacing w:val="-3"/>
          <w:sz w:val="21"/>
          <w:szCs w:val="21"/>
        </w:rPr>
        <w:t>单</w:t>
      </w:r>
      <w:r>
        <w:rPr>
          <w:color w:val="000000"/>
          <w:sz w:val="21"/>
          <w:szCs w:val="21"/>
        </w:rPr>
        <w:t>位</w:t>
      </w:r>
      <w:r>
        <w:rPr>
          <w:color w:val="000000"/>
          <w:spacing w:val="-48"/>
          <w:sz w:val="21"/>
          <w:szCs w:val="21"/>
        </w:rPr>
        <w:t>：</w:t>
      </w:r>
      <w:r>
        <w:rPr>
          <w:color w:val="000000"/>
          <w:sz w:val="21"/>
          <w:szCs w:val="21"/>
        </w:rPr>
        <w:t>元</w:t>
      </w:r>
    </w:p>
    <w:p>
      <w:pPr>
        <w:pStyle w:val="2"/>
        <w:spacing w:line="20" w:lineRule="exact"/>
        <w:ind w:left="544"/>
        <w:rPr>
          <w:color w:val="000000"/>
          <w:szCs w:val="21"/>
        </w:rPr>
      </w:pPr>
    </w:p>
    <w:tbl>
      <w:tblPr>
        <w:tblStyle w:val="4"/>
        <w:tblW w:w="8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8"/>
        <w:gridCol w:w="1134"/>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8" w:hRule="atLeast"/>
        </w:trPr>
        <w:tc>
          <w:tcPr>
            <w:tcW w:w="6078" w:type="dxa"/>
            <w:noWrap w:val="0"/>
            <w:vAlign w:val="top"/>
          </w:tcPr>
          <w:p>
            <w:pPr>
              <w:pStyle w:val="8"/>
              <w:spacing w:before="10" w:line="268" w:lineRule="exact"/>
              <w:ind w:left="820" w:right="784"/>
              <w:jc w:val="center"/>
              <w:rPr>
                <w:color w:val="000000"/>
                <w:sz w:val="21"/>
                <w:szCs w:val="21"/>
              </w:rPr>
            </w:pPr>
            <w:r>
              <w:rPr>
                <w:color w:val="000000"/>
                <w:sz w:val="21"/>
                <w:szCs w:val="21"/>
              </w:rPr>
              <w:t>项目</w:t>
            </w:r>
          </w:p>
        </w:tc>
        <w:tc>
          <w:tcPr>
            <w:tcW w:w="1134" w:type="dxa"/>
            <w:noWrap w:val="0"/>
            <w:vAlign w:val="top"/>
          </w:tcPr>
          <w:p>
            <w:pPr>
              <w:pStyle w:val="8"/>
              <w:spacing w:before="10" w:line="268" w:lineRule="exact"/>
              <w:ind w:left="145"/>
              <w:rPr>
                <w:color w:val="000000"/>
                <w:sz w:val="21"/>
                <w:szCs w:val="21"/>
              </w:rPr>
            </w:pPr>
            <w:r>
              <w:rPr>
                <w:color w:val="000000"/>
                <w:sz w:val="21"/>
                <w:szCs w:val="21"/>
              </w:rPr>
              <w:t>本期金额</w:t>
            </w:r>
          </w:p>
        </w:tc>
        <w:tc>
          <w:tcPr>
            <w:tcW w:w="1193" w:type="dxa"/>
            <w:noWrap w:val="0"/>
            <w:vAlign w:val="top"/>
          </w:tcPr>
          <w:p>
            <w:pPr>
              <w:pStyle w:val="8"/>
              <w:spacing w:before="10" w:line="268" w:lineRule="exact"/>
              <w:ind w:left="174"/>
              <w:rPr>
                <w:color w:val="000000"/>
                <w:sz w:val="21"/>
                <w:szCs w:val="21"/>
              </w:rPr>
            </w:pPr>
            <w:r>
              <w:rPr>
                <w:color w:val="000000"/>
                <w:sz w:val="21"/>
                <w:szCs w:val="21"/>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6078" w:type="dxa"/>
            <w:noWrap w:val="0"/>
            <w:vAlign w:val="top"/>
          </w:tcPr>
          <w:p>
            <w:pPr>
              <w:pStyle w:val="8"/>
              <w:spacing w:before="22"/>
              <w:ind w:left="129"/>
              <w:rPr>
                <w:color w:val="000000"/>
                <w:sz w:val="21"/>
                <w:szCs w:val="21"/>
              </w:rPr>
            </w:pPr>
            <w:r>
              <w:rPr>
                <w:color w:val="000000"/>
                <w:sz w:val="21"/>
                <w:szCs w:val="21"/>
              </w:rPr>
              <w:t>一、营业总收入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利息收入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35"/>
              <w:rPr>
                <w:color w:val="000000"/>
                <w:sz w:val="21"/>
                <w:szCs w:val="21"/>
              </w:rPr>
            </w:pPr>
            <w:r>
              <w:rPr>
                <w:color w:val="000000"/>
                <w:sz w:val="21"/>
                <w:szCs w:val="21"/>
              </w:rPr>
              <w:t>[已赚保费</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535"/>
              <w:rPr>
                <w:color w:val="000000"/>
                <w:sz w:val="21"/>
                <w:szCs w:val="21"/>
              </w:rPr>
            </w:pPr>
            <w:r>
              <w:rPr>
                <w:color w:val="000000"/>
                <w:sz w:val="21"/>
                <w:szCs w:val="21"/>
              </w:rPr>
              <w:t>保险业务收入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746"/>
              <w:rPr>
                <w:color w:val="000000"/>
                <w:sz w:val="21"/>
                <w:szCs w:val="21"/>
              </w:rPr>
            </w:pPr>
            <w:r>
              <w:rPr>
                <w:color w:val="000000"/>
                <w:sz w:val="21"/>
                <w:szCs w:val="21"/>
              </w:rPr>
              <w:t>其中：分保费收入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535"/>
              <w:rPr>
                <w:color w:val="000000"/>
                <w:sz w:val="21"/>
                <w:szCs w:val="21"/>
              </w:rPr>
            </w:pPr>
            <w:r>
              <w:rPr>
                <w:color w:val="000000"/>
                <w:sz w:val="21"/>
                <w:szCs w:val="21"/>
              </w:rPr>
              <w:t>减：分出保费</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78" w:type="dxa"/>
            <w:noWrap w:val="0"/>
            <w:vAlign w:val="top"/>
          </w:tcPr>
          <w:p>
            <w:pPr>
              <w:pStyle w:val="8"/>
              <w:spacing w:before="15" w:line="276" w:lineRule="exact"/>
              <w:ind w:left="535"/>
              <w:rPr>
                <w:color w:val="000000"/>
                <w:sz w:val="21"/>
                <w:szCs w:val="21"/>
              </w:rPr>
            </w:pPr>
            <w:r>
              <w:rPr>
                <w:color w:val="000000"/>
                <w:sz w:val="21"/>
                <w:szCs w:val="21"/>
              </w:rPr>
              <w:t>提取未到期责任准备金]</w:t>
            </w:r>
            <w:r>
              <w:rPr>
                <w:color w:val="000000"/>
                <w:position w:val="11"/>
                <w:sz w:val="21"/>
                <w:szCs w:val="21"/>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手续费及佣金收入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664"/>
              <w:rPr>
                <w:color w:val="000000"/>
                <w:sz w:val="21"/>
                <w:szCs w:val="21"/>
              </w:rPr>
            </w:pPr>
            <w:r>
              <w:rPr>
                <w:color w:val="000000"/>
                <w:sz w:val="21"/>
                <w:szCs w:val="21"/>
              </w:rPr>
              <w:t>[其中：经纪业务手续费收入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7" w:lineRule="exact"/>
              <w:ind w:left="1389"/>
              <w:rPr>
                <w:color w:val="000000"/>
                <w:sz w:val="21"/>
                <w:szCs w:val="21"/>
              </w:rPr>
            </w:pPr>
            <w:r>
              <w:rPr>
                <w:color w:val="000000"/>
                <w:sz w:val="21"/>
                <w:szCs w:val="21"/>
              </w:rPr>
              <w:t>投资银行业务手续费收入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1389"/>
              <w:rPr>
                <w:color w:val="000000"/>
                <w:sz w:val="21"/>
                <w:szCs w:val="21"/>
              </w:rPr>
            </w:pPr>
            <w:r>
              <w:rPr>
                <w:color w:val="000000"/>
                <w:sz w:val="21"/>
                <w:szCs w:val="21"/>
              </w:rPr>
              <w:t>资产管理业务手续费收入]</w:t>
            </w:r>
            <w:r>
              <w:rPr>
                <w:color w:val="000000"/>
                <w:position w:val="11"/>
                <w:sz w:val="21"/>
                <w:szCs w:val="21"/>
              </w:rPr>
              <w:t>1</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投资收益（损失以“-”号填列）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791"/>
              <w:rPr>
                <w:color w:val="000000"/>
                <w:sz w:val="21"/>
                <w:szCs w:val="21"/>
              </w:rPr>
            </w:pPr>
            <w:r>
              <w:rPr>
                <w:color w:val="000000"/>
                <w:sz w:val="21"/>
                <w:szCs w:val="21"/>
              </w:rPr>
              <w:t>其中：对联营企业和合营企业的投资收益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trPr>
        <w:tc>
          <w:tcPr>
            <w:tcW w:w="6078" w:type="dxa"/>
            <w:noWrap w:val="0"/>
            <w:vAlign w:val="top"/>
          </w:tcPr>
          <w:p>
            <w:pPr>
              <w:pStyle w:val="8"/>
              <w:spacing w:before="17"/>
              <w:ind w:left="1389"/>
              <w:rPr>
                <w:color w:val="000000"/>
                <w:sz w:val="21"/>
                <w:szCs w:val="21"/>
              </w:rPr>
            </w:pPr>
            <w:r>
              <w:rPr>
                <w:color w:val="000000"/>
                <w:sz w:val="21"/>
                <w:szCs w:val="21"/>
              </w:rPr>
              <w:t>以摊余成本计量的金融资产终止确认产生的收</w:t>
            </w:r>
          </w:p>
          <w:p>
            <w:pPr>
              <w:pStyle w:val="8"/>
              <w:spacing w:before="30" w:line="276" w:lineRule="exact"/>
              <w:ind w:left="1389"/>
              <w:rPr>
                <w:color w:val="000000"/>
                <w:sz w:val="21"/>
                <w:szCs w:val="21"/>
              </w:rPr>
            </w:pPr>
            <w:r>
              <w:rPr>
                <w:color w:val="000000"/>
                <w:sz w:val="21"/>
                <w:szCs w:val="21"/>
              </w:rPr>
              <w:t>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净敞口套期收益（损失以“-”号填列）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3"/>
              <w:ind w:left="535"/>
              <w:rPr>
                <w:color w:val="000000"/>
                <w:sz w:val="21"/>
                <w:szCs w:val="21"/>
              </w:rPr>
            </w:pPr>
            <w:r>
              <w:rPr>
                <w:color w:val="000000"/>
                <w:sz w:val="21"/>
                <w:szCs w:val="21"/>
              </w:rPr>
              <w:t>其他收益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公允价值变动收益（损失以“-”号填列）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汇兑收益（损失以“-”号填列）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其他业务收入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535"/>
              <w:rPr>
                <w:color w:val="000000"/>
                <w:sz w:val="21"/>
                <w:szCs w:val="21"/>
              </w:rPr>
            </w:pPr>
            <w:r>
              <w:rPr>
                <w:color w:val="000000"/>
                <w:sz w:val="21"/>
                <w:szCs w:val="21"/>
              </w:rPr>
              <w:t>资产处置收益（损失以“-”号填列）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129"/>
              <w:rPr>
                <w:color w:val="000000"/>
                <w:sz w:val="21"/>
                <w:szCs w:val="21"/>
              </w:rPr>
            </w:pPr>
            <w:r>
              <w:rPr>
                <w:color w:val="000000"/>
                <w:sz w:val="21"/>
                <w:szCs w:val="21"/>
              </w:rPr>
              <w:t>二、营业总支出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利息支出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手续费及佣金支出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664"/>
              <w:rPr>
                <w:color w:val="000000"/>
                <w:sz w:val="21"/>
                <w:szCs w:val="21"/>
              </w:rPr>
            </w:pPr>
            <w:r>
              <w:rPr>
                <w:color w:val="000000"/>
                <w:sz w:val="21"/>
                <w:szCs w:val="21"/>
              </w:rPr>
              <w:t>[其中：经纪业务手续费支出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1435"/>
              <w:rPr>
                <w:color w:val="000000"/>
                <w:sz w:val="21"/>
                <w:szCs w:val="21"/>
              </w:rPr>
            </w:pPr>
            <w:r>
              <w:rPr>
                <w:color w:val="000000"/>
                <w:sz w:val="21"/>
                <w:szCs w:val="21"/>
              </w:rPr>
              <w:t>投资银行业务手续费支出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6078" w:type="dxa"/>
            <w:noWrap w:val="0"/>
            <w:vAlign w:val="top"/>
          </w:tcPr>
          <w:p>
            <w:pPr>
              <w:pStyle w:val="8"/>
              <w:spacing w:before="18" w:line="277" w:lineRule="exact"/>
              <w:ind w:left="1435"/>
              <w:rPr>
                <w:color w:val="000000"/>
                <w:sz w:val="21"/>
                <w:szCs w:val="21"/>
              </w:rPr>
            </w:pPr>
            <w:r>
              <w:rPr>
                <w:color w:val="000000"/>
                <w:sz w:val="21"/>
                <w:szCs w:val="21"/>
              </w:rPr>
              <w:t>资产管理业务手续费支出]</w:t>
            </w:r>
            <w:r>
              <w:rPr>
                <w:color w:val="000000"/>
                <w:position w:val="11"/>
                <w:sz w:val="21"/>
                <w:szCs w:val="21"/>
              </w:rPr>
              <w:t>1</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[退保金]</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[赔付支出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减：摊回赔付支出]</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[提取保险责任准备金</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减：摊回保险责任准备金]</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[保单红利支出]</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[分保费用]</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税金及附加</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7" w:lineRule="exact"/>
              <w:ind w:left="554"/>
              <w:rPr>
                <w:color w:val="000000"/>
                <w:sz w:val="21"/>
                <w:szCs w:val="21"/>
              </w:rPr>
            </w:pPr>
            <w:r>
              <w:rPr>
                <w:color w:val="000000"/>
                <w:sz w:val="21"/>
                <w:szCs w:val="21"/>
              </w:rPr>
              <w:t>业务及管理费</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15" w:line="276" w:lineRule="exact"/>
              <w:ind w:left="554"/>
              <w:rPr>
                <w:color w:val="000000"/>
                <w:sz w:val="21"/>
                <w:szCs w:val="21"/>
              </w:rPr>
            </w:pPr>
            <w:r>
              <w:rPr>
                <w:color w:val="000000"/>
                <w:sz w:val="21"/>
                <w:szCs w:val="21"/>
              </w:rPr>
              <w:t>[减：摊回分保费用]</w:t>
            </w:r>
            <w:r>
              <w:rPr>
                <w:color w:val="000000"/>
                <w:sz w:val="21"/>
                <w:szCs w:val="21"/>
                <w:vertAlign w:val="superscript"/>
              </w:rPr>
              <w:t>2</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5" w:line="279" w:lineRule="exact"/>
              <w:ind w:left="554"/>
              <w:rPr>
                <w:color w:val="000000"/>
                <w:sz w:val="21"/>
                <w:szCs w:val="21"/>
              </w:rPr>
            </w:pPr>
            <w:r>
              <w:rPr>
                <w:color w:val="000000"/>
                <w:sz w:val="21"/>
                <w:szCs w:val="21"/>
              </w:rPr>
              <w:t>信用减值损失</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6078" w:type="dxa"/>
            <w:noWrap w:val="0"/>
            <w:vAlign w:val="top"/>
          </w:tcPr>
          <w:p>
            <w:pPr>
              <w:pStyle w:val="8"/>
              <w:spacing w:before="14" w:line="276" w:lineRule="exact"/>
              <w:ind w:left="554"/>
              <w:rPr>
                <w:color w:val="000000"/>
                <w:sz w:val="21"/>
                <w:szCs w:val="21"/>
              </w:rPr>
            </w:pPr>
            <w:r>
              <w:rPr>
                <w:color w:val="000000"/>
                <w:sz w:val="21"/>
                <w:szCs w:val="21"/>
              </w:rPr>
              <w:t>其他资产减值损失</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17" w:line="276" w:lineRule="exact"/>
              <w:ind w:left="554"/>
              <w:rPr>
                <w:color w:val="000000"/>
                <w:sz w:val="21"/>
                <w:szCs w:val="21"/>
              </w:rPr>
            </w:pPr>
            <w:r>
              <w:rPr>
                <w:color w:val="000000"/>
                <w:sz w:val="21"/>
                <w:szCs w:val="21"/>
              </w:rPr>
              <w:t>其他业务成本</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129"/>
              <w:rPr>
                <w:color w:val="000000"/>
                <w:sz w:val="21"/>
                <w:szCs w:val="21"/>
              </w:rPr>
            </w:pPr>
            <w:r>
              <w:rPr>
                <w:color w:val="000000"/>
                <w:sz w:val="21"/>
                <w:szCs w:val="21"/>
              </w:rPr>
              <w:t>三、营业利润（亏损以“-”号填列）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554"/>
              <w:rPr>
                <w:color w:val="000000"/>
                <w:sz w:val="21"/>
                <w:szCs w:val="21"/>
              </w:rPr>
            </w:pPr>
            <w:r>
              <w:rPr>
                <w:color w:val="000000"/>
                <w:sz w:val="21"/>
                <w:szCs w:val="21"/>
              </w:rPr>
              <w:t>加：营业外收入</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554"/>
              <w:rPr>
                <w:color w:val="000000"/>
                <w:sz w:val="21"/>
                <w:szCs w:val="21"/>
              </w:rPr>
            </w:pPr>
            <w:r>
              <w:rPr>
                <w:color w:val="000000"/>
                <w:sz w:val="21"/>
                <w:szCs w:val="21"/>
              </w:rPr>
              <w:t>减：营业外支出</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129"/>
              <w:rPr>
                <w:color w:val="000000"/>
                <w:sz w:val="21"/>
                <w:szCs w:val="21"/>
              </w:rPr>
            </w:pPr>
            <w:r>
              <w:rPr>
                <w:color w:val="000000"/>
                <w:sz w:val="21"/>
                <w:szCs w:val="21"/>
              </w:rPr>
              <w:t>四、利润总额（亏损总额以“-”号填列）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554"/>
              <w:rPr>
                <w:color w:val="000000"/>
                <w:sz w:val="21"/>
                <w:szCs w:val="21"/>
              </w:rPr>
            </w:pPr>
            <w:r>
              <w:rPr>
                <w:color w:val="000000"/>
                <w:sz w:val="21"/>
                <w:szCs w:val="21"/>
              </w:rPr>
              <w:t>减：所得税费用</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129"/>
              <w:rPr>
                <w:color w:val="000000"/>
                <w:sz w:val="21"/>
                <w:szCs w:val="21"/>
              </w:rPr>
            </w:pPr>
            <w:r>
              <w:rPr>
                <w:color w:val="000000"/>
                <w:sz w:val="21"/>
                <w:szCs w:val="21"/>
              </w:rPr>
              <w:t>五、净利润（净亏损以“-”号填列）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412"/>
              <w:rPr>
                <w:color w:val="000000"/>
                <w:sz w:val="21"/>
                <w:szCs w:val="21"/>
              </w:rPr>
            </w:pPr>
            <w:r>
              <w:rPr>
                <w:color w:val="000000"/>
                <w:sz w:val="21"/>
                <w:szCs w:val="21"/>
              </w:rPr>
              <w:t>（一）持续经营净利润（净亏损以“-”号填列）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412"/>
              <w:rPr>
                <w:color w:val="000000"/>
                <w:sz w:val="21"/>
                <w:szCs w:val="21"/>
              </w:rPr>
            </w:pPr>
            <w:r>
              <w:rPr>
                <w:color w:val="000000"/>
                <w:sz w:val="21"/>
                <w:szCs w:val="21"/>
              </w:rPr>
              <w:t>（二）终止经营净利润（净亏损以“-”号填列）</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129"/>
              <w:rPr>
                <w:color w:val="000000"/>
                <w:sz w:val="21"/>
                <w:szCs w:val="21"/>
              </w:rPr>
            </w:pPr>
            <w:r>
              <w:rPr>
                <w:color w:val="000000"/>
                <w:sz w:val="21"/>
                <w:szCs w:val="21"/>
              </w:rPr>
              <w:t>六、其他综合收益的税后净额</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412"/>
              <w:rPr>
                <w:color w:val="000000"/>
                <w:sz w:val="21"/>
                <w:szCs w:val="21"/>
              </w:rPr>
            </w:pPr>
            <w:r>
              <w:rPr>
                <w:color w:val="000000"/>
                <w:sz w:val="21"/>
                <w:szCs w:val="21"/>
              </w:rPr>
              <w:t>（一）不能重分类进损益的其他综合收益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1．重新计量设定受益计划变动额</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837"/>
              <w:rPr>
                <w:color w:val="000000"/>
                <w:sz w:val="21"/>
                <w:szCs w:val="21"/>
              </w:rPr>
            </w:pPr>
            <w:r>
              <w:rPr>
                <w:color w:val="000000"/>
                <w:sz w:val="21"/>
                <w:szCs w:val="21"/>
              </w:rPr>
              <w:t>2．权益法下不能转损益的其他综合收益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3．其他权益工具投资公允价值变动</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4．企业自身信用风险公允价值变动</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34"/>
              <w:ind w:left="837"/>
              <w:rPr>
                <w:color w:val="000000"/>
                <w:sz w:val="21"/>
                <w:szCs w:val="21"/>
              </w:rPr>
            </w:pPr>
            <w:r>
              <w:rPr>
                <w:color w:val="000000"/>
                <w:sz w:val="21"/>
                <w:szCs w:val="21"/>
              </w:rPr>
              <w:t>……</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412"/>
              <w:rPr>
                <w:color w:val="000000"/>
                <w:sz w:val="21"/>
                <w:szCs w:val="21"/>
              </w:rPr>
            </w:pPr>
            <w:r>
              <w:rPr>
                <w:color w:val="000000"/>
                <w:sz w:val="21"/>
                <w:szCs w:val="21"/>
              </w:rPr>
              <w:t>（二）将重分类进损益的其他综合收益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1．权益法下可转损益的其他综合收益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2．其他债权投资公允价值变动</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20" w:right="1115"/>
              <w:jc w:val="center"/>
              <w:rPr>
                <w:color w:val="000000"/>
                <w:sz w:val="21"/>
                <w:szCs w:val="21"/>
              </w:rPr>
            </w:pPr>
            <w:r>
              <w:rPr>
                <w:color w:val="000000"/>
                <w:sz w:val="21"/>
                <w:szCs w:val="21"/>
              </w:rPr>
              <w:t>3．金融资产重分类计入其他综合收益的金额</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837"/>
              <w:rPr>
                <w:color w:val="000000"/>
                <w:sz w:val="21"/>
                <w:szCs w:val="21"/>
              </w:rPr>
            </w:pPr>
            <w:r>
              <w:rPr>
                <w:color w:val="000000"/>
                <w:sz w:val="21"/>
                <w:szCs w:val="21"/>
              </w:rPr>
              <w:t>4．其他债权投资信用损失准备</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5．现金流量套期储备</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837"/>
              <w:rPr>
                <w:color w:val="000000"/>
                <w:sz w:val="21"/>
                <w:szCs w:val="21"/>
              </w:rPr>
            </w:pPr>
            <w:r>
              <w:rPr>
                <w:color w:val="000000"/>
                <w:sz w:val="21"/>
                <w:szCs w:val="21"/>
              </w:rPr>
              <w:t>6．外币财务报表折算差额</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34"/>
              <w:ind w:left="837"/>
              <w:rPr>
                <w:color w:val="000000"/>
                <w:sz w:val="21"/>
                <w:szCs w:val="21"/>
              </w:rPr>
            </w:pPr>
            <w:r>
              <w:rPr>
                <w:color w:val="000000"/>
                <w:sz w:val="21"/>
                <w:szCs w:val="21"/>
              </w:rPr>
              <w:t>……</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5"/>
              <w:ind w:left="129"/>
              <w:rPr>
                <w:color w:val="000000"/>
                <w:sz w:val="21"/>
                <w:szCs w:val="21"/>
              </w:rPr>
            </w:pPr>
            <w:r>
              <w:rPr>
                <w:color w:val="000000"/>
                <w:sz w:val="21"/>
                <w:szCs w:val="21"/>
              </w:rPr>
              <w:t>七、综合收益总额</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129"/>
              <w:rPr>
                <w:color w:val="000000"/>
                <w:sz w:val="21"/>
                <w:szCs w:val="21"/>
              </w:rPr>
            </w:pPr>
            <w:r>
              <w:rPr>
                <w:color w:val="000000"/>
                <w:sz w:val="21"/>
                <w:szCs w:val="21"/>
              </w:rPr>
              <w:t>八、每股收益：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6078" w:type="dxa"/>
            <w:noWrap w:val="0"/>
            <w:vAlign w:val="top"/>
          </w:tcPr>
          <w:p>
            <w:pPr>
              <w:pStyle w:val="8"/>
              <w:spacing w:before="22"/>
              <w:ind w:left="412"/>
              <w:rPr>
                <w:color w:val="000000"/>
                <w:sz w:val="21"/>
                <w:szCs w:val="21"/>
              </w:rPr>
            </w:pPr>
            <w:r>
              <w:rPr>
                <w:color w:val="000000"/>
                <w:sz w:val="21"/>
                <w:szCs w:val="21"/>
              </w:rPr>
              <w:t>（一）基本每股收益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6078" w:type="dxa"/>
            <w:noWrap w:val="0"/>
            <w:vAlign w:val="top"/>
          </w:tcPr>
          <w:p>
            <w:pPr>
              <w:pStyle w:val="8"/>
              <w:spacing w:before="22"/>
              <w:ind w:left="412"/>
              <w:rPr>
                <w:color w:val="000000"/>
                <w:sz w:val="21"/>
                <w:szCs w:val="21"/>
              </w:rPr>
            </w:pPr>
            <w:r>
              <w:rPr>
                <w:color w:val="000000"/>
                <w:sz w:val="21"/>
                <w:szCs w:val="21"/>
              </w:rPr>
              <w:t>（二）稀释每股收益</w:t>
            </w:r>
          </w:p>
        </w:tc>
        <w:tc>
          <w:tcPr>
            <w:tcW w:w="1134" w:type="dxa"/>
            <w:noWrap w:val="0"/>
            <w:vAlign w:val="top"/>
          </w:tcPr>
          <w:p>
            <w:pPr>
              <w:pStyle w:val="8"/>
              <w:rPr>
                <w:color w:val="000000"/>
                <w:sz w:val="21"/>
                <w:szCs w:val="21"/>
              </w:rPr>
            </w:pPr>
          </w:p>
        </w:tc>
        <w:tc>
          <w:tcPr>
            <w:tcW w:w="1193" w:type="dxa"/>
            <w:noWrap w:val="0"/>
            <w:vAlign w:val="top"/>
          </w:tcPr>
          <w:p>
            <w:pPr>
              <w:pStyle w:val="8"/>
              <w:rPr>
                <w:color w:val="000000"/>
                <w:sz w:val="21"/>
                <w:szCs w:val="21"/>
              </w:rPr>
            </w:pPr>
          </w:p>
        </w:tc>
      </w:tr>
    </w:tbl>
    <w:p>
      <w:pPr>
        <w:spacing w:line="242" w:lineRule="auto"/>
        <w:ind w:left="778" w:right="950"/>
        <w:rPr>
          <w:color w:val="000000"/>
          <w:sz w:val="21"/>
          <w:szCs w:val="21"/>
        </w:rPr>
      </w:pPr>
      <w:r>
        <w:rPr>
          <w:color w:val="000000"/>
          <w:sz w:val="21"/>
          <w:szCs w:val="21"/>
        </w:rPr>
        <w:t>注 1：[……]</w:t>
      </w:r>
      <w:r>
        <w:rPr>
          <w:color w:val="000000"/>
          <w:sz w:val="21"/>
          <w:szCs w:val="21"/>
          <w:vertAlign w:val="superscript"/>
        </w:rPr>
        <w:t>1</w:t>
      </w:r>
      <w:r>
        <w:rPr>
          <w:color w:val="000000"/>
          <w:sz w:val="21"/>
          <w:szCs w:val="21"/>
        </w:rPr>
        <w:t xml:space="preserve"> 系证券公司专用项目，企业正式使用时不加方括号。下同。注 2：[……]</w:t>
      </w:r>
      <w:r>
        <w:rPr>
          <w:color w:val="000000"/>
          <w:sz w:val="21"/>
          <w:szCs w:val="21"/>
          <w:vertAlign w:val="superscript"/>
        </w:rPr>
        <w:t>2</w:t>
      </w:r>
      <w:r>
        <w:rPr>
          <w:color w:val="000000"/>
          <w:sz w:val="21"/>
          <w:szCs w:val="21"/>
        </w:rPr>
        <w:t xml:space="preserve"> 系保险公司专用项目。</w:t>
      </w:r>
    </w:p>
    <w:p>
      <w:pPr>
        <w:spacing w:before="3"/>
        <w:ind w:left="778"/>
        <w:rPr>
          <w:color w:val="000000"/>
          <w:sz w:val="21"/>
          <w:szCs w:val="21"/>
        </w:rPr>
      </w:pPr>
      <w:r>
        <w:rPr>
          <w:color w:val="000000"/>
          <w:sz w:val="21"/>
          <w:szCs w:val="21"/>
        </w:rPr>
        <w:t>注 3：[……]</w:t>
      </w:r>
      <w:r>
        <w:rPr>
          <w:color w:val="000000"/>
          <w:sz w:val="21"/>
          <w:szCs w:val="21"/>
          <w:vertAlign w:val="superscript"/>
        </w:rPr>
        <w:t>3</w:t>
      </w:r>
      <w:r>
        <w:rPr>
          <w:color w:val="000000"/>
          <w:sz w:val="21"/>
          <w:szCs w:val="21"/>
        </w:rPr>
        <w:t xml:space="preserve"> 系银行专用项目。</w:t>
      </w:r>
    </w:p>
    <w:p>
      <w:pPr>
        <w:spacing w:before="4"/>
        <w:ind w:left="778"/>
        <w:rPr>
          <w:color w:val="000000"/>
          <w:sz w:val="21"/>
          <w:szCs w:val="21"/>
        </w:rPr>
      </w:pPr>
      <w:r>
        <w:rPr>
          <w:color w:val="000000"/>
          <w:sz w:val="21"/>
          <w:szCs w:val="21"/>
        </w:rPr>
        <w:t>注 4：无方括号和角标的项目为通用项目，适用于两类及两类以上金融企业。</w:t>
      </w:r>
    </w:p>
    <w:p>
      <w:pPr>
        <w:pStyle w:val="9"/>
        <w:ind w:firstLine="422"/>
        <w:rPr>
          <w:rFonts w:hint="eastAsia" w:ascii="宋体" w:hAnsi="宋体" w:eastAsia="宋体" w:cs="宋体"/>
          <w:color w:val="000000"/>
        </w:rPr>
      </w:pPr>
      <w:r>
        <w:rPr>
          <w:rFonts w:hint="eastAsia" w:ascii="宋体" w:hAnsi="宋体" w:eastAsia="宋体" w:cs="宋体"/>
          <w:color w:val="000000"/>
        </w:rPr>
        <w:t>【表单说明】</w:t>
      </w:r>
    </w:p>
    <w:p>
      <w:pPr>
        <w:pStyle w:val="2"/>
        <w:widowControl/>
        <w:ind w:firstLine="420" w:firstLineChars="200"/>
        <w:rPr>
          <w:rFonts w:hint="eastAsia" w:ascii="宋体" w:hAnsi="宋体" w:cs="宋体"/>
          <w:color w:val="000000"/>
          <w:szCs w:val="21"/>
        </w:rPr>
      </w:pPr>
      <w:r>
        <w:rPr>
          <w:rFonts w:hint="eastAsia" w:ascii="宋体" w:hAnsi="宋体" w:cs="宋体"/>
          <w:color w:val="000000"/>
          <w:szCs w:val="21"/>
        </w:rPr>
        <w:t>修订、新增项目的说明：</w:t>
      </w:r>
    </w:p>
    <w:p>
      <w:pPr>
        <w:pStyle w:val="2"/>
        <w:widowControl/>
        <w:ind w:firstLine="420"/>
        <w:rPr>
          <w:rFonts w:hint="eastAsia" w:ascii="宋体" w:hAnsi="宋体" w:cs="宋体"/>
          <w:color w:val="000000"/>
          <w:szCs w:val="21"/>
        </w:rPr>
      </w:pPr>
      <w:r>
        <w:rPr>
          <w:rFonts w:hint="eastAsia" w:ascii="宋体" w:hAnsi="宋体" w:cs="宋体"/>
          <w:color w:val="000000"/>
          <w:szCs w:val="21"/>
        </w:rPr>
        <w:t>1.“利息收入”项目，反映企业按照《企业会计准则第 22 号——金融工具确认和计量》（2017 年修订）相关规定对分类为以摊余成本计量的金融资产和分类为以公允价值计量且其变动计入其他综合收益的金融资产按照实际利率法计算的利息收入。其他项目的利息收入不得计入本项目；应计入本项目的利息收入金额也不得计入“投资收益”等其他项目。</w:t>
      </w:r>
    </w:p>
    <w:p>
      <w:pPr>
        <w:pStyle w:val="2"/>
        <w:widowControl/>
        <w:ind w:firstLine="420"/>
        <w:rPr>
          <w:rFonts w:hint="eastAsia" w:ascii="宋体" w:hAnsi="宋体" w:cs="宋体"/>
          <w:color w:val="000000"/>
          <w:szCs w:val="21"/>
        </w:rPr>
      </w:pPr>
      <w:r>
        <w:rPr>
          <w:rFonts w:hint="eastAsia" w:ascii="宋体" w:hAnsi="宋体" w:cs="宋体"/>
          <w:color w:val="000000"/>
          <w:szCs w:val="21"/>
        </w:rPr>
        <w:t>银行及证券公司可在营业总收入下列示“利息净收入”项目，并在“利息净收入”项目下分列“利息收入”项目与“利息支出”项目。</w:t>
      </w:r>
    </w:p>
    <w:p>
      <w:pPr>
        <w:pStyle w:val="2"/>
        <w:widowControl/>
        <w:ind w:firstLine="420"/>
        <w:rPr>
          <w:rFonts w:hint="eastAsia" w:ascii="宋体" w:hAnsi="宋体" w:cs="宋体"/>
          <w:color w:val="000000"/>
          <w:szCs w:val="21"/>
        </w:rPr>
      </w:pPr>
      <w:r>
        <w:rPr>
          <w:rFonts w:hint="eastAsia" w:ascii="宋体" w:hAnsi="宋体" w:cs="宋体"/>
          <w:color w:val="000000"/>
          <w:szCs w:val="21"/>
        </w:rPr>
        <w:t>2.“手续费及佣金收入”与“手续费及佣金支出”项目。银行可在营业总收入下列示“手续费及佣金净收入”项目，并在“手续费及佣金净收入”项目下分列“手续费及佣金收入”项目和“手续费及佣金支出”项目。证券公司可在营业总收入下列示“手续费及佣金净收入”项目，并在“手续费及佣金净收入”项目下分列“经纪业务手续费净收入”“投资银行业务手续费净收入”和“资产管理业务手续费净收入”等项目。</w:t>
      </w:r>
    </w:p>
    <w:p>
      <w:pPr>
        <w:pStyle w:val="2"/>
        <w:widowControl/>
        <w:ind w:firstLine="420"/>
        <w:rPr>
          <w:rFonts w:hint="eastAsia" w:ascii="宋体" w:hAnsi="宋体" w:cs="宋体"/>
          <w:color w:val="000000"/>
          <w:szCs w:val="21"/>
        </w:rPr>
      </w:pPr>
      <w:r>
        <w:rPr>
          <w:rFonts w:hint="eastAsia" w:ascii="宋体" w:hAnsi="宋体" w:cs="宋体"/>
          <w:color w:val="000000"/>
          <w:szCs w:val="21"/>
        </w:rPr>
        <w:t>3.“其中：以摊余成本计量的金融资产终止确认产生的收益” 项目，反映企业因转让等情形导致终止确认以摊余成本计量的金融资产而产生的损益。如为损失，以“-”号填列。该项目在“投资收益” 项目中单独列示。</w:t>
      </w:r>
    </w:p>
    <w:p>
      <w:pPr>
        <w:pStyle w:val="2"/>
        <w:widowControl/>
        <w:ind w:firstLine="420"/>
        <w:rPr>
          <w:rFonts w:hint="eastAsia" w:ascii="宋体" w:hAnsi="宋体" w:cs="宋体"/>
          <w:color w:val="000000"/>
          <w:szCs w:val="21"/>
        </w:rPr>
      </w:pPr>
      <w:r>
        <w:rPr>
          <w:rFonts w:hint="eastAsia" w:ascii="宋体" w:hAnsi="宋体" w:cs="宋体"/>
          <w:color w:val="000000"/>
          <w:szCs w:val="21"/>
        </w:rPr>
        <w:t>4.“净敞口套期收益”项目，反映企业开展的净敞口套期下被套期项目累计公允价值变动转入当期损益的金额或现金流量套期储备转入当期损益的金额。如为损失，以“-”号填列。</w:t>
      </w:r>
    </w:p>
    <w:p>
      <w:pPr>
        <w:pStyle w:val="2"/>
        <w:widowControl/>
        <w:ind w:firstLine="420"/>
        <w:rPr>
          <w:rFonts w:hint="eastAsia" w:ascii="宋体" w:hAnsi="宋体" w:cs="宋体"/>
          <w:color w:val="000000"/>
          <w:szCs w:val="21"/>
        </w:rPr>
      </w:pPr>
      <w:r>
        <w:rPr>
          <w:rFonts w:hint="eastAsia" w:ascii="宋体" w:hAnsi="宋体" w:cs="宋体"/>
          <w:color w:val="000000"/>
          <w:szCs w:val="21"/>
        </w:rPr>
        <w:t>5.“其他收益”项目，反映企业计入其他收益的政府补助等。</w:t>
      </w:r>
    </w:p>
    <w:p>
      <w:pPr>
        <w:pStyle w:val="2"/>
        <w:widowControl/>
        <w:ind w:firstLine="420"/>
        <w:rPr>
          <w:rFonts w:hint="eastAsia" w:ascii="宋体" w:hAnsi="宋体" w:cs="宋体"/>
          <w:color w:val="000000"/>
          <w:szCs w:val="21"/>
        </w:rPr>
      </w:pPr>
      <w:r>
        <w:rPr>
          <w:rFonts w:hint="eastAsia" w:ascii="宋体" w:hAnsi="宋体" w:cs="宋体"/>
          <w:color w:val="000000"/>
          <w:szCs w:val="21"/>
        </w:rPr>
        <w:t>6.“汇兑收益”项目，主要包括外币交易因汇率变动而产生的损益以及外汇衍生金融工具产生的损益。如为损失，以“-”号填列。</w:t>
      </w:r>
    </w:p>
    <w:p>
      <w:pPr>
        <w:pStyle w:val="2"/>
        <w:widowControl/>
        <w:ind w:firstLine="420"/>
        <w:rPr>
          <w:rFonts w:hint="eastAsia" w:ascii="宋体" w:hAnsi="宋体" w:cs="宋体"/>
          <w:color w:val="000000"/>
          <w:szCs w:val="21"/>
        </w:rPr>
      </w:pPr>
      <w:r>
        <w:rPr>
          <w:rFonts w:hint="eastAsia" w:ascii="宋体" w:hAnsi="宋体" w:cs="宋体"/>
          <w:color w:val="000000"/>
          <w:szCs w:val="21"/>
        </w:rPr>
        <w:t>7.“资产处置收益”项目，反映企业出售分类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债务重组中因处置非流动资产产生的利得或损失和非货币性资产交换中换出非流动资产产生的利得或损失在本项目中反映。商业银行、证券公司等金融企业处置抵押、质押资产的利得或损失，依据被处置资产的类别在本项目或“投资收益”等相关项目中反映。如为处置损失，以“-”号填列。</w:t>
      </w:r>
    </w:p>
    <w:p>
      <w:pPr>
        <w:pStyle w:val="2"/>
        <w:widowControl/>
        <w:ind w:firstLine="420"/>
        <w:rPr>
          <w:rFonts w:hint="eastAsia" w:ascii="宋体" w:hAnsi="宋体" w:cs="宋体"/>
          <w:color w:val="000000"/>
          <w:szCs w:val="21"/>
        </w:rPr>
      </w:pPr>
      <w:r>
        <w:rPr>
          <w:rFonts w:hint="eastAsia" w:ascii="宋体" w:hAnsi="宋体" w:cs="宋体"/>
          <w:color w:val="000000"/>
          <w:szCs w:val="21"/>
        </w:rPr>
        <w:t>8.“信用减值损失”项目，反映企业按照《企业会计准则第 22 号——金融工具确认和计量》（2017 年修订）相关规定计提金融工具信用损失准备所确认的信用损失。</w:t>
      </w:r>
    </w:p>
    <w:p>
      <w:pPr>
        <w:pStyle w:val="2"/>
        <w:widowControl/>
        <w:ind w:firstLine="420"/>
        <w:rPr>
          <w:rFonts w:hint="eastAsia" w:ascii="宋体" w:hAnsi="宋体" w:cs="宋体"/>
          <w:color w:val="000000"/>
          <w:szCs w:val="21"/>
        </w:rPr>
      </w:pPr>
      <w:r>
        <w:rPr>
          <w:rFonts w:hint="eastAsia" w:ascii="宋体" w:hAnsi="宋体" w:cs="宋体"/>
          <w:color w:val="000000"/>
          <w:szCs w:val="21"/>
        </w:rPr>
        <w:t>9.“其他资产减值损失”项目，反映除“信用减值损失”外， 企业按照相关企业会计准则的规定计提其他资产的减值准备所确认的减值损失。</w:t>
      </w:r>
    </w:p>
    <w:p>
      <w:pPr>
        <w:pStyle w:val="2"/>
        <w:widowControl/>
        <w:ind w:firstLine="420"/>
        <w:rPr>
          <w:rFonts w:hint="eastAsia" w:ascii="宋体" w:hAnsi="宋体" w:cs="宋体"/>
          <w:color w:val="000000"/>
          <w:szCs w:val="21"/>
        </w:rPr>
      </w:pPr>
      <w:r>
        <w:rPr>
          <w:rFonts w:hint="eastAsia" w:ascii="宋体" w:hAnsi="宋体" w:cs="宋体"/>
          <w:color w:val="000000"/>
          <w:szCs w:val="21"/>
        </w:rPr>
        <w:t>10.“营业外收入”项目，反映企业发生的除营业利润以外的收益，主要包括债务重组利得、与企业日常活动无关的政府补助、盘盈利得、捐赠利得（企业接受股东或股东的子公司直接或间接的捐赠， 经济实质属于股东对企业的资本性投入的除外）等。</w:t>
      </w:r>
    </w:p>
    <w:p>
      <w:pPr>
        <w:pStyle w:val="2"/>
        <w:widowControl/>
        <w:ind w:firstLine="420"/>
        <w:rPr>
          <w:rFonts w:hint="eastAsia" w:ascii="宋体" w:hAnsi="宋体" w:cs="宋体"/>
          <w:color w:val="000000"/>
          <w:szCs w:val="21"/>
        </w:rPr>
      </w:pPr>
      <w:r>
        <w:rPr>
          <w:rFonts w:hint="eastAsia" w:ascii="宋体" w:hAnsi="宋体" w:cs="宋体"/>
          <w:color w:val="000000"/>
          <w:szCs w:val="21"/>
        </w:rPr>
        <w:t>11.“营业外支出”项目，反映企业发生的除营业利润以外的支出，主要包括债务重组损失、公益性捐赠支出、非常损失、盘亏损失、非流动资产毁损报废损失等。</w:t>
      </w:r>
    </w:p>
    <w:p>
      <w:pPr>
        <w:pStyle w:val="2"/>
        <w:widowControl/>
        <w:ind w:firstLine="420"/>
        <w:rPr>
          <w:rFonts w:hint="eastAsia" w:ascii="宋体" w:hAnsi="宋体" w:cs="宋体"/>
          <w:color w:val="000000"/>
          <w:szCs w:val="21"/>
        </w:rPr>
      </w:pPr>
      <w:r>
        <w:rPr>
          <w:rFonts w:hint="eastAsia" w:ascii="宋体" w:hAnsi="宋体" w:cs="宋体"/>
          <w:color w:val="000000"/>
          <w:szCs w:val="21"/>
        </w:rPr>
        <w:t>12.“净利润”项目下的“（一）持续经营净利润”和“（二）终止经营净利润”项目，分别反映净利润中与持续经营相关的净利润和与终止经营相关的净利润；如为净亏损，以“-”号填列。该两个项目应按照《企业会计准则第 42 号——持有待售的非流动资产、处置组和终止经营》（2017年修订）的相关规定分别列报。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0C36"/>
    <w:rsid w:val="3F7F0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3"/>
    <w:unhideWhenUsed/>
    <w:qFormat/>
    <w:uiPriority w:val="0"/>
    <w:pPr>
      <w:spacing w:after="120"/>
    </w:p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标题 2_0"/>
    <w:basedOn w:val="3"/>
    <w:next w:val="3"/>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需求正文_0"/>
    <w:basedOn w:val="3"/>
    <w:qFormat/>
    <w:uiPriority w:val="0"/>
    <w:pPr>
      <w:widowControl/>
      <w:ind w:firstLine="420"/>
      <w:jc w:val="left"/>
    </w:pPr>
    <w:rPr>
      <w:rFonts w:ascii="Arial" w:hAnsi="Arial"/>
      <w:szCs w:val="24"/>
    </w:rPr>
  </w:style>
  <w:style w:type="paragraph" w:customStyle="1" w:styleId="8">
    <w:name w:val="Table Paragraph"/>
    <w:basedOn w:val="1"/>
    <w:qFormat/>
    <w:uiPriority w:val="1"/>
    <w:pPr>
      <w:widowControl w:val="0"/>
      <w:autoSpaceDE w:val="0"/>
      <w:autoSpaceDN w:val="0"/>
    </w:pPr>
    <w:rPr>
      <w:rFonts w:ascii="仿宋" w:hAnsi="仿宋" w:eastAsia="仿宋" w:cs="仿宋"/>
      <w:sz w:val="22"/>
      <w:szCs w:val="22"/>
      <w:lang w:val="zh-CN" w:bidi="zh-CN"/>
    </w:rPr>
  </w:style>
  <w:style w:type="paragraph" w:customStyle="1" w:styleId="9">
    <w:name w:val="一级标题_0"/>
    <w:basedOn w:val="3"/>
    <w:qFormat/>
    <w:uiPriority w:val="0"/>
    <w:pPr>
      <w:widowControl/>
      <w:ind w:firstLine="420"/>
      <w:jc w:val="left"/>
      <w:outlineLvl w:val="2"/>
    </w:pPr>
    <w:rPr>
      <w:rFonts w:ascii="Arial" w:hAnsi="Arial" w:eastAsia="Times New Roman" w:cs="Arial"/>
      <w:b/>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2019-12-12T09:33:00Z</dcterms:created>
  <dc:creator>陈莉佳</dc:creator>
  <cp:lastModifiedBy>陈莉佳</cp:lastModifiedBy>
  <dcterms:modified xsi:type="dcterms:W3CDTF">2019-12-12T09:33:55Z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