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rPr>
          <w:color w:val="auto"/>
          <w:highlight w:val="none"/>
        </w:rPr>
      </w:pPr>
    </w:p>
    <w:p>
      <w:pPr>
        <w:spacing w:line="480" w:lineRule="exact"/>
        <w:jc w:val="center"/>
        <w:rPr>
          <w:rFonts w:hint="eastAsia" w:ascii="宋体" w:hAnsi="宋体" w:eastAsia="宋体" w:cs="宋体"/>
          <w:b/>
          <w:color w:val="auto"/>
          <w:sz w:val="32"/>
          <w:szCs w:val="32"/>
          <w:highlight w:val="none"/>
        </w:rPr>
      </w:pPr>
    </w:p>
    <w:p>
      <w:pPr>
        <w:spacing w:line="360" w:lineRule="auto"/>
        <w:ind w:firstLine="261" w:firstLineChars="50"/>
        <w:jc w:val="center"/>
        <w:rPr>
          <w:rFonts w:hint="eastAsia" w:ascii="宋体" w:hAnsi="宋体" w:eastAsia="宋体" w:cs="宋体"/>
          <w:b/>
          <w:color w:val="auto"/>
          <w:sz w:val="52"/>
          <w:szCs w:val="52"/>
          <w:highlight w:val="none"/>
        </w:rPr>
      </w:pPr>
    </w:p>
    <w:p>
      <w:pPr>
        <w:spacing w:line="360" w:lineRule="auto"/>
        <w:ind w:firstLine="110" w:firstLineChars="50"/>
        <w:jc w:val="center"/>
        <w:rPr>
          <w:rFonts w:hint="eastAsia" w:ascii="宋体" w:hAnsi="宋体" w:eastAsia="宋体" w:cs="宋体"/>
          <w:b/>
          <w:color w:val="auto"/>
          <w:sz w:val="22"/>
          <w:highlight w:val="none"/>
        </w:rPr>
      </w:pPr>
    </w:p>
    <w:p>
      <w:pPr>
        <w:spacing w:line="360" w:lineRule="auto"/>
        <w:jc w:val="center"/>
        <w:rPr>
          <w:rFonts w:hint="eastAsia" w:ascii="宋体" w:hAnsi="宋体" w:eastAsia="宋体" w:cs="宋体"/>
          <w:b/>
          <w:color w:val="auto"/>
          <w:sz w:val="44"/>
          <w:szCs w:val="48"/>
          <w:highlight w:val="none"/>
        </w:rPr>
      </w:pPr>
      <w:r>
        <w:rPr>
          <w:rFonts w:hint="eastAsia" w:ascii="宋体" w:hAnsi="宋体" w:eastAsia="宋体" w:cs="宋体"/>
          <w:b/>
          <w:color w:val="auto"/>
          <w:sz w:val="44"/>
          <w:szCs w:val="48"/>
          <w:highlight w:val="none"/>
        </w:rPr>
        <w:t>服务类公开招标文件</w:t>
      </w:r>
    </w:p>
    <w:p>
      <w:pPr>
        <w:spacing w:line="480" w:lineRule="exact"/>
        <w:jc w:val="center"/>
        <w:rPr>
          <w:rFonts w:hint="eastAsia" w:ascii="宋体" w:hAnsi="宋体" w:eastAsia="宋体" w:cs="宋体"/>
          <w:b/>
          <w:color w:val="auto"/>
          <w:sz w:val="22"/>
          <w:szCs w:val="22"/>
          <w:highlight w:val="none"/>
        </w:rPr>
      </w:pPr>
    </w:p>
    <w:p>
      <w:pPr>
        <w:spacing w:line="480" w:lineRule="exact"/>
        <w:jc w:val="center"/>
        <w:rPr>
          <w:rFonts w:hint="eastAsia" w:ascii="宋体" w:hAnsi="宋体" w:eastAsia="宋体" w:cs="宋体"/>
          <w:b/>
          <w:color w:val="auto"/>
          <w:sz w:val="22"/>
          <w:szCs w:val="22"/>
          <w:highlight w:val="none"/>
        </w:rPr>
      </w:pPr>
    </w:p>
    <w:p>
      <w:pPr>
        <w:spacing w:line="360" w:lineRule="auto"/>
        <w:ind w:firstLine="1325" w:firstLineChars="600"/>
        <w:rPr>
          <w:rFonts w:hint="eastAsia" w:ascii="宋体" w:hAnsi="宋体" w:eastAsia="宋体" w:cs="宋体"/>
          <w:b/>
          <w:color w:val="auto"/>
          <w:sz w:val="22"/>
          <w:szCs w:val="22"/>
          <w:highlight w:val="none"/>
        </w:rPr>
      </w:pPr>
    </w:p>
    <w:p>
      <w:pPr>
        <w:spacing w:line="360" w:lineRule="auto"/>
        <w:ind w:firstLine="1325" w:firstLineChars="600"/>
        <w:rPr>
          <w:rFonts w:hint="eastAsia" w:ascii="宋体" w:hAnsi="宋体" w:eastAsia="宋体" w:cs="宋体"/>
          <w:b/>
          <w:color w:val="auto"/>
          <w:sz w:val="22"/>
          <w:szCs w:val="22"/>
          <w:highlight w:val="none"/>
        </w:rPr>
      </w:pPr>
    </w:p>
    <w:p>
      <w:pPr>
        <w:adjustRightInd w:val="0"/>
        <w:spacing w:line="360" w:lineRule="auto"/>
        <w:ind w:left="2446" w:leftChars="400" w:hanging="1606" w:hangingChars="500"/>
        <w:jc w:val="left"/>
        <w:outlineLvl w:val="0"/>
        <w:rPr>
          <w:rFonts w:hint="eastAsia" w:ascii="宋体" w:hAnsi="宋体" w:eastAsia="宋体" w:cs="宋体"/>
          <w:b/>
          <w:i/>
          <w:color w:val="auto"/>
          <w:sz w:val="18"/>
          <w:szCs w:val="18"/>
          <w:highlight w:val="none"/>
          <w:u w:val="single"/>
          <w:lang w:eastAsia="zh-CN"/>
        </w:rPr>
      </w:pPr>
      <w:bookmarkStart w:id="0" w:name="_Toc16720"/>
      <w:bookmarkStart w:id="1" w:name="_Toc24597"/>
      <w:r>
        <w:rPr>
          <w:rFonts w:hint="eastAsia" w:ascii="宋体" w:hAnsi="宋体" w:eastAsia="宋体" w:cs="宋体"/>
          <w:b/>
          <w:color w:val="auto"/>
          <w:sz w:val="32"/>
          <w:szCs w:val="28"/>
          <w:highlight w:val="none"/>
        </w:rPr>
        <w:t>项目名称：</w:t>
      </w:r>
      <w:bookmarkEnd w:id="0"/>
      <w:bookmarkEnd w:id="1"/>
      <w:r>
        <w:rPr>
          <w:rFonts w:hint="eastAsia" w:ascii="宋体" w:hAnsi="宋体" w:eastAsia="宋体" w:cs="宋体"/>
          <w:b/>
          <w:color w:val="auto"/>
          <w:sz w:val="32"/>
          <w:szCs w:val="28"/>
          <w:highlight w:val="none"/>
          <w:lang w:eastAsia="zh-CN"/>
        </w:rPr>
        <w:t>国家税务总局乐昌市税务局2026年至2027年物业管理服务采购项目</w:t>
      </w:r>
    </w:p>
    <w:p>
      <w:pPr>
        <w:adjustRightInd w:val="0"/>
        <w:spacing w:line="360" w:lineRule="auto"/>
        <w:ind w:left="840" w:leftChars="400"/>
        <w:jc w:val="left"/>
        <w:outlineLvl w:val="0"/>
        <w:rPr>
          <w:rFonts w:hint="eastAsia" w:ascii="宋体" w:hAnsi="宋体" w:eastAsia="宋体" w:cs="宋体"/>
          <w:b/>
          <w:color w:val="auto"/>
          <w:sz w:val="32"/>
          <w:szCs w:val="28"/>
          <w:highlight w:val="none"/>
          <w:lang w:eastAsia="zh-CN"/>
        </w:rPr>
      </w:pPr>
      <w:bookmarkStart w:id="2" w:name="_Toc14636"/>
      <w:bookmarkStart w:id="3" w:name="_Toc6295"/>
      <w:r>
        <w:rPr>
          <w:rFonts w:hint="eastAsia" w:ascii="宋体" w:hAnsi="宋体" w:eastAsia="宋体" w:cs="宋体"/>
          <w:b/>
          <w:color w:val="auto"/>
          <w:sz w:val="32"/>
          <w:szCs w:val="28"/>
          <w:highlight w:val="none"/>
        </w:rPr>
        <w:t>项目编号：</w:t>
      </w:r>
      <w:bookmarkEnd w:id="2"/>
      <w:bookmarkEnd w:id="3"/>
      <w:r>
        <w:rPr>
          <w:rFonts w:hint="eastAsia" w:ascii="宋体" w:hAnsi="宋体" w:eastAsia="宋体" w:cs="宋体"/>
          <w:b/>
          <w:iCs/>
          <w:color w:val="auto"/>
          <w:sz w:val="32"/>
          <w:szCs w:val="32"/>
          <w:highlight w:val="none"/>
          <w:lang w:eastAsia="zh-CN"/>
        </w:rPr>
        <w:t>M4400000707534814001</w:t>
      </w:r>
    </w:p>
    <w:p>
      <w:pPr>
        <w:spacing w:line="360" w:lineRule="auto"/>
        <w:ind w:firstLine="1269" w:firstLineChars="395"/>
        <w:rPr>
          <w:rFonts w:hint="eastAsia" w:ascii="宋体" w:hAnsi="宋体" w:eastAsia="宋体" w:cs="宋体"/>
          <w:b/>
          <w:color w:val="auto"/>
          <w:sz w:val="32"/>
          <w:szCs w:val="32"/>
          <w:highlight w:val="none"/>
        </w:rPr>
      </w:pPr>
    </w:p>
    <w:p>
      <w:pPr>
        <w:spacing w:line="360" w:lineRule="auto"/>
        <w:ind w:firstLine="1269" w:firstLineChars="395"/>
        <w:rPr>
          <w:rFonts w:hint="eastAsia" w:ascii="宋体" w:hAnsi="宋体" w:eastAsia="宋体" w:cs="宋体"/>
          <w:b/>
          <w:color w:val="auto"/>
          <w:sz w:val="32"/>
          <w:szCs w:val="32"/>
          <w:highlight w:val="none"/>
        </w:rPr>
      </w:pPr>
    </w:p>
    <w:p>
      <w:pPr>
        <w:spacing w:line="360" w:lineRule="auto"/>
        <w:ind w:firstLine="1269" w:firstLineChars="395"/>
        <w:rPr>
          <w:rFonts w:hint="eastAsia" w:ascii="宋体" w:hAnsi="宋体" w:eastAsia="宋体" w:cs="宋体"/>
          <w:b/>
          <w:color w:val="auto"/>
          <w:sz w:val="32"/>
          <w:szCs w:val="32"/>
          <w:highlight w:val="none"/>
        </w:rPr>
      </w:pPr>
    </w:p>
    <w:p>
      <w:pPr>
        <w:spacing w:line="360" w:lineRule="auto"/>
        <w:ind w:firstLine="1269" w:firstLineChars="395"/>
        <w:rPr>
          <w:rFonts w:hint="eastAsia" w:ascii="宋体" w:hAnsi="宋体" w:eastAsia="宋体" w:cs="宋体"/>
          <w:b/>
          <w:color w:val="auto"/>
          <w:sz w:val="32"/>
          <w:szCs w:val="32"/>
          <w:highlight w:val="none"/>
        </w:rPr>
      </w:pPr>
    </w:p>
    <w:p>
      <w:pPr>
        <w:spacing w:line="360" w:lineRule="auto"/>
        <w:ind w:firstLine="1269" w:firstLineChars="395"/>
        <w:rPr>
          <w:rFonts w:hint="eastAsia" w:ascii="宋体" w:hAnsi="宋体" w:eastAsia="宋体" w:cs="宋体"/>
          <w:b/>
          <w:color w:val="auto"/>
          <w:sz w:val="32"/>
          <w:szCs w:val="32"/>
          <w:highlight w:val="none"/>
        </w:rPr>
      </w:pPr>
    </w:p>
    <w:p>
      <w:pPr>
        <w:spacing w:line="360" w:lineRule="auto"/>
        <w:ind w:firstLine="1269" w:firstLineChars="395"/>
        <w:rPr>
          <w:rFonts w:hint="eastAsia" w:ascii="宋体" w:hAnsi="宋体" w:eastAsia="宋体" w:cs="宋体"/>
          <w:b/>
          <w:color w:val="auto"/>
          <w:sz w:val="32"/>
          <w:szCs w:val="32"/>
          <w:highlight w:val="none"/>
        </w:rPr>
      </w:pPr>
    </w:p>
    <w:p>
      <w:pPr>
        <w:widowControl/>
        <w:spacing w:line="360" w:lineRule="auto"/>
        <w:jc w:val="center"/>
        <w:rPr>
          <w:rFonts w:hint="eastAsia" w:ascii="宋体" w:hAnsi="宋体" w:eastAsia="宋体" w:cs="宋体"/>
          <w:b/>
          <w:bCs/>
          <w:color w:val="auto"/>
          <w:kern w:val="0"/>
          <w:sz w:val="28"/>
          <w:szCs w:val="22"/>
          <w:highlight w:val="none"/>
          <w:lang w:eastAsia="zh-CN"/>
        </w:rPr>
      </w:pPr>
      <w:r>
        <w:rPr>
          <w:rFonts w:hint="eastAsia" w:ascii="宋体" w:hAnsi="宋体" w:eastAsia="宋体" w:cs="宋体"/>
          <w:b/>
          <w:bCs/>
          <w:color w:val="auto"/>
          <w:kern w:val="0"/>
          <w:sz w:val="28"/>
          <w:szCs w:val="22"/>
          <w:highlight w:val="none"/>
          <w:lang w:eastAsia="zh-CN"/>
        </w:rPr>
        <w:t>国家税务总局乐昌市税务局</w:t>
      </w:r>
    </w:p>
    <w:p>
      <w:pPr>
        <w:widowControl/>
        <w:spacing w:line="360" w:lineRule="auto"/>
        <w:jc w:val="center"/>
        <w:outlineLvl w:val="0"/>
        <w:rPr>
          <w:rFonts w:hint="eastAsia" w:ascii="宋体" w:hAnsi="宋体" w:eastAsia="宋体" w:cs="宋体"/>
          <w:b/>
          <w:bCs/>
          <w:color w:val="auto"/>
          <w:kern w:val="0"/>
          <w:sz w:val="28"/>
          <w:szCs w:val="22"/>
          <w:highlight w:val="none"/>
        </w:rPr>
      </w:pPr>
      <w:bookmarkStart w:id="4" w:name="_Toc22002"/>
      <w:bookmarkStart w:id="5" w:name="_Toc29628"/>
      <w:r>
        <w:rPr>
          <w:rFonts w:hint="eastAsia" w:ascii="宋体" w:hAnsi="宋体" w:eastAsia="宋体" w:cs="宋体"/>
          <w:b/>
          <w:bCs/>
          <w:color w:val="auto"/>
          <w:kern w:val="0"/>
          <w:sz w:val="28"/>
          <w:szCs w:val="22"/>
          <w:highlight w:val="none"/>
        </w:rPr>
        <w:t>广东省机电设备招标有限公司</w:t>
      </w:r>
      <w:bookmarkEnd w:id="4"/>
      <w:bookmarkEnd w:id="5"/>
    </w:p>
    <w:p>
      <w:pPr>
        <w:widowControl/>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kern w:val="0"/>
          <w:sz w:val="28"/>
          <w:szCs w:val="22"/>
          <w:highlight w:val="none"/>
        </w:rPr>
        <w:t>发布日期：</w:t>
      </w:r>
      <w:r>
        <w:rPr>
          <w:rFonts w:hint="eastAsia" w:ascii="宋体" w:hAnsi="宋体" w:eastAsia="宋体" w:cs="宋体"/>
          <w:b/>
          <w:bCs/>
          <w:color w:val="auto"/>
          <w:sz w:val="32"/>
          <w:szCs w:val="32"/>
          <w:highlight w:val="none"/>
        </w:rPr>
        <w:t>2025年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月</w:t>
      </w:r>
    </w:p>
    <w:p>
      <w:pPr>
        <w:jc w:val="center"/>
        <w:rPr>
          <w:rFonts w:hint="eastAsia" w:ascii="宋体" w:hAnsi="宋体" w:eastAsia="宋体" w:cs="宋体"/>
          <w:b/>
          <w:color w:val="auto"/>
          <w:highlight w:val="none"/>
        </w:rPr>
      </w:pPr>
      <w:r>
        <w:rPr>
          <w:rFonts w:hint="eastAsia" w:ascii="宋体" w:hAnsi="宋体" w:eastAsia="宋体" w:cs="宋体"/>
          <w:color w:val="auto"/>
          <w:sz w:val="36"/>
          <w:highlight w:val="none"/>
        </w:rPr>
        <w:br w:type="page"/>
      </w:r>
      <w:bookmarkStart w:id="6" w:name="_Toc95484118"/>
      <w:r>
        <w:rPr>
          <w:rFonts w:hint="eastAsia" w:ascii="宋体" w:hAnsi="宋体" w:eastAsia="宋体" w:cs="宋体"/>
          <w:b/>
          <w:color w:val="auto"/>
          <w:sz w:val="36"/>
          <w:highlight w:val="none"/>
        </w:rPr>
        <w:t>温馨提示</w:t>
      </w:r>
      <w:bookmarkEnd w:id="6"/>
    </w:p>
    <w:p>
      <w:pPr>
        <w:spacing w:line="360" w:lineRule="auto"/>
        <w:jc w:val="center"/>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（本提示内容非招标文件的组成部分，仅为善意提醒。如有不一致，以招标文件为准）</w:t>
      </w:r>
    </w:p>
    <w:p>
      <w:pPr>
        <w:numPr>
          <w:ilvl w:val="0"/>
          <w:numId w:val="3"/>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对可接受分支机构投标的项目，分支机构投标的，须提供分支机构的营业执照（执业许可证）复印件、总公司（总所）的营业执照副本复印件及总公司（总所）出具给分支机构的授权书，</w:t>
      </w:r>
      <w:r>
        <w:rPr>
          <w:rFonts w:hint="eastAsia" w:ascii="宋体" w:hAnsi="宋体" w:eastAsia="宋体" w:cs="宋体"/>
          <w:b/>
          <w:color w:val="auto"/>
          <w:szCs w:val="21"/>
          <w:highlight w:val="none"/>
        </w:rPr>
        <w:t>授权书须加盖总公司（总所）公章</w:t>
      </w:r>
      <w:r>
        <w:rPr>
          <w:rFonts w:hint="eastAsia" w:ascii="宋体" w:hAnsi="宋体" w:eastAsia="宋体" w:cs="宋体"/>
          <w:color w:val="auto"/>
          <w:szCs w:val="21"/>
          <w:highlight w:val="none"/>
        </w:rPr>
        <w:t>。总公司（总所）可就本项目或此类项目在一定范围或时间内出具授权书。已由总公司（总所）授权的，总公司（总所）取得的相关资质证书对分支机构有效，法律法规或者行业另有规定的除外。</w:t>
      </w:r>
    </w:p>
    <w:p>
      <w:pPr>
        <w:numPr>
          <w:ilvl w:val="0"/>
          <w:numId w:val="3"/>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投标人请注意区分投标保证金及采购代理服务费收款</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的区别。如项目（采购包）要求缴纳投标保证金的，供应商在按照招标公告及招标文件规定获取招标文件后，请投标人务必按要求将保证金存入所投项目（采购包）指定的保证金专用账户；投标保证金的转账当天不一定能够达账，为避免因投标保证金未达账而导致投标被拒绝，建议在递交投标保证金充分考虑以上因素。采购代理服务费存入指定的</w:t>
      </w:r>
      <w:r>
        <w:rPr>
          <w:rFonts w:hint="eastAsia" w:ascii="宋体" w:hAnsi="宋体" w:eastAsia="宋体" w:cs="宋体"/>
          <w:b/>
          <w:color w:val="auto"/>
          <w:szCs w:val="21"/>
          <w:highlight w:val="none"/>
          <w:u w:val="single"/>
        </w:rPr>
        <w:t>采购代理服务费缴费账户</w:t>
      </w:r>
      <w:r>
        <w:rPr>
          <w:rFonts w:hint="eastAsia" w:ascii="宋体" w:hAnsi="宋体" w:eastAsia="宋体" w:cs="宋体"/>
          <w:color w:val="auto"/>
          <w:szCs w:val="21"/>
          <w:highlight w:val="none"/>
        </w:rPr>
        <w:t>。</w:t>
      </w:r>
    </w:p>
    <w:p>
      <w:pPr>
        <w:numPr>
          <w:ilvl w:val="0"/>
          <w:numId w:val="3"/>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为了节约社会交易成本与时间，获取了招标文件而决定不参加本次投标的供应商，在投标文件递交截止时间的3日前，按招标公告中的联系方式，</w:t>
      </w:r>
      <w:r>
        <w:rPr>
          <w:rFonts w:hint="eastAsia" w:ascii="宋体" w:hAnsi="宋体" w:eastAsia="宋体" w:cs="宋体"/>
          <w:b/>
          <w:color w:val="auto"/>
          <w:szCs w:val="21"/>
          <w:highlight w:val="none"/>
          <w:u w:val="single"/>
        </w:rPr>
        <w:t>告知采购代理机构</w:t>
      </w:r>
      <w:r>
        <w:rPr>
          <w:rFonts w:hint="eastAsia" w:ascii="宋体" w:hAnsi="宋体" w:eastAsia="宋体" w:cs="宋体"/>
          <w:color w:val="auto"/>
          <w:szCs w:val="21"/>
          <w:highlight w:val="none"/>
        </w:rPr>
        <w:t>。对您的支持与配合，谨此致谢。</w:t>
      </w:r>
    </w:p>
    <w:p>
      <w:pPr>
        <w:ind w:left="480" w:firstLine="480" w:firstLineChars="200"/>
        <w:rPr>
          <w:rFonts w:hint="eastAsia" w:ascii="宋体" w:hAnsi="宋体" w:eastAsia="宋体" w:cs="宋体"/>
          <w:color w:val="auto"/>
          <w:sz w:val="24"/>
          <w:highlight w:val="none"/>
        </w:rPr>
      </w:pPr>
    </w:p>
    <w:p>
      <w:pPr>
        <w:jc w:val="center"/>
        <w:rPr>
          <w:rFonts w:hint="eastAsia" w:ascii="宋体" w:hAnsi="宋体" w:eastAsia="宋体" w:cs="宋体"/>
          <w:b/>
          <w:bCs/>
          <w:color w:val="auto"/>
          <w:sz w:val="36"/>
          <w:szCs w:val="44"/>
          <w:highlight w:val="none"/>
        </w:rPr>
        <w:sectPr>
          <w:pgSz w:w="11906" w:h="16838"/>
          <w:pgMar w:top="1440" w:right="1800" w:bottom="1440" w:left="1236" w:header="851" w:footer="992" w:gutter="0"/>
          <w:cols w:space="720" w:num="1"/>
          <w:docGrid w:type="lines" w:linePitch="312" w:charSpace="0"/>
        </w:sectPr>
      </w:pPr>
    </w:p>
    <w:p>
      <w:pPr>
        <w:spacing w:line="360" w:lineRule="auto"/>
        <w:jc w:val="center"/>
        <w:rPr>
          <w:rFonts w:hint="eastAsia" w:ascii="宋体" w:hAnsi="宋体" w:eastAsia="宋体"/>
          <w:color w:val="auto"/>
          <w:sz w:val="40"/>
          <w:szCs w:val="48"/>
          <w:highlight w:val="none"/>
        </w:rPr>
      </w:pPr>
    </w:p>
    <w:sdt>
      <w:sdtPr>
        <w:rPr>
          <w:rFonts w:ascii="宋体" w:hAnsi="宋体" w:eastAsia="宋体"/>
          <w:color w:val="auto"/>
          <w:sz w:val="40"/>
          <w:szCs w:val="48"/>
          <w:highlight w:val="none"/>
        </w:rPr>
        <w:id w:val="147464600"/>
      </w:sdtPr>
      <w:sdtEndPr>
        <w:rPr>
          <w:rFonts w:ascii="宋体" w:hAnsi="宋体" w:eastAsia="宋体" w:cs="宋体"/>
          <w:color w:val="auto"/>
          <w:sz w:val="21"/>
          <w:szCs w:val="21"/>
          <w:highlight w:val="none"/>
        </w:rPr>
      </w:sdtEndPr>
      <w:sdtContent>
        <w:p>
          <w:pPr>
            <w:spacing w:line="480" w:lineRule="auto"/>
            <w:jc w:val="center"/>
            <w:rPr>
              <w:color w:val="auto"/>
              <w:sz w:val="44"/>
              <w:szCs w:val="52"/>
              <w:highlight w:val="none"/>
            </w:rPr>
          </w:pPr>
          <w:r>
            <w:rPr>
              <w:rFonts w:ascii="宋体" w:hAnsi="宋体" w:eastAsia="宋体"/>
              <w:color w:val="auto"/>
              <w:sz w:val="44"/>
              <w:szCs w:val="52"/>
              <w:highlight w:val="none"/>
            </w:rPr>
            <w:t>目录</w:t>
          </w:r>
        </w:p>
        <w:p>
          <w:pPr>
            <w:pStyle w:val="23"/>
            <w:tabs>
              <w:tab w:val="right" w:leader="dot" w:pos="8306"/>
            </w:tabs>
            <w:rPr>
              <w:color w:val="auto"/>
              <w:highlight w:val="none"/>
            </w:rPr>
          </w:pPr>
          <w:r>
            <w:rPr>
              <w:rFonts w:ascii="宋体" w:hAnsi="宋体" w:cs="宋体"/>
              <w:b/>
              <w:color w:val="auto"/>
              <w:sz w:val="40"/>
              <w:szCs w:val="44"/>
              <w:highlight w:val="none"/>
            </w:rPr>
            <w:fldChar w:fldCharType="begin"/>
          </w:r>
          <w:r>
            <w:rPr>
              <w:rFonts w:ascii="宋体" w:hAnsi="宋体" w:cs="宋体"/>
              <w:b/>
              <w:color w:val="auto"/>
              <w:sz w:val="40"/>
              <w:szCs w:val="44"/>
              <w:highlight w:val="none"/>
            </w:rPr>
            <w:instrText xml:space="preserve">TOC \o "1-1" \h \u </w:instrText>
          </w:r>
          <w:r>
            <w:rPr>
              <w:rFonts w:ascii="宋体" w:hAnsi="宋体" w:cs="宋体"/>
              <w:b/>
              <w:color w:val="auto"/>
              <w:sz w:val="40"/>
              <w:szCs w:val="44"/>
              <w:highlight w:val="none"/>
            </w:rPr>
            <w:fldChar w:fldCharType="separate"/>
          </w:r>
        </w:p>
        <w:p>
          <w:pPr>
            <w:pStyle w:val="23"/>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52"/>
              <w:highlight w:val="none"/>
            </w:rPr>
            <w:fldChar w:fldCharType="begin"/>
          </w:r>
          <w:r>
            <w:rPr>
              <w:rFonts w:hint="eastAsia" w:ascii="宋体" w:hAnsi="宋体" w:eastAsia="宋体" w:cs="宋体"/>
              <w:color w:val="auto"/>
              <w:sz w:val="28"/>
              <w:szCs w:val="52"/>
              <w:highlight w:val="none"/>
            </w:rPr>
            <w:instrText xml:space="preserve"> HYPERLINK \l _Toc26286 </w:instrText>
          </w:r>
          <w:r>
            <w:rPr>
              <w:rFonts w:hint="eastAsia" w:ascii="宋体" w:hAnsi="宋体" w:eastAsia="宋体" w:cs="宋体"/>
              <w:color w:val="auto"/>
              <w:sz w:val="28"/>
              <w:szCs w:val="52"/>
              <w:highlight w:val="none"/>
            </w:rPr>
            <w:fldChar w:fldCharType="separate"/>
          </w:r>
          <w:r>
            <w:rPr>
              <w:rFonts w:hint="eastAsia" w:ascii="宋体" w:hAnsi="宋体" w:eastAsia="宋体" w:cs="宋体"/>
              <w:color w:val="auto"/>
              <w:sz w:val="28"/>
              <w:szCs w:val="28"/>
              <w:highlight w:val="none"/>
            </w:rPr>
            <w:t>第一部分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_Toc26286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52"/>
              <w:highlight w:val="none"/>
            </w:rPr>
            <w:fldChar w:fldCharType="end"/>
          </w:r>
        </w:p>
        <w:p>
          <w:pPr>
            <w:pStyle w:val="23"/>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52"/>
              <w:highlight w:val="none"/>
            </w:rPr>
            <w:fldChar w:fldCharType="begin"/>
          </w:r>
          <w:r>
            <w:rPr>
              <w:rFonts w:hint="eastAsia" w:ascii="宋体" w:hAnsi="宋体" w:eastAsia="宋体" w:cs="宋体"/>
              <w:color w:val="auto"/>
              <w:sz w:val="28"/>
              <w:szCs w:val="52"/>
              <w:highlight w:val="none"/>
            </w:rPr>
            <w:instrText xml:space="preserve"> HYPERLINK \l _Toc8641 </w:instrText>
          </w:r>
          <w:r>
            <w:rPr>
              <w:rFonts w:hint="eastAsia" w:ascii="宋体" w:hAnsi="宋体" w:eastAsia="宋体" w:cs="宋体"/>
              <w:color w:val="auto"/>
              <w:sz w:val="28"/>
              <w:szCs w:val="52"/>
              <w:highlight w:val="none"/>
            </w:rPr>
            <w:fldChar w:fldCharType="separate"/>
          </w:r>
          <w:r>
            <w:rPr>
              <w:rFonts w:hint="eastAsia" w:ascii="宋体" w:hAnsi="宋体" w:eastAsia="宋体" w:cs="宋体"/>
              <w:color w:val="auto"/>
              <w:sz w:val="28"/>
              <w:szCs w:val="28"/>
              <w:highlight w:val="none"/>
            </w:rPr>
            <w:t>第二部分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_Toc8641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52"/>
              <w:highlight w:val="none"/>
            </w:rPr>
            <w:fldChar w:fldCharType="end"/>
          </w:r>
        </w:p>
        <w:p>
          <w:pPr>
            <w:pStyle w:val="23"/>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52"/>
              <w:highlight w:val="none"/>
            </w:rPr>
            <w:fldChar w:fldCharType="begin"/>
          </w:r>
          <w:r>
            <w:rPr>
              <w:rFonts w:hint="eastAsia" w:ascii="宋体" w:hAnsi="宋体" w:eastAsia="宋体" w:cs="宋体"/>
              <w:color w:val="auto"/>
              <w:sz w:val="28"/>
              <w:szCs w:val="52"/>
              <w:highlight w:val="none"/>
            </w:rPr>
            <w:instrText xml:space="preserve"> HYPERLINK \l _Toc2156 </w:instrText>
          </w:r>
          <w:r>
            <w:rPr>
              <w:rFonts w:hint="eastAsia" w:ascii="宋体" w:hAnsi="宋体" w:eastAsia="宋体" w:cs="宋体"/>
              <w:color w:val="auto"/>
              <w:sz w:val="28"/>
              <w:szCs w:val="52"/>
              <w:highlight w:val="none"/>
            </w:rPr>
            <w:fldChar w:fldCharType="separate"/>
          </w:r>
          <w:r>
            <w:rPr>
              <w:rFonts w:hint="eastAsia" w:ascii="宋体" w:hAnsi="宋体" w:eastAsia="宋体" w:cs="宋体"/>
              <w:color w:val="auto"/>
              <w:sz w:val="28"/>
              <w:szCs w:val="28"/>
              <w:highlight w:val="none"/>
            </w:rPr>
            <w:t>第三部分 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_Toc2156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52"/>
              <w:highlight w:val="none"/>
            </w:rPr>
            <w:fldChar w:fldCharType="end"/>
          </w:r>
        </w:p>
        <w:p>
          <w:pPr>
            <w:pStyle w:val="23"/>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52"/>
              <w:highlight w:val="none"/>
            </w:rPr>
            <w:fldChar w:fldCharType="begin"/>
          </w:r>
          <w:r>
            <w:rPr>
              <w:rFonts w:hint="eastAsia" w:ascii="宋体" w:hAnsi="宋体" w:eastAsia="宋体" w:cs="宋体"/>
              <w:color w:val="auto"/>
              <w:sz w:val="28"/>
              <w:szCs w:val="52"/>
              <w:highlight w:val="none"/>
            </w:rPr>
            <w:instrText xml:space="preserve"> HYPERLINK \l _Toc25323 </w:instrText>
          </w:r>
          <w:r>
            <w:rPr>
              <w:rFonts w:hint="eastAsia" w:ascii="宋体" w:hAnsi="宋体" w:eastAsia="宋体" w:cs="宋体"/>
              <w:color w:val="auto"/>
              <w:sz w:val="28"/>
              <w:szCs w:val="52"/>
              <w:highlight w:val="none"/>
            </w:rPr>
            <w:fldChar w:fldCharType="separate"/>
          </w:r>
          <w:r>
            <w:rPr>
              <w:rFonts w:hint="eastAsia" w:ascii="宋体" w:hAnsi="宋体" w:eastAsia="宋体" w:cs="宋体"/>
              <w:color w:val="auto"/>
              <w:sz w:val="28"/>
              <w:szCs w:val="28"/>
              <w:highlight w:val="none"/>
            </w:rPr>
            <w:t>第四部分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_Toc25323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52"/>
              <w:highlight w:val="none"/>
            </w:rPr>
            <w:fldChar w:fldCharType="end"/>
          </w:r>
        </w:p>
        <w:p>
          <w:pPr>
            <w:pStyle w:val="23"/>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52"/>
              <w:highlight w:val="none"/>
            </w:rPr>
            <w:fldChar w:fldCharType="begin"/>
          </w:r>
          <w:r>
            <w:rPr>
              <w:rFonts w:hint="eastAsia" w:ascii="宋体" w:hAnsi="宋体" w:eastAsia="宋体" w:cs="宋体"/>
              <w:color w:val="auto"/>
              <w:sz w:val="28"/>
              <w:szCs w:val="52"/>
              <w:highlight w:val="none"/>
            </w:rPr>
            <w:instrText xml:space="preserve"> HYPERLINK \l _Toc5995 </w:instrText>
          </w:r>
          <w:r>
            <w:rPr>
              <w:rFonts w:hint="eastAsia" w:ascii="宋体" w:hAnsi="宋体" w:eastAsia="宋体" w:cs="宋体"/>
              <w:color w:val="auto"/>
              <w:sz w:val="28"/>
              <w:szCs w:val="52"/>
              <w:highlight w:val="none"/>
            </w:rPr>
            <w:fldChar w:fldCharType="separate"/>
          </w:r>
          <w:r>
            <w:rPr>
              <w:rFonts w:hint="eastAsia" w:ascii="宋体" w:hAnsi="宋体" w:eastAsia="宋体" w:cs="宋体"/>
              <w:color w:val="auto"/>
              <w:sz w:val="28"/>
              <w:szCs w:val="28"/>
              <w:highlight w:val="none"/>
            </w:rPr>
            <w:t>第五部分 投标文件内容及格式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52"/>
              <w:highlight w:val="none"/>
            </w:rPr>
            <w:fldChar w:fldCharType="end"/>
          </w:r>
        </w:p>
        <w:p>
          <w:pPr>
            <w:spacing w:line="480" w:lineRule="auto"/>
            <w:jc w:val="left"/>
            <w:rPr>
              <w:rFonts w:hint="eastAsia" w:ascii="宋体" w:hAnsi="宋体" w:eastAsia="宋体" w:cs="宋体"/>
              <w:b/>
              <w:color w:val="auto"/>
              <w:szCs w:val="21"/>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rFonts w:ascii="宋体" w:hAnsi="宋体" w:eastAsia="宋体" w:cs="宋体"/>
              <w:color w:val="auto"/>
              <w:szCs w:val="44"/>
              <w:highlight w:val="none"/>
            </w:rPr>
            <w:fldChar w:fldCharType="end"/>
          </w:r>
        </w:p>
      </w:sdtContent>
    </w:sdt>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投标邀请</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项目概况</w:t>
      </w:r>
    </w:p>
    <w:p>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国家税务总局乐昌市税务局2026年至2027年物业管理服务采购项目</w:t>
      </w:r>
      <w:r>
        <w:rPr>
          <w:rFonts w:hint="eastAsia" w:ascii="宋体" w:hAnsi="宋体" w:eastAsia="宋体" w:cs="宋体"/>
          <w:color w:val="auto"/>
          <w:kern w:val="0"/>
          <w:szCs w:val="21"/>
          <w:highlight w:val="none"/>
        </w:rPr>
        <w:t>）招标项目的潜在投标人应在广咨电子招投标交易平台（www.gzebid.cn）获取招标文件，并于</w:t>
      </w:r>
      <w:r>
        <w:rPr>
          <w:rFonts w:hint="eastAsia" w:ascii="宋体" w:hAnsi="宋体" w:eastAsia="宋体" w:cs="宋体"/>
          <w:color w:val="auto"/>
          <w:szCs w:val="21"/>
          <w:highlight w:val="none"/>
          <w:u w:val="none"/>
        </w:rPr>
        <w:t>2025年</w:t>
      </w:r>
      <w:r>
        <w:rPr>
          <w:rFonts w:hint="eastAsia" w:ascii="宋体" w:hAnsi="宋体" w:eastAsia="宋体" w:cs="宋体"/>
          <w:color w:val="auto"/>
          <w:szCs w:val="21"/>
          <w:highlight w:val="none"/>
          <w:u w:val="none"/>
          <w:lang w:val="en-US" w:eastAsia="zh-CN"/>
        </w:rPr>
        <w:t>12月25日</w:t>
      </w:r>
      <w:r>
        <w:rPr>
          <w:rFonts w:hint="eastAsia" w:ascii="宋体" w:hAnsi="宋体" w:eastAsia="宋体" w:cs="宋体"/>
          <w:color w:val="auto"/>
          <w:szCs w:val="21"/>
          <w:highlight w:val="none"/>
          <w:u w:val="none"/>
        </w:rPr>
        <w:t>09点30分</w:t>
      </w:r>
      <w:r>
        <w:rPr>
          <w:rFonts w:hint="eastAsia" w:ascii="宋体" w:hAnsi="宋体" w:eastAsia="宋体" w:cs="宋体"/>
          <w:color w:val="auto"/>
          <w:szCs w:val="21"/>
          <w:highlight w:val="none"/>
        </w:rPr>
        <w:t>（北京时间）</w:t>
      </w:r>
      <w:r>
        <w:rPr>
          <w:rFonts w:hint="eastAsia" w:ascii="宋体" w:hAnsi="宋体" w:eastAsia="宋体" w:cs="宋体"/>
          <w:color w:val="auto"/>
          <w:kern w:val="0"/>
          <w:szCs w:val="21"/>
          <w:highlight w:val="none"/>
        </w:rPr>
        <w:t>前递交投标文件。</w:t>
      </w:r>
    </w:p>
    <w:p>
      <w:pPr>
        <w:spacing w:line="360" w:lineRule="auto"/>
        <w:rPr>
          <w:rFonts w:hint="eastAsia" w:ascii="宋体" w:hAnsi="宋体" w:eastAsia="宋体" w:cs="宋体"/>
          <w:b/>
          <w:color w:val="auto"/>
          <w:highlight w:val="none"/>
        </w:rPr>
      </w:pPr>
      <w:bookmarkStart w:id="7" w:name="_Toc54335348"/>
      <w:bookmarkStart w:id="8" w:name="_Toc28359079"/>
      <w:bookmarkStart w:id="9" w:name="_Toc35393790"/>
      <w:bookmarkStart w:id="10" w:name="_Toc28359002"/>
      <w:bookmarkStart w:id="11" w:name="_Toc95484121"/>
      <w:bookmarkStart w:id="12" w:name="_Toc35393621"/>
      <w:bookmarkStart w:id="13" w:name="_Toc19156_WPSOffice_Level1"/>
      <w:bookmarkStart w:id="14" w:name="_Hlk24379207"/>
      <w:r>
        <w:rPr>
          <w:rFonts w:hint="eastAsia" w:ascii="宋体" w:hAnsi="宋体" w:eastAsia="宋体" w:cs="宋体"/>
          <w:b/>
          <w:color w:val="auto"/>
          <w:highlight w:val="none"/>
        </w:rPr>
        <w:t>一、项目基本情况</w:t>
      </w:r>
      <w:bookmarkEnd w:id="7"/>
      <w:bookmarkEnd w:id="8"/>
      <w:bookmarkEnd w:id="9"/>
      <w:bookmarkEnd w:id="10"/>
      <w:bookmarkEnd w:id="11"/>
      <w:bookmarkEnd w:id="12"/>
      <w:bookmarkEnd w:id="13"/>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M4400000707534814001</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国家税务总局乐昌市税务局2026年至2027年物业管理服务采购项目</w:t>
      </w:r>
    </w:p>
    <w:bookmarkEnd w:id="14"/>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260</w:t>
      </w:r>
      <w:r>
        <w:rPr>
          <w:rFonts w:hint="eastAsia" w:ascii="宋体" w:hAnsi="宋体" w:eastAsia="宋体" w:cs="宋体"/>
          <w:color w:val="auto"/>
          <w:szCs w:val="21"/>
          <w:highlight w:val="none"/>
        </w:rPr>
        <w:t>万元。</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采购需求：</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574"/>
        <w:gridCol w:w="780"/>
        <w:gridCol w:w="4377"/>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15" w:type="pct"/>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0" w:type="pct"/>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标的名称</w:t>
            </w:r>
          </w:p>
        </w:tc>
        <w:tc>
          <w:tcPr>
            <w:tcW w:w="446" w:type="pct"/>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503" w:type="pct"/>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简要技术需求或服务要求</w:t>
            </w:r>
          </w:p>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（具体详见采购需求）</w:t>
            </w:r>
          </w:p>
        </w:tc>
        <w:tc>
          <w:tcPr>
            <w:tcW w:w="834" w:type="pct"/>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最高限价</w:t>
            </w:r>
            <w:r>
              <w:rPr>
                <w:rFonts w:hint="eastAsia" w:ascii="宋体" w:hAnsi="宋体" w:eastAsia="宋体" w:cs="宋体"/>
                <w:color w:val="auto"/>
                <w:kern w:val="0"/>
                <w:szCs w:val="21"/>
                <w:highlight w:val="none"/>
              </w:rPr>
              <w:t>（人民币万元）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15" w:type="pct"/>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0" w:type="pct"/>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国家税务总局乐昌市税务局2026年至2027年物业管理服务采购项目</w:t>
            </w:r>
          </w:p>
        </w:tc>
        <w:tc>
          <w:tcPr>
            <w:tcW w:w="446" w:type="pct"/>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w:t>
            </w:r>
          </w:p>
        </w:tc>
        <w:tc>
          <w:tcPr>
            <w:tcW w:w="2503" w:type="pct"/>
            <w:vAlign w:val="center"/>
          </w:tcPr>
          <w:p>
            <w:pPr>
              <w:pStyle w:val="12"/>
              <w:rPr>
                <w:rFonts w:hint="eastAsia" w:ascii="宋体" w:hAnsi="宋体" w:eastAsia="宋体" w:cs="宋体"/>
                <w:color w:val="auto"/>
                <w:highlight w:val="none"/>
                <w:u w:color="FFFFFF" w:themeColor="background1"/>
              </w:rPr>
            </w:pPr>
            <w:r>
              <w:rPr>
                <w:rFonts w:hint="eastAsia" w:ascii="宋体" w:hAnsi="宋体" w:eastAsia="宋体" w:cs="宋体"/>
                <w:color w:val="auto"/>
                <w:highlight w:val="none"/>
                <w:u w:color="FFFFFF" w:themeColor="background1"/>
              </w:rPr>
              <w:t>1.本项目服务地点包括：国家税务总局乐昌市税务局行政楼、国家税务总局乐昌市税务局业务楼整体物业服务、保障、管理。</w:t>
            </w:r>
          </w:p>
          <w:p>
            <w:pPr>
              <w:pStyle w:val="12"/>
              <w:rPr>
                <w:rFonts w:hint="eastAsia" w:ascii="宋体" w:hAnsi="宋体" w:eastAsia="宋体" w:cs="宋体"/>
                <w:color w:val="auto"/>
                <w:highlight w:val="none"/>
                <w:u w:color="FFFFFF" w:themeColor="background1"/>
              </w:rPr>
            </w:pPr>
            <w:r>
              <w:rPr>
                <w:rFonts w:hint="eastAsia" w:ascii="宋体" w:hAnsi="宋体" w:eastAsia="宋体" w:cs="宋体"/>
                <w:color w:val="auto"/>
                <w:highlight w:val="none"/>
                <w:u w:color="FFFFFF" w:themeColor="background1"/>
              </w:rPr>
              <w:t>2.服务事项：物业档案建立和管理；物业配套设施设备的系统日常管理、保障、运行维护（专业维保以外内容）；物业公共安全、秩序管理、维护及服务；室外绿化养护；环境美化、清洁卫生服务、停车场管理、消防管理；大型活动或会议专项服务及采购人特定需要的其它特约服务等。</w:t>
            </w:r>
          </w:p>
          <w:p>
            <w:pPr>
              <w:pStyle w:val="12"/>
              <w:rPr>
                <w:rFonts w:ascii="宋体" w:hAnsi="宋体" w:eastAsia="宋体" w:cs="宋体"/>
                <w:color w:val="auto"/>
                <w:highlight w:val="none"/>
                <w:u w:color="FFFFFF" w:themeColor="background1"/>
              </w:rPr>
            </w:pPr>
            <w:r>
              <w:rPr>
                <w:rFonts w:hint="eastAsia" w:ascii="宋体" w:hAnsi="宋体" w:eastAsia="宋体" w:cs="宋体"/>
                <w:color w:val="auto"/>
                <w:highlight w:val="none"/>
                <w:u w:color="FFFFFF" w:themeColor="background1"/>
              </w:rPr>
              <w:t>3.为利于统一管理，采购人对上述物业管理服务整体向社会进行采购招标。投标人应对本项目所有内容进行投标，不允许只对其中部分内容进行投标。</w:t>
            </w:r>
          </w:p>
        </w:tc>
        <w:tc>
          <w:tcPr>
            <w:tcW w:w="834" w:type="pct"/>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260</w:t>
            </w:r>
          </w:p>
        </w:tc>
      </w:tr>
    </w:tbl>
    <w:p>
      <w:pPr>
        <w:widowControl/>
        <w:adjustRightInd w:val="0"/>
        <w:snapToGrid w:val="0"/>
        <w:spacing w:line="360" w:lineRule="auto"/>
        <w:ind w:firstLine="420" w:firstLineChars="200"/>
        <w:jc w:val="left"/>
        <w:rPr>
          <w:rFonts w:hint="eastAsia" w:ascii="宋体" w:hAnsi="宋体" w:eastAsia="宋体" w:cs="宋体"/>
          <w:i/>
          <w:color w:val="auto"/>
          <w:szCs w:val="21"/>
          <w:highlight w:val="none"/>
        </w:rPr>
      </w:pPr>
      <w:r>
        <w:rPr>
          <w:rFonts w:hint="eastAsia" w:ascii="宋体" w:hAnsi="宋体" w:eastAsia="宋体" w:cs="宋体"/>
          <w:color w:val="auto"/>
          <w:szCs w:val="21"/>
          <w:highlight w:val="none"/>
        </w:rPr>
        <w:t>本项目采购标的所属行业为：</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月1日至2027年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月31日(共24个月)。自签订合同之日起，如中标人</w:t>
      </w:r>
      <w:r>
        <w:rPr>
          <w:rFonts w:hint="eastAsia" w:ascii="宋体" w:hAnsi="宋体" w:eastAsia="宋体" w:cs="宋体"/>
          <w:sz w:val="21"/>
          <w:szCs w:val="21"/>
          <w:highlight w:val="none"/>
        </w:rPr>
        <w:t>1个月内连续3（人）次出现违反采购人管理规定情况</w:t>
      </w:r>
      <w:r>
        <w:rPr>
          <w:rFonts w:hint="eastAsia" w:ascii="宋体" w:hAnsi="宋体" w:eastAsia="宋体" w:cs="宋体"/>
          <w:sz w:val="21"/>
          <w:szCs w:val="21"/>
          <w:highlight w:val="none"/>
          <w:lang w:eastAsia="zh-CN"/>
        </w:rPr>
        <w:t>，或者</w:t>
      </w:r>
      <w:r>
        <w:rPr>
          <w:rFonts w:hint="eastAsia" w:ascii="宋体" w:hAnsi="宋体" w:eastAsia="宋体" w:cs="宋体"/>
          <w:color w:val="auto"/>
          <w:szCs w:val="21"/>
          <w:highlight w:val="none"/>
          <w:lang w:eastAsia="zh-CN"/>
        </w:rPr>
        <w:t>在服务期内连续（或累计）</w:t>
      </w:r>
      <w:r>
        <w:rPr>
          <w:rFonts w:hint="eastAsia" w:ascii="宋体" w:hAnsi="宋体" w:eastAsia="宋体" w:cs="宋体"/>
          <w:color w:val="auto"/>
          <w:szCs w:val="21"/>
          <w:highlight w:val="none"/>
          <w:lang w:val="en-US" w:eastAsia="zh-CN"/>
        </w:rPr>
        <w:t>2次及以上物业服务综合考核未达标</w:t>
      </w:r>
      <w:r>
        <w:rPr>
          <w:rFonts w:hint="eastAsia" w:ascii="宋体" w:hAnsi="宋体" w:eastAsia="宋体" w:cs="宋体"/>
          <w:color w:val="auto"/>
          <w:szCs w:val="21"/>
          <w:highlight w:val="none"/>
        </w:rPr>
        <w:t>的，采购人有权终止合同。采购人将通过招标另行确定服务单位，由此产生的一切责任由中标人负责。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pPr>
        <w:spacing w:line="360" w:lineRule="auto"/>
        <w:rPr>
          <w:rFonts w:hint="eastAsia" w:ascii="宋体" w:hAnsi="宋体" w:eastAsia="宋体" w:cs="宋体"/>
          <w:b/>
          <w:color w:val="auto"/>
          <w:highlight w:val="none"/>
        </w:rPr>
      </w:pPr>
      <w:bookmarkStart w:id="15" w:name="_Toc54335349"/>
      <w:bookmarkStart w:id="16" w:name="_Toc28359080"/>
      <w:bookmarkStart w:id="17" w:name="_Toc28359003"/>
      <w:bookmarkStart w:id="18" w:name="_Toc95484122"/>
      <w:bookmarkStart w:id="19" w:name="_Toc12980_WPSOffice_Level1"/>
      <w:bookmarkStart w:id="20" w:name="_Toc35393622"/>
      <w:bookmarkStart w:id="21" w:name="_Toc35393791"/>
      <w:r>
        <w:rPr>
          <w:rFonts w:hint="eastAsia" w:ascii="宋体" w:hAnsi="宋体" w:eastAsia="宋体" w:cs="宋体"/>
          <w:b/>
          <w:color w:val="auto"/>
          <w:highlight w:val="none"/>
        </w:rPr>
        <w:t>二、申请人的资格要求</w:t>
      </w:r>
      <w:bookmarkEnd w:id="15"/>
      <w:bookmarkEnd w:id="16"/>
      <w:bookmarkEnd w:id="17"/>
      <w:bookmarkEnd w:id="18"/>
      <w:bookmarkEnd w:id="19"/>
      <w:bookmarkEnd w:id="20"/>
      <w:bookmarkEnd w:id="21"/>
    </w:p>
    <w:p>
      <w:pPr>
        <w:spacing w:line="360" w:lineRule="auto"/>
        <w:ind w:firstLine="422" w:firstLineChars="200"/>
        <w:rPr>
          <w:rFonts w:hint="eastAsia" w:ascii="宋体" w:hAnsi="宋体" w:eastAsia="宋体" w:cs="宋体"/>
          <w:color w:val="auto"/>
          <w:kern w:val="0"/>
          <w:szCs w:val="21"/>
          <w:highlight w:val="none"/>
        </w:rPr>
      </w:pPr>
      <w:bookmarkStart w:id="22" w:name="_Toc28359081"/>
      <w:bookmarkStart w:id="23" w:name="_Toc28359004"/>
      <w:r>
        <w:rPr>
          <w:rFonts w:hint="eastAsia" w:ascii="宋体" w:hAnsi="宋体" w:eastAsia="宋体" w:cs="宋体"/>
          <w:b/>
          <w:color w:val="auto"/>
          <w:szCs w:val="21"/>
          <w:highlight w:val="none"/>
        </w:rPr>
        <w:t>1.满足《中华人民共和国政府采购法》第二十二条规定；</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2.落实政府采购政策需满足的资格要求：</w:t>
      </w:r>
    </w:p>
    <w:p>
      <w:pPr>
        <w:spacing w:line="360" w:lineRule="auto"/>
        <w:ind w:firstLine="441" w:firstLineChars="210"/>
        <w:rPr>
          <w:rFonts w:hint="eastAsia" w:ascii="宋体" w:hAnsi="宋体" w:eastAsia="宋体" w:cs="宋体"/>
          <w:color w:val="auto"/>
          <w:kern w:val="0"/>
          <w:szCs w:val="21"/>
          <w:highlight w:val="none"/>
        </w:rPr>
      </w:pPr>
      <w:bookmarkStart w:id="24" w:name="OLE_LINK4"/>
      <w:r>
        <w:rPr>
          <w:rFonts w:hint="eastAsia" w:ascii="宋体" w:hAnsi="宋体" w:eastAsia="宋体" w:cs="宋体"/>
          <w:color w:val="auto"/>
          <w:kern w:val="0"/>
          <w:szCs w:val="21"/>
          <w:highlight w:val="none"/>
        </w:rPr>
        <w:t>本项目专门面向</w:t>
      </w:r>
      <w:r>
        <w:rPr>
          <w:rFonts w:hint="eastAsia" w:ascii="宋体" w:hAnsi="宋体" w:eastAsia="宋体" w:cs="宋体"/>
          <w:color w:val="auto"/>
          <w:kern w:val="0"/>
          <w:szCs w:val="21"/>
          <w:highlight w:val="none"/>
          <w:lang w:eastAsia="zh-CN"/>
        </w:rPr>
        <w:t>小微</w:t>
      </w:r>
      <w:r>
        <w:rPr>
          <w:rFonts w:hint="eastAsia" w:ascii="宋体" w:hAnsi="宋体" w:eastAsia="宋体" w:cs="宋体"/>
          <w:color w:val="auto"/>
          <w:kern w:val="0"/>
          <w:szCs w:val="21"/>
          <w:highlight w:val="none"/>
        </w:rPr>
        <w:t>企业采购，所属行业为:</w:t>
      </w:r>
      <w:r>
        <w:rPr>
          <w:rFonts w:hint="eastAsia" w:ascii="宋体" w:hAnsi="宋体" w:eastAsia="宋体" w:cs="宋体"/>
          <w:color w:val="auto"/>
          <w:kern w:val="0"/>
          <w:szCs w:val="21"/>
          <w:highlight w:val="none"/>
          <w:lang w:val="en-US" w:eastAsia="zh-CN"/>
        </w:rPr>
        <w:t>物业管理</w:t>
      </w:r>
      <w:r>
        <w:rPr>
          <w:rFonts w:hint="eastAsia" w:ascii="宋体" w:hAnsi="宋体" w:eastAsia="宋体" w:cs="宋体"/>
          <w:color w:val="auto"/>
          <w:kern w:val="0"/>
          <w:szCs w:val="21"/>
          <w:highlight w:val="none"/>
        </w:rPr>
        <w:t>。</w:t>
      </w:r>
    </w:p>
    <w:p>
      <w:pPr>
        <w:spacing w:line="360" w:lineRule="auto"/>
        <w:ind w:firstLine="441" w:firstLineChars="21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【注:</w:t>
      </w:r>
      <w:r>
        <w:rPr>
          <w:rFonts w:hint="eastAsia" w:ascii="宋体" w:hAnsi="宋体" w:eastAsia="宋体" w:cs="宋体"/>
          <w:color w:val="auto"/>
          <w:kern w:val="0"/>
          <w:szCs w:val="21"/>
          <w:highlight w:val="none"/>
          <w:u w:val="none"/>
          <w:lang w:eastAsia="zh-CN"/>
        </w:rPr>
        <w:t>小微</w:t>
      </w:r>
      <w:r>
        <w:rPr>
          <w:rFonts w:hint="eastAsia" w:ascii="宋体" w:hAnsi="宋体" w:eastAsia="宋体" w:cs="宋体"/>
          <w:color w:val="auto"/>
          <w:kern w:val="0"/>
          <w:szCs w:val="21"/>
          <w:highlight w:val="none"/>
          <w:u w:val="none"/>
        </w:rPr>
        <w:t>企业以</w:t>
      </w:r>
      <w:r>
        <w:rPr>
          <w:rFonts w:hint="eastAsia" w:ascii="宋体" w:hAnsi="宋体" w:eastAsia="宋体" w:cs="宋体"/>
          <w:color w:val="auto"/>
          <w:kern w:val="0"/>
          <w:szCs w:val="21"/>
          <w:highlight w:val="none"/>
          <w:u w:val="none"/>
          <w:lang w:eastAsia="zh-CN"/>
        </w:rPr>
        <w:t>供应商</w:t>
      </w:r>
      <w:r>
        <w:rPr>
          <w:rFonts w:hint="eastAsia" w:ascii="宋体" w:hAnsi="宋体" w:eastAsia="宋体" w:cs="宋体"/>
          <w:color w:val="auto"/>
          <w:kern w:val="0"/>
          <w:szCs w:val="21"/>
          <w:highlight w:val="none"/>
          <w:u w:val="none"/>
        </w:rPr>
        <w:t>《中小企业声明函》为判定标准</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rPr>
        <w:t>监狱企业以供应商提供由省级以上监狱管理局、戒毒管理局(含新疆生产建设兵团)出具的属于监狱企业的证明文件为判定标准</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rPr>
        <w:t>残疾人福利性单位以供应商填写的《残疾人福利性单位声明函》为判定标准</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rPr>
        <w:t>】</w:t>
      </w:r>
      <w:bookmarkEnd w:id="24"/>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3.本项目的特定资格要求：</w:t>
      </w:r>
    </w:p>
    <w:p>
      <w:pPr>
        <w:spacing w:line="360" w:lineRule="auto"/>
        <w:ind w:firstLine="441" w:firstLineChars="2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（1）应具备《中华人民共和国政府采购法》第二十二条规定的条件，提供以下材料：</w:t>
      </w:r>
    </w:p>
    <w:p>
      <w:pPr>
        <w:spacing w:line="360" w:lineRule="auto"/>
        <w:ind w:firstLine="441" w:firstLineChars="2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①具有独立承担民事责任的能力(在中华人民共和国境内注册的法人或其他组织</w:t>
      </w:r>
      <w:r>
        <w:rPr>
          <w:rFonts w:hint="eastAsia" w:ascii="宋体" w:hAnsi="宋体" w:eastAsia="宋体" w:cs="宋体"/>
          <w:color w:val="auto"/>
          <w:szCs w:val="21"/>
          <w:highlight w:val="none"/>
        </w:rPr>
        <w:t>或自然人</w:t>
      </w:r>
      <w:r>
        <w:rPr>
          <w:rFonts w:hint="eastAsia" w:ascii="宋体" w:hAnsi="宋体" w:eastAsia="宋体" w:cs="宋体"/>
          <w:color w:val="auto"/>
          <w:kern w:val="0"/>
          <w:szCs w:val="21"/>
          <w:highlight w:val="none"/>
        </w:rPr>
        <w:t>,投标(响应)时提交有效的营业执照(或事业法人登记证或身份证等相关证明)副本复印件。</w:t>
      </w:r>
    </w:p>
    <w:p>
      <w:pPr>
        <w:spacing w:line="360" w:lineRule="auto"/>
        <w:ind w:firstLine="441" w:firstLineChars="2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②具有良好的商业信誉和健全的财务会计制度(提供经会计师事务所审计的202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年度财务状况报表或基本开户行出具的资信证明;</w:t>
      </w:r>
    </w:p>
    <w:p>
      <w:pPr>
        <w:spacing w:line="360" w:lineRule="auto"/>
        <w:ind w:firstLine="441" w:firstLineChars="2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③具有履行合同所必需的设备和专业技术能力(提供</w:t>
      </w:r>
      <w:r>
        <w:rPr>
          <w:rFonts w:hint="eastAsia" w:ascii="宋体" w:hAnsi="宋体" w:eastAsia="宋体" w:cs="宋体"/>
          <w:color w:val="auto"/>
          <w:szCs w:val="21"/>
          <w:highlight w:val="none"/>
        </w:rPr>
        <w:t>按照招标文件的格式签署盖章的《资格声明函》</w:t>
      </w:r>
      <w:r>
        <w:rPr>
          <w:rFonts w:hint="eastAsia" w:ascii="宋体" w:hAnsi="宋体" w:eastAsia="宋体" w:cs="宋体"/>
          <w:color w:val="auto"/>
          <w:szCs w:val="21"/>
          <w:highlight w:val="none"/>
          <w:lang w:val="en-US" w:eastAsia="zh-CN"/>
        </w:rPr>
        <w:t>或提供</w:t>
      </w:r>
      <w:r>
        <w:rPr>
          <w:rFonts w:hint="eastAsia" w:ascii="宋体" w:hAnsi="宋体" w:eastAsia="宋体" w:cs="宋体"/>
          <w:color w:val="auto"/>
          <w:kern w:val="0"/>
          <w:szCs w:val="21"/>
          <w:highlight w:val="none"/>
        </w:rPr>
        <w:t>相关证明材料);</w:t>
      </w:r>
    </w:p>
    <w:p>
      <w:pPr>
        <w:spacing w:line="360" w:lineRule="auto"/>
        <w:ind w:firstLine="441" w:firstLineChars="2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w:t>
      </w:r>
      <w:r>
        <w:rPr>
          <w:rFonts w:ascii="宋体" w:hAnsi="宋体" w:eastAsia="宋体" w:cs="宋体"/>
          <w:color w:val="auto"/>
          <w:kern w:val="0"/>
          <w:szCs w:val="21"/>
          <w:highlight w:val="none"/>
        </w:rPr>
        <w:t>有依法缴纳税收和社会保障资金的良好记录(提供投标截止日前6个月内任意1个月依法缴纳税收和社会保障资金的相关材料。如依法免税或不需要缴纳社会保障资金的,提供相应证明材料);</w:t>
      </w:r>
    </w:p>
    <w:p>
      <w:pPr>
        <w:spacing w:line="360" w:lineRule="auto"/>
        <w:ind w:firstLine="441" w:firstLineChars="2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w:t>
      </w:r>
      <w:r>
        <w:rPr>
          <w:rFonts w:ascii="宋体" w:hAnsi="宋体" w:eastAsia="宋体" w:cs="宋体"/>
          <w:color w:val="auto"/>
          <w:kern w:val="0"/>
          <w:szCs w:val="21"/>
          <w:highlight w:val="none"/>
        </w:rPr>
        <w:t>参加政府采购活动前三年内,在经营活动中没有重大违法记录(提供</w:t>
      </w:r>
      <w:r>
        <w:rPr>
          <w:rFonts w:hint="eastAsia" w:ascii="宋体" w:hAnsi="宋体" w:eastAsia="宋体" w:cs="宋体"/>
          <w:color w:val="auto"/>
          <w:szCs w:val="21"/>
          <w:highlight w:val="none"/>
        </w:rPr>
        <w:t>按照招标文件的格式签署盖章的《资格声明函》</w:t>
      </w:r>
      <w:r>
        <w:rPr>
          <w:rFonts w:ascii="宋体" w:hAnsi="宋体" w:eastAsia="宋体" w:cs="宋体"/>
          <w:color w:val="auto"/>
          <w:kern w:val="0"/>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 200 万元的,从其规定)</w:t>
      </w:r>
      <w:r>
        <w:rPr>
          <w:rFonts w:hint="eastAsia" w:ascii="宋体" w:hAnsi="宋体" w:eastAsia="宋体" w:cs="宋体"/>
          <w:color w:val="auto"/>
          <w:kern w:val="0"/>
          <w:szCs w:val="21"/>
          <w:highlight w:val="none"/>
        </w:rPr>
        <w:t>；</w:t>
      </w:r>
    </w:p>
    <w:p>
      <w:pPr>
        <w:spacing w:line="360" w:lineRule="auto"/>
        <w:ind w:firstLine="441" w:firstLineChars="2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⑥法律、行政法规规定的其他条件(提供</w:t>
      </w:r>
      <w:r>
        <w:rPr>
          <w:rFonts w:hint="eastAsia" w:ascii="宋体" w:hAnsi="宋体" w:eastAsia="宋体" w:cs="宋体"/>
          <w:color w:val="auto"/>
          <w:szCs w:val="21"/>
          <w:highlight w:val="none"/>
        </w:rPr>
        <w:t>按照招标文件的格式签署盖章的《资格声明函》</w:t>
      </w:r>
      <w:r>
        <w:rPr>
          <w:rFonts w:hint="eastAsia" w:ascii="宋体" w:hAnsi="宋体" w:eastAsia="宋体" w:cs="宋体"/>
          <w:color w:val="auto"/>
          <w:kern w:val="0"/>
          <w:szCs w:val="21"/>
          <w:highlight w:val="none"/>
        </w:rPr>
        <w:t>)。</w:t>
      </w:r>
    </w:p>
    <w:p>
      <w:pPr>
        <w:tabs>
          <w:tab w:val="left" w:pos="709"/>
          <w:tab w:val="left" w:pos="85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（2）信用记录：投标人未被列入“信用中国网站(www.creditchina.gov.cn)”重大税</w:t>
      </w:r>
      <w:r>
        <w:rPr>
          <w:rFonts w:hint="eastAsia" w:ascii="宋体" w:hAnsi="宋体" w:eastAsia="宋体" w:cs="宋体"/>
          <w:color w:val="auto"/>
          <w:szCs w:val="21"/>
          <w:highlight w:val="none"/>
        </w:rPr>
        <w:t>收违法失信主体；未被列入“中国执行信息公开网（http://zxgk.court.gov.cn/）”失信被执行人记录名单；未被列入“中国政府采购网(http://www.ccgp.gov.cn/)”政府采购严重违法失信行为记录名单中的禁止参加政府采购活动期间，若投标人具有分公司的，其所属分公司有上述不良信用记录的，视同该投标人存在不良信用记录。若投标人为分公司的，其所属总公司（总所）存在上述不良信用记录的，视同该分公司存在不良信用记录。（以采购代理机构于评标当天在“信用中国网站(www.creditchina.gov.cn)、中国执行信息公开网（http://zxgk.court.gov.cn/）及中国政府采购网（http://www.ccgp.gov.cn/）查询结果为准，如相关失信记录已失效，投标人需提供相关证明资料）。</w:t>
      </w:r>
    </w:p>
    <w:p>
      <w:pPr>
        <w:tabs>
          <w:tab w:val="left" w:pos="709"/>
          <w:tab w:val="left" w:pos="85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必须符合法律、行政法规规定的其他条件：单位负责人为同一人或者存在直接控股、管理关系的不同供应商，不得同时参加本采购项目（或同一合同项下）投标。为本项目提供整体设计、规范编制或者项目管理、监理、检测等服务的投标人，不得再参与本项目投标。（提供按照招标文件的格式签署盖章的《资格声明函》）。</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iCs/>
          <w:color w:val="auto"/>
          <w:szCs w:val="21"/>
          <w:highlight w:val="none"/>
        </w:rPr>
        <w:t>投标人已按招标公告规定获取了招标文件。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（5）本项目不接受联合体投标，</w:t>
      </w:r>
      <w:r>
        <w:rPr>
          <w:rFonts w:hint="eastAsia" w:ascii="宋体" w:hAnsi="宋体" w:eastAsia="宋体" w:cs="宋体"/>
          <w:color w:val="auto"/>
          <w:kern w:val="0"/>
          <w:szCs w:val="21"/>
          <w:highlight w:val="none"/>
        </w:rPr>
        <w:t>不接受中标备选方案。</w:t>
      </w:r>
      <w:bookmarkStart w:id="25" w:name="_Toc54335350"/>
      <w:bookmarkStart w:id="26" w:name="_Toc95484123"/>
      <w:bookmarkStart w:id="27" w:name="_Toc35393623"/>
      <w:bookmarkStart w:id="28" w:name="_Toc35393792"/>
    </w:p>
    <w:p>
      <w:pPr>
        <w:spacing w:line="360" w:lineRule="auto"/>
        <w:rPr>
          <w:rFonts w:hint="eastAsia" w:ascii="宋体" w:hAnsi="宋体" w:eastAsia="宋体" w:cs="宋体"/>
          <w:b/>
          <w:color w:val="auto"/>
          <w:highlight w:val="none"/>
        </w:rPr>
      </w:pPr>
      <w:bookmarkStart w:id="29" w:name="_Toc28176_WPSOffice_Level1"/>
      <w:r>
        <w:rPr>
          <w:rFonts w:hint="eastAsia" w:ascii="宋体" w:hAnsi="宋体" w:eastAsia="宋体" w:cs="宋体"/>
          <w:b/>
          <w:color w:val="auto"/>
          <w:highlight w:val="none"/>
        </w:rPr>
        <w:t>三、获取招标文件</w:t>
      </w:r>
      <w:bookmarkEnd w:id="22"/>
      <w:bookmarkEnd w:id="23"/>
      <w:bookmarkEnd w:id="25"/>
      <w:bookmarkEnd w:id="26"/>
      <w:bookmarkEnd w:id="27"/>
      <w:bookmarkEnd w:id="28"/>
      <w:bookmarkEnd w:id="29"/>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时间：2025</w:t>
      </w:r>
      <w:r>
        <w:rPr>
          <w:rFonts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03</w:t>
      </w:r>
      <w:r>
        <w:rPr>
          <w:rFonts w:ascii="宋体" w:hAnsi="宋体" w:eastAsia="宋体" w:cs="宋体"/>
          <w:color w:val="auto"/>
          <w:szCs w:val="21"/>
          <w:highlight w:val="none"/>
        </w:rPr>
        <w:t>日至</w:t>
      </w:r>
      <w:r>
        <w:rPr>
          <w:rFonts w:hint="eastAsia" w:ascii="宋体" w:hAnsi="宋体" w:eastAsia="宋体" w:cs="宋体"/>
          <w:color w:val="auto"/>
          <w:szCs w:val="21"/>
          <w:highlight w:val="none"/>
        </w:rPr>
        <w:t>2025</w:t>
      </w:r>
      <w:r>
        <w:rPr>
          <w:rFonts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10</w:t>
      </w:r>
      <w:r>
        <w:rPr>
          <w:rFonts w:ascii="宋体" w:hAnsi="宋体" w:eastAsia="宋体" w:cs="宋体"/>
          <w:color w:val="auto"/>
          <w:szCs w:val="21"/>
          <w:highlight w:val="none"/>
        </w:rPr>
        <w:t>日，每天9：00至12：00，1</w:t>
      </w:r>
      <w:r>
        <w:rPr>
          <w:rFonts w:hint="eastAsia" w:ascii="宋体" w:hAnsi="宋体" w:eastAsia="宋体" w:cs="宋体"/>
          <w:color w:val="auto"/>
          <w:szCs w:val="21"/>
          <w:highlight w:val="none"/>
        </w:rPr>
        <w:t>2</w:t>
      </w:r>
      <w:r>
        <w:rPr>
          <w:rFonts w:ascii="宋体" w:hAnsi="宋体" w:eastAsia="宋体" w:cs="宋体"/>
          <w:color w:val="auto"/>
          <w:szCs w:val="21"/>
          <w:highlight w:val="none"/>
        </w:rPr>
        <w:t>：00至17：30（北京时间，法定节假日除外）</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地点：通过广咨电子招投标交易平台（www.gzebid.cn）在线获取</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方式：详见本招标公告“六、其他补充事宜”。</w:t>
      </w:r>
    </w:p>
    <w:p>
      <w:pPr>
        <w:spacing w:line="360" w:lineRule="auto"/>
        <w:ind w:firstLine="53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售价：¥0.0 元，本公告包含的招标文件售价总和。</w:t>
      </w:r>
    </w:p>
    <w:p>
      <w:pPr>
        <w:spacing w:line="360" w:lineRule="auto"/>
        <w:rPr>
          <w:rFonts w:hint="eastAsia" w:ascii="宋体" w:hAnsi="宋体" w:eastAsia="宋体" w:cs="宋体"/>
          <w:b/>
          <w:color w:val="auto"/>
          <w:highlight w:val="none"/>
        </w:rPr>
      </w:pPr>
      <w:bookmarkStart w:id="30" w:name="_Toc28359005"/>
      <w:bookmarkStart w:id="31" w:name="_Toc28359082"/>
      <w:bookmarkStart w:id="32" w:name="_Toc54335351"/>
      <w:bookmarkStart w:id="33" w:name="_Toc35393793"/>
      <w:bookmarkStart w:id="34" w:name="_Toc95484124"/>
      <w:bookmarkStart w:id="35" w:name="_Toc35393624"/>
      <w:bookmarkStart w:id="36" w:name="_Toc14454_WPSOffice_Level1"/>
      <w:r>
        <w:rPr>
          <w:rFonts w:hint="eastAsia" w:ascii="宋体" w:hAnsi="宋体" w:eastAsia="宋体" w:cs="宋体"/>
          <w:b/>
          <w:color w:val="auto"/>
          <w:highlight w:val="none"/>
        </w:rPr>
        <w:t>四、提交投标文件</w:t>
      </w:r>
      <w:bookmarkEnd w:id="30"/>
      <w:bookmarkEnd w:id="31"/>
      <w:r>
        <w:rPr>
          <w:rFonts w:hint="eastAsia" w:ascii="宋体" w:hAnsi="宋体" w:eastAsia="宋体" w:cs="宋体"/>
          <w:b/>
          <w:color w:val="auto"/>
          <w:highlight w:val="none"/>
        </w:rPr>
        <w:t>截止时间、开标时间和地点</w:t>
      </w:r>
      <w:bookmarkEnd w:id="32"/>
      <w:bookmarkEnd w:id="33"/>
      <w:bookmarkEnd w:id="34"/>
      <w:bookmarkEnd w:id="35"/>
      <w:bookmarkEnd w:id="36"/>
    </w:p>
    <w:p>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提交投标文件截止时间：2025</w:t>
      </w:r>
      <w:r>
        <w:rPr>
          <w:rFonts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12</w:t>
      </w:r>
      <w:r>
        <w:rPr>
          <w:rFonts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25</w:t>
      </w:r>
      <w:r>
        <w:rPr>
          <w:rFonts w:ascii="宋体" w:hAnsi="宋体" w:eastAsia="宋体" w:cs="宋体"/>
          <w:color w:val="auto"/>
          <w:szCs w:val="21"/>
          <w:highlight w:val="none"/>
          <w:u w:val="none"/>
        </w:rPr>
        <w:t>日</w:t>
      </w:r>
      <w:r>
        <w:rPr>
          <w:rFonts w:hint="eastAsia" w:ascii="宋体" w:hAnsi="宋体" w:eastAsia="宋体" w:cs="宋体"/>
          <w:color w:val="auto"/>
          <w:szCs w:val="21"/>
          <w:highlight w:val="none"/>
          <w:u w:val="none"/>
        </w:rPr>
        <w:t>09点30分</w:t>
      </w:r>
      <w:r>
        <w:rPr>
          <w:rFonts w:hint="eastAsia" w:ascii="宋体" w:hAnsi="宋体" w:eastAsia="宋体" w:cs="宋体"/>
          <w:bCs/>
          <w:color w:val="auto"/>
          <w:szCs w:val="21"/>
          <w:highlight w:val="none"/>
          <w:u w:val="none"/>
        </w:rPr>
        <w:t>（北京时间）</w:t>
      </w:r>
      <w:r>
        <w:rPr>
          <w:rFonts w:hint="eastAsia" w:ascii="宋体" w:hAnsi="宋体" w:eastAsia="宋体" w:cs="宋体"/>
          <w:color w:val="auto"/>
          <w:szCs w:val="21"/>
          <w:highlight w:val="none"/>
          <w:u w:val="none"/>
        </w:rPr>
        <w:t>（自招标文件开始发出之日起至投标人提交投标文件截止之日止，不得少于20日）</w:t>
      </w:r>
    </w:p>
    <w:p>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开标时间：2025</w:t>
      </w:r>
      <w:r>
        <w:rPr>
          <w:rFonts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12</w:t>
      </w:r>
      <w:r>
        <w:rPr>
          <w:rFonts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25</w:t>
      </w:r>
      <w:r>
        <w:rPr>
          <w:rFonts w:ascii="宋体" w:hAnsi="宋体" w:eastAsia="宋体" w:cs="宋体"/>
          <w:color w:val="auto"/>
          <w:szCs w:val="21"/>
          <w:highlight w:val="none"/>
          <w:u w:val="none"/>
        </w:rPr>
        <w:t>日</w:t>
      </w:r>
      <w:r>
        <w:rPr>
          <w:rFonts w:hint="eastAsia" w:ascii="宋体" w:hAnsi="宋体" w:eastAsia="宋体" w:cs="宋体"/>
          <w:color w:val="auto"/>
          <w:szCs w:val="21"/>
          <w:highlight w:val="none"/>
          <w:u w:val="none"/>
        </w:rPr>
        <w:t>09点30分</w:t>
      </w:r>
      <w:r>
        <w:rPr>
          <w:rFonts w:hint="eastAsia" w:ascii="宋体" w:hAnsi="宋体" w:eastAsia="宋体" w:cs="宋体"/>
          <w:bCs/>
          <w:color w:val="auto"/>
          <w:szCs w:val="21"/>
          <w:highlight w:val="none"/>
          <w:u w:val="none"/>
        </w:rPr>
        <w:t>（北京时间）</w:t>
      </w:r>
    </w:p>
    <w:p>
      <w:pPr>
        <w:widowControl/>
        <w:spacing w:line="360" w:lineRule="auto"/>
        <w:ind w:firstLine="420" w:firstLineChars="200"/>
        <w:jc w:val="left"/>
        <w:outlineLvl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韶关市浈江区五里亭耕进商贸城</w:t>
      </w:r>
      <w:r>
        <w:rPr>
          <w:rFonts w:hint="eastAsia" w:ascii="宋体" w:hAnsi="宋体" w:eastAsia="宋体" w:cs="宋体"/>
          <w:color w:val="auto"/>
          <w:szCs w:val="21"/>
          <w:highlight w:val="none"/>
          <w:lang w:val="en-US" w:eastAsia="zh-CN"/>
        </w:rPr>
        <w:t>D区65号三楼（</w:t>
      </w:r>
      <w:r>
        <w:rPr>
          <w:rFonts w:hint="eastAsia" w:ascii="宋体" w:hAnsi="宋体" w:eastAsia="宋体" w:cs="宋体"/>
          <w:color w:val="auto"/>
          <w:szCs w:val="21"/>
          <w:highlight w:val="none"/>
          <w:lang w:eastAsia="zh-CN"/>
        </w:rPr>
        <w:t>广东省机电设备招标有限公司韶关分公司</w:t>
      </w:r>
      <w:r>
        <w:rPr>
          <w:rFonts w:hint="eastAsia" w:ascii="宋体" w:hAnsi="宋体" w:eastAsia="宋体" w:cs="宋体"/>
          <w:color w:val="auto"/>
          <w:szCs w:val="21"/>
          <w:highlight w:val="none"/>
          <w:lang w:val="en-US" w:eastAsia="zh-CN"/>
        </w:rPr>
        <w:t>）</w:t>
      </w:r>
    </w:p>
    <w:p>
      <w:pPr>
        <w:spacing w:line="360" w:lineRule="auto"/>
        <w:rPr>
          <w:rFonts w:hint="eastAsia" w:ascii="宋体" w:hAnsi="宋体" w:eastAsia="宋体" w:cs="宋体"/>
          <w:b/>
          <w:color w:val="auto"/>
          <w:highlight w:val="none"/>
        </w:rPr>
      </w:pPr>
      <w:bookmarkStart w:id="37" w:name="_Toc28359084"/>
      <w:bookmarkStart w:id="38" w:name="_Toc35393625"/>
      <w:bookmarkStart w:id="39" w:name="_Toc35393794"/>
      <w:bookmarkStart w:id="40" w:name="_Toc54335352"/>
      <w:bookmarkStart w:id="41" w:name="_Toc28359007"/>
      <w:bookmarkStart w:id="42" w:name="_Toc95484125"/>
      <w:bookmarkStart w:id="43" w:name="_Toc30090_WPSOffice_Level1"/>
      <w:r>
        <w:rPr>
          <w:rFonts w:hint="eastAsia" w:ascii="宋体" w:hAnsi="宋体" w:eastAsia="宋体" w:cs="宋体"/>
          <w:b/>
          <w:color w:val="auto"/>
          <w:highlight w:val="none"/>
        </w:rPr>
        <w:t>五、公告期限</w:t>
      </w:r>
      <w:bookmarkEnd w:id="37"/>
      <w:bookmarkEnd w:id="38"/>
      <w:bookmarkEnd w:id="39"/>
      <w:bookmarkEnd w:id="40"/>
      <w:bookmarkEnd w:id="41"/>
      <w:bookmarkEnd w:id="42"/>
      <w:bookmarkEnd w:id="43"/>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rPr>
          <w:rFonts w:hint="eastAsia" w:ascii="宋体" w:hAnsi="宋体" w:eastAsia="宋体" w:cs="宋体"/>
          <w:b/>
          <w:color w:val="auto"/>
          <w:highlight w:val="none"/>
        </w:rPr>
      </w:pPr>
      <w:bookmarkStart w:id="44" w:name="_Toc29804_WPSOffice_Level1"/>
      <w:bookmarkStart w:id="45" w:name="_Toc54335353"/>
      <w:bookmarkStart w:id="46" w:name="_Toc95484126"/>
      <w:bookmarkStart w:id="47" w:name="_Toc35393626"/>
      <w:bookmarkStart w:id="48" w:name="_Toc35393795"/>
      <w:bookmarkStart w:id="49" w:name="_Toc29851_WPSOffice_Level1"/>
      <w:bookmarkStart w:id="50" w:name="_Toc35393796"/>
      <w:bookmarkStart w:id="51" w:name="_Toc28359085"/>
      <w:bookmarkStart w:id="52" w:name="_Toc35393627"/>
      <w:bookmarkStart w:id="53" w:name="_Toc54335354"/>
      <w:bookmarkStart w:id="54" w:name="_Toc95484127"/>
      <w:bookmarkStart w:id="55" w:name="_Toc28359008"/>
      <w:r>
        <w:rPr>
          <w:rFonts w:hint="eastAsia" w:ascii="宋体" w:hAnsi="宋体" w:eastAsia="宋体" w:cs="宋体"/>
          <w:b/>
          <w:color w:val="auto"/>
          <w:highlight w:val="none"/>
        </w:rPr>
        <w:t>六、其他补充事宜</w:t>
      </w:r>
      <w:bookmarkEnd w:id="44"/>
      <w:bookmarkEnd w:id="45"/>
      <w:bookmarkEnd w:id="46"/>
      <w:bookmarkEnd w:id="47"/>
      <w:bookmarkEnd w:id="48"/>
    </w:p>
    <w:p>
      <w:pPr>
        <w:spacing w:line="360" w:lineRule="auto"/>
        <w:ind w:firstLine="539"/>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获取招标文件的方式：</w:t>
      </w:r>
      <w:r>
        <w:rPr>
          <w:rFonts w:hint="eastAsia" w:ascii="宋体" w:hAnsi="宋体" w:eastAsia="宋体" w:cs="宋体"/>
          <w:b/>
          <w:color w:val="auto"/>
          <w:szCs w:val="21"/>
          <w:highlight w:val="none"/>
        </w:rPr>
        <w:t>代理机构处线上免费获取</w:t>
      </w:r>
      <w:r>
        <w:rPr>
          <w:rFonts w:hint="eastAsia" w:ascii="宋体" w:hAnsi="宋体" w:eastAsia="宋体" w:cs="宋体"/>
          <w:color w:val="auto"/>
          <w:szCs w:val="21"/>
          <w:highlight w:val="none"/>
        </w:rPr>
        <w:t>。</w:t>
      </w:r>
    </w:p>
    <w:p>
      <w:pPr>
        <w:spacing w:line="360" w:lineRule="auto"/>
        <w:ind w:firstLine="53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获取方式：潜在投标人登陆广咨电子招投标交易平台网站（http://www.gzebid.cn）进行注册，注册通过后可以进行网上登记、获取招标文件。</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投标人参与本项目过程中，如遇各类问题，可按以下途径解决：</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广咨平台操作相关问题</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请查阅《广咨电子招投标交易平台供应商操作手册》等手册，获取路径：平台网站右上角→平台服务→左侧栏“操作手册”。</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广咨平台账号问题、技术故障等</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微信客服：扫描网站右下角浮窗“微信客服”，即可与平台客服实时对话，同时提供人工服务。人工客服在线时间：每日8:30～12:00，14:00～17:30（节假日除外）；非工作时间可留言，人工客服人员会在上班后尽快处理。</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智能客服：“广咨小智”24小时在线，可直接发起在线对话咨询。</w:t>
      </w:r>
    </w:p>
    <w:p>
      <w:pPr>
        <w:spacing w:line="360" w:lineRule="auto"/>
        <w:ind w:firstLine="53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服务热线：拨打400-9030-870，每日8:30～12:00，14:00～17:30（节假日除外）。</w:t>
      </w:r>
    </w:p>
    <w:p>
      <w:pPr>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落实的政府采购政策：《政府采购促进中小企业发展管理办法》(财库〔2020〕46 号)、《关于政府采购支持监狱企业发展有关问题的通知》(财库〔2014〕68 号)、《关于促进残疾人就业政府采购政策的通知》(财库〔2017〕141 号)、《关于落实运用政府采购政策支持乡村产业振兴的通知》(财库〔2021〕19 号)等。</w:t>
      </w:r>
    </w:p>
    <w:p>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七、对本次招标提出询问，请按以下方式联系。</w:t>
      </w:r>
      <w:bookmarkEnd w:id="49"/>
      <w:bookmarkEnd w:id="50"/>
      <w:bookmarkEnd w:id="51"/>
      <w:bookmarkEnd w:id="52"/>
      <w:bookmarkEnd w:id="53"/>
      <w:bookmarkEnd w:id="54"/>
      <w:bookmarkEnd w:id="55"/>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firstLine="630" w:firstLineChars="3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kern w:val="0"/>
          <w:szCs w:val="21"/>
          <w:highlight w:val="none"/>
          <w:lang w:eastAsia="zh-CN"/>
        </w:rPr>
        <w:t>国家税务总局乐昌市税务局</w:t>
      </w:r>
    </w:p>
    <w:p>
      <w:pPr>
        <w:spacing w:line="360" w:lineRule="auto"/>
        <w:ind w:firstLine="630" w:firstLineChars="3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广东省</w:t>
      </w:r>
      <w:r>
        <w:rPr>
          <w:rFonts w:hint="eastAsia" w:ascii="宋体" w:hAnsi="宋体" w:eastAsia="宋体" w:cs="宋体"/>
          <w:color w:val="auto"/>
          <w:szCs w:val="21"/>
          <w:highlight w:val="none"/>
          <w:lang w:eastAsia="zh-CN"/>
        </w:rPr>
        <w:t>韶关市乐昌市人民南路25号</w:t>
      </w:r>
    </w:p>
    <w:p>
      <w:pPr>
        <w:spacing w:line="360" w:lineRule="auto"/>
        <w:ind w:firstLine="630" w:firstLineChars="3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bookmarkStart w:id="56" w:name="_Toc28359009"/>
      <w:bookmarkStart w:id="57" w:name="_Toc28359086"/>
      <w:r>
        <w:rPr>
          <w:rFonts w:hint="eastAsia" w:ascii="宋体" w:hAnsi="宋体" w:eastAsia="宋体" w:cs="宋体"/>
          <w:color w:val="auto"/>
          <w:szCs w:val="21"/>
          <w:highlight w:val="none"/>
          <w:lang w:val="en-US" w:eastAsia="zh-CN"/>
        </w:rPr>
        <w:t>陈女士、虞先生  0751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5554755、5554733</w:t>
      </w:r>
    </w:p>
    <w:bookmarkEnd w:id="56"/>
    <w:bookmarkEnd w:id="57"/>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名称：广东省机电设备招标有限公司</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广东省</w:t>
      </w:r>
      <w:r>
        <w:rPr>
          <w:rFonts w:hint="eastAsia" w:ascii="宋体" w:hAnsi="宋体" w:eastAsia="宋体" w:cs="宋体"/>
          <w:color w:val="auto"/>
          <w:szCs w:val="21"/>
          <w:highlight w:val="none"/>
        </w:rPr>
        <w:t>广州市环市中路316号金鹰大厦</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楼</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06室</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吴先生、林先生</w:t>
      </w:r>
      <w:r>
        <w:rPr>
          <w:rFonts w:hint="eastAsia" w:ascii="宋体" w:hAnsi="宋体" w:eastAsia="宋体" w:cs="宋体"/>
          <w:color w:val="auto"/>
          <w:szCs w:val="21"/>
          <w:highlight w:val="none"/>
        </w:rPr>
        <w:t xml:space="preserve">  020-83540305</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吴先生、林先生</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电话：020-83540305</w:t>
      </w:r>
    </w:p>
    <w:p>
      <w:pPr>
        <w:wordWrap w:val="0"/>
        <w:spacing w:line="360" w:lineRule="auto"/>
        <w:ind w:firstLine="630" w:firstLineChars="300"/>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发布人：广东省机电设备招标有限公司</w:t>
      </w:r>
    </w:p>
    <w:p>
      <w:pPr>
        <w:widowControl/>
        <w:wordWrap w:val="0"/>
        <w:spacing w:line="360" w:lineRule="auto"/>
        <w:ind w:firstLine="630" w:firstLineChars="300"/>
        <w:jc w:val="right"/>
        <w:rPr>
          <w:rStyle w:val="39"/>
          <w:rFonts w:hint="eastAsia" w:ascii="等线" w:hAnsi="等线" w:eastAsia="等线"/>
          <w:color w:val="auto"/>
          <w:highlight w:val="none"/>
          <w:u w:val="none"/>
        </w:rPr>
      </w:pPr>
      <w:r>
        <w:rPr>
          <w:rFonts w:hint="eastAsia" w:ascii="宋体" w:hAnsi="宋体" w:eastAsia="宋体" w:cs="宋体"/>
          <w:color w:val="auto"/>
          <w:highlight w:val="none"/>
          <w:u w:val="none"/>
        </w:rPr>
        <w:t>发布日期：</w:t>
      </w:r>
      <w:r>
        <w:rPr>
          <w:rFonts w:hint="eastAsia" w:ascii="宋体" w:hAnsi="宋体" w:eastAsia="宋体" w:cs="宋体"/>
          <w:color w:val="auto"/>
          <w:szCs w:val="21"/>
          <w:highlight w:val="none"/>
          <w:u w:val="none"/>
        </w:rPr>
        <w:t>2025年</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日</w:t>
      </w:r>
      <w:r>
        <w:rPr>
          <w:rStyle w:val="39"/>
          <w:rFonts w:hint="eastAsia" w:ascii="等线" w:hAnsi="等线" w:eastAsia="等线"/>
          <w:color w:val="auto"/>
          <w:highlight w:val="none"/>
          <w:u w:val="none"/>
        </w:rPr>
        <w:br w:type="page"/>
      </w:r>
    </w:p>
    <w:p>
      <w:pPr>
        <w:pStyle w:val="4"/>
        <w:rPr>
          <w:rFonts w:hint="eastAsia" w:ascii="宋体" w:hAnsi="宋体" w:eastAsia="宋体" w:cs="宋体"/>
          <w:color w:val="auto"/>
          <w:highlight w:val="none"/>
        </w:rPr>
      </w:pPr>
      <w:bookmarkStart w:id="58" w:name="_Toc26518_WPSOffice_Level1"/>
      <w:bookmarkStart w:id="59" w:name="_Toc26286"/>
      <w:bookmarkStart w:id="60" w:name="_Toc96523877"/>
      <w:r>
        <w:rPr>
          <w:rFonts w:hint="eastAsia" w:ascii="宋体" w:hAnsi="宋体" w:eastAsia="宋体" w:cs="宋体"/>
          <w:color w:val="auto"/>
          <w:highlight w:val="none"/>
        </w:rPr>
        <w:t>第一部分 投标人须知</w:t>
      </w:r>
      <w:bookmarkEnd w:id="58"/>
      <w:bookmarkEnd w:id="59"/>
      <w:bookmarkEnd w:id="60"/>
    </w:p>
    <w:p>
      <w:pPr>
        <w:pStyle w:val="5"/>
        <w:rPr>
          <w:rFonts w:hint="eastAsia" w:ascii="宋体" w:hAnsi="宋体" w:eastAsia="宋体" w:cs="宋体"/>
          <w:color w:val="auto"/>
          <w:highlight w:val="none"/>
        </w:rPr>
      </w:pPr>
      <w:bookmarkStart w:id="61" w:name="_Toc18613_WPSOffice_Level2"/>
      <w:bookmarkStart w:id="62" w:name="_Toc96523878"/>
      <w:r>
        <w:rPr>
          <w:rFonts w:hint="eastAsia" w:ascii="宋体" w:hAnsi="宋体" w:eastAsia="宋体" w:cs="宋体"/>
          <w:color w:val="auto"/>
          <w:highlight w:val="none"/>
        </w:rPr>
        <w:t>一 投标人须知表</w:t>
      </w:r>
      <w:bookmarkEnd w:id="61"/>
      <w:bookmarkEnd w:id="62"/>
    </w:p>
    <w:tbl>
      <w:tblPr>
        <w:tblStyle w:val="33"/>
        <w:tblW w:w="8656" w:type="dxa"/>
        <w:tblInd w:w="0" w:type="dxa"/>
        <w:tblLayout w:type="fixed"/>
        <w:tblCellMar>
          <w:top w:w="0" w:type="dxa"/>
          <w:left w:w="108" w:type="dxa"/>
          <w:bottom w:w="0" w:type="dxa"/>
          <w:right w:w="108" w:type="dxa"/>
        </w:tblCellMar>
      </w:tblPr>
      <w:tblGrid>
        <w:gridCol w:w="852"/>
        <w:gridCol w:w="1917"/>
        <w:gridCol w:w="5887"/>
      </w:tblGrid>
      <w:tr>
        <w:tblPrEx>
          <w:tblCellMar>
            <w:top w:w="0" w:type="dxa"/>
            <w:left w:w="108" w:type="dxa"/>
            <w:bottom w:w="0" w:type="dxa"/>
            <w:right w:w="108" w:type="dxa"/>
          </w:tblCellMar>
        </w:tblPrEx>
        <w:trPr>
          <w:trHeight w:val="32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bookmarkStart w:id="63" w:name="招标项目基本内容及要求：Block"/>
            <w:bookmarkEnd w:id="63"/>
            <w:bookmarkStart w:id="64" w:name="sys_招标项目基本内容及要求：Block"/>
            <w:bookmarkEnd w:id="64"/>
            <w:bookmarkStart w:id="65" w:name="sys_招标项目基本内容及要求其他：Block"/>
            <w:bookmarkEnd w:id="65"/>
            <w:bookmarkStart w:id="66" w:name="招标项目基本内容及要求其他：Block"/>
            <w:bookmarkEnd w:id="66"/>
            <w:r>
              <w:rPr>
                <w:rFonts w:hint="eastAsia" w:ascii="宋体" w:hAnsi="宋体" w:eastAsia="宋体" w:cs="宋体"/>
                <w:color w:val="auto"/>
                <w:kern w:val="0"/>
                <w:szCs w:val="21"/>
                <w:highlight w:val="none"/>
              </w:rPr>
              <w:t>条款号</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   目</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     容</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w:t>
            </w:r>
          </w:p>
        </w:tc>
        <w:tc>
          <w:tcPr>
            <w:tcW w:w="588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kern w:val="0"/>
                <w:szCs w:val="21"/>
                <w:highlight w:val="none"/>
                <w:lang w:eastAsia="zh-CN"/>
              </w:rPr>
              <w:t>国家税务总局乐昌市税务局</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广东省</w:t>
            </w:r>
            <w:r>
              <w:rPr>
                <w:rFonts w:hint="eastAsia" w:ascii="宋体" w:hAnsi="宋体" w:eastAsia="宋体" w:cs="宋体"/>
                <w:color w:val="auto"/>
                <w:szCs w:val="21"/>
                <w:highlight w:val="none"/>
                <w:lang w:eastAsia="zh-CN"/>
              </w:rPr>
              <w:t>韶关市乐昌市人民南路25号</w:t>
            </w:r>
          </w:p>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联系人：陈女士、虞先生</w:t>
            </w:r>
          </w:p>
          <w:p>
            <w:pPr>
              <w:spacing w:line="360" w:lineRule="auto"/>
              <w:jc w:val="left"/>
              <w:rPr>
                <w:rFonts w:hint="default" w:ascii="宋体" w:hAnsi="宋体" w:eastAsia="仿宋" w:cs="宋体"/>
                <w:color w:val="auto"/>
                <w:kern w:val="0"/>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highlight w:val="none"/>
                <w:lang w:val="en-US" w:eastAsia="zh-CN"/>
              </w:rPr>
              <w:t>0751-5554755、5554733</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w:t>
            </w:r>
          </w:p>
        </w:tc>
        <w:tc>
          <w:tcPr>
            <w:tcW w:w="58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名称：广东省机电设备招标有限公司</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广东省</w:t>
            </w:r>
            <w:r>
              <w:rPr>
                <w:rFonts w:hint="eastAsia" w:ascii="宋体" w:hAnsi="宋体" w:eastAsia="宋体" w:cs="宋体"/>
                <w:color w:val="auto"/>
                <w:szCs w:val="21"/>
                <w:highlight w:val="none"/>
              </w:rPr>
              <w:t>广州市环市中路316号金鹰大厦</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楼</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06室</w:t>
            </w:r>
          </w:p>
          <w:p>
            <w:pPr>
              <w:widowControl/>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吴先生、林先生</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话：020-83540305</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邮  箱：gzebid4@163.com</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是否为面向中小企业采购</w:t>
            </w:r>
          </w:p>
        </w:tc>
        <w:tc>
          <w:tcPr>
            <w:tcW w:w="5887"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kern w:val="0"/>
                <w:szCs w:val="21"/>
                <w:highlight w:val="none"/>
              </w:rPr>
              <w:t>是，全部专门面向</w:t>
            </w:r>
            <w:r>
              <w:rPr>
                <w:rFonts w:hint="eastAsia" w:ascii="宋体" w:hAnsi="宋体" w:eastAsia="宋体" w:cs="宋体"/>
                <w:color w:val="auto"/>
                <w:kern w:val="0"/>
                <w:szCs w:val="21"/>
                <w:highlight w:val="none"/>
                <w:lang w:val="en-US" w:eastAsia="zh-CN"/>
              </w:rPr>
              <w:t>小微企业</w:t>
            </w:r>
          </w:p>
          <w:p>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是，部分专门面向</w:t>
            </w:r>
          </w:p>
          <w:p>
            <w:pPr>
              <w:pStyle w:val="12"/>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实现方式：</w:t>
            </w:r>
            <w:r>
              <w:rPr>
                <w:rFonts w:hint="eastAsia" w:ascii="宋体" w:hAnsi="宋体" w:eastAsia="宋体" w:cs="宋体"/>
                <w:color w:val="auto"/>
                <w:szCs w:val="21"/>
                <w:highlight w:val="none"/>
                <w:lang w:eastAsia="zh-CN"/>
              </w:rPr>
              <w:t>□</w:t>
            </w:r>
            <w:r>
              <w:rPr>
                <w:rFonts w:ascii="宋体" w:hAnsi="宋体" w:eastAsia="宋体" w:cs="宋体"/>
                <w:color w:val="auto"/>
                <w:kern w:val="0"/>
                <w:szCs w:val="21"/>
                <w:highlight w:val="none"/>
              </w:rPr>
              <w:t>分包</w:t>
            </w:r>
          </w:p>
          <w:p>
            <w:pPr>
              <w:pStyle w:val="12"/>
              <w:ind w:firstLine="1470" w:firstLineChars="700"/>
              <w:rPr>
                <w:rFonts w:ascii="宋体" w:hAnsi="宋体" w:eastAsia="宋体" w:cs="宋体"/>
                <w:color w:val="auto"/>
                <w:kern w:val="0"/>
                <w:szCs w:val="21"/>
                <w:highlight w:val="none"/>
              </w:rPr>
            </w:pPr>
          </w:p>
          <w:p>
            <w:pPr>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组成联合体</w:t>
            </w:r>
          </w:p>
          <w:p>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否，不面向</w:t>
            </w:r>
          </w:p>
        </w:tc>
      </w:tr>
      <w:tr>
        <w:tblPrEx>
          <w:tblCellMar>
            <w:top w:w="0" w:type="dxa"/>
            <w:left w:w="108" w:type="dxa"/>
            <w:bottom w:w="0" w:type="dxa"/>
            <w:right w:w="108" w:type="dxa"/>
          </w:tblCellMar>
        </w:tblPrEx>
        <w:trPr>
          <w:trHeight w:val="84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是否有政府强制采购的节能产品</w:t>
            </w:r>
          </w:p>
        </w:tc>
        <w:tc>
          <w:tcPr>
            <w:tcW w:w="5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是，具体产品为</w:t>
            </w:r>
          </w:p>
          <w:p>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否</w:t>
            </w:r>
          </w:p>
        </w:tc>
      </w:tr>
      <w:tr>
        <w:tblPrEx>
          <w:tblCellMar>
            <w:top w:w="0" w:type="dxa"/>
            <w:left w:w="108" w:type="dxa"/>
            <w:bottom w:w="0" w:type="dxa"/>
            <w:right w:w="108" w:type="dxa"/>
          </w:tblCellMar>
        </w:tblPrEx>
        <w:trPr>
          <w:trHeight w:val="32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是否允许联合体投标</w:t>
            </w:r>
          </w:p>
        </w:tc>
        <w:tc>
          <w:tcPr>
            <w:tcW w:w="5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是，联合体的相关要求详见本项目投标邀请“二、申请人的资格要求”中对联合体的要求。</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项目预算金额</w:t>
            </w:r>
          </w:p>
        </w:tc>
        <w:tc>
          <w:tcPr>
            <w:tcW w:w="5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预算金额：</w:t>
            </w:r>
            <w:r>
              <w:rPr>
                <w:rFonts w:hint="eastAsia" w:ascii="宋体" w:hAnsi="宋体" w:eastAsia="宋体" w:cs="宋体"/>
                <w:bCs/>
                <w:color w:val="auto"/>
                <w:kern w:val="0"/>
                <w:szCs w:val="21"/>
                <w:highlight w:val="none"/>
                <w:lang w:val="en-US" w:eastAsia="zh-CN"/>
              </w:rPr>
              <w:t>260</w:t>
            </w:r>
            <w:r>
              <w:rPr>
                <w:rFonts w:hint="eastAsia" w:ascii="宋体" w:hAnsi="宋体" w:eastAsia="宋体" w:cs="宋体"/>
                <w:bCs/>
                <w:color w:val="auto"/>
                <w:kern w:val="0"/>
                <w:szCs w:val="21"/>
                <w:highlight w:val="none"/>
              </w:rPr>
              <w:t>万元</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计量单位</w:t>
            </w:r>
          </w:p>
        </w:tc>
        <w:tc>
          <w:tcPr>
            <w:tcW w:w="5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中华人民共和国法定计量单位</w:t>
            </w:r>
          </w:p>
          <w:p>
            <w:pP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其他：</w:t>
            </w:r>
          </w:p>
        </w:tc>
      </w:tr>
      <w:tr>
        <w:tblPrEx>
          <w:tblCellMar>
            <w:top w:w="0" w:type="dxa"/>
            <w:left w:w="108" w:type="dxa"/>
            <w:bottom w:w="0" w:type="dxa"/>
            <w:right w:w="108" w:type="dxa"/>
          </w:tblCellMar>
        </w:tblPrEx>
        <w:trPr>
          <w:trHeight w:val="1873"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现场考察</w:t>
            </w:r>
          </w:p>
        </w:tc>
        <w:tc>
          <w:tcPr>
            <w:tcW w:w="5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不组织</w:t>
            </w:r>
          </w:p>
          <w:p>
            <w:pPr>
              <w:ind w:left="1680" w:hanging="1680" w:hangingChars="8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组织，时  间：</w:t>
            </w:r>
          </w:p>
          <w:p>
            <w:pPr>
              <w:widowControl/>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点：</w:t>
            </w:r>
          </w:p>
          <w:p>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p>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p>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组织，招标文件提供期限截止后以书面形式通知。</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投标报价货币要求</w:t>
            </w:r>
          </w:p>
        </w:tc>
        <w:tc>
          <w:tcPr>
            <w:tcW w:w="5887"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所有投标均按</w:t>
            </w:r>
            <w:r>
              <w:rPr>
                <w:rFonts w:hint="eastAsia" w:ascii="宋体" w:hAnsi="宋体" w:eastAsia="宋体" w:cs="宋体"/>
                <w:color w:val="auto"/>
                <w:kern w:val="0"/>
                <w:szCs w:val="21"/>
                <w:highlight w:val="none"/>
                <w:u w:val="single"/>
              </w:rPr>
              <w:t>人民币</w:t>
            </w:r>
            <w:r>
              <w:rPr>
                <w:rFonts w:hint="eastAsia" w:ascii="宋体" w:hAnsi="宋体" w:eastAsia="宋体" w:cs="宋体"/>
                <w:color w:val="auto"/>
                <w:kern w:val="0"/>
                <w:szCs w:val="21"/>
                <w:highlight w:val="none"/>
              </w:rPr>
              <w:t>进行报价。</w:t>
            </w:r>
          </w:p>
          <w:p>
            <w:pPr>
              <w:ind w:firstLine="210" w:firstLineChars="1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其它：</w:t>
            </w:r>
          </w:p>
        </w:tc>
      </w:tr>
      <w:tr>
        <w:tblPrEx>
          <w:tblCellMar>
            <w:top w:w="0" w:type="dxa"/>
            <w:left w:w="108" w:type="dxa"/>
            <w:bottom w:w="0" w:type="dxa"/>
            <w:right w:w="108" w:type="dxa"/>
          </w:tblCellMar>
        </w:tblPrEx>
        <w:trPr>
          <w:trHeight w:val="557"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917" w:type="dxa"/>
            <w:tcBorders>
              <w:top w:val="single" w:color="auto" w:sz="4" w:space="0"/>
              <w:left w:val="single" w:color="auto" w:sz="4" w:space="0"/>
              <w:bottom w:val="single" w:color="auto" w:sz="8" w:space="0"/>
              <w:right w:val="single" w:color="auto" w:sz="8"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887" w:type="dxa"/>
            <w:tcBorders>
              <w:top w:val="single" w:color="auto" w:sz="4" w:space="0"/>
              <w:left w:val="nil"/>
              <w:bottom w:val="single" w:color="auto" w:sz="8" w:space="0"/>
              <w:right w:val="single" w:color="auto" w:sz="8" w:space="0"/>
            </w:tcBorders>
            <w:vAlign w:val="center"/>
          </w:tcPr>
          <w:p>
            <w:pPr>
              <w:autoSpaceDE w:val="0"/>
              <w:autoSpaceDN w:val="0"/>
              <w:spacing w:line="312" w:lineRule="auto"/>
              <w:ind w:left="210" w:hanging="210" w:hangingChars="100"/>
              <w:rPr>
                <w:color w:val="auto"/>
                <w:szCs w:val="21"/>
                <w:highlight w:val="none"/>
              </w:rPr>
            </w:pPr>
            <w:r>
              <w:rPr>
                <w:rFonts w:hint="eastAsia" w:ascii="宋体" w:hAnsi="宋体" w:eastAsia="宋体" w:cs="宋体"/>
                <w:color w:val="auto"/>
                <w:szCs w:val="21"/>
                <w:highlight w:val="none"/>
              </w:rPr>
              <w:t>☑不收取。所有有关投标保证金的条款内容不适用。</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p>
        </w:tc>
        <w:tc>
          <w:tcPr>
            <w:tcW w:w="1917" w:type="dxa"/>
            <w:tcBorders>
              <w:top w:val="single" w:color="auto" w:sz="4" w:space="0"/>
              <w:left w:val="single" w:color="auto" w:sz="4" w:space="0"/>
              <w:bottom w:val="single" w:color="auto" w:sz="8" w:space="0"/>
              <w:right w:val="single" w:color="auto" w:sz="8"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887" w:type="dxa"/>
            <w:tcBorders>
              <w:top w:val="single" w:color="auto" w:sz="4" w:space="0"/>
              <w:left w:val="nil"/>
              <w:bottom w:val="single" w:color="auto" w:sz="8" w:space="0"/>
              <w:right w:val="single" w:color="auto" w:sz="8" w:space="0"/>
            </w:tcBorders>
            <w:vAlign w:val="center"/>
          </w:tcPr>
          <w:p>
            <w:pPr>
              <w:pStyle w:val="12"/>
              <w:rPr>
                <w:rFonts w:ascii="宋体" w:hAnsi="宋体" w:eastAsia="宋体" w:cs="宋体"/>
                <w:color w:val="auto"/>
                <w:kern w:val="0"/>
                <w:szCs w:val="21"/>
                <w:highlight w:val="none"/>
              </w:rPr>
            </w:pPr>
            <w:r>
              <w:rPr>
                <w:rFonts w:ascii="宋体" w:hAnsi="宋体" w:eastAsia="宋体" w:cs="宋体"/>
                <w:color w:val="auto"/>
                <w:szCs w:val="21"/>
                <w:highlight w:val="none"/>
              </w:rPr>
              <w:t>从提交投标文件的截止之日起</w:t>
            </w:r>
            <w:r>
              <w:rPr>
                <w:rFonts w:ascii="宋体" w:hAnsi="宋体" w:eastAsia="宋体" w:cs="宋体"/>
                <w:color w:val="auto"/>
                <w:kern w:val="0"/>
                <w:szCs w:val="21"/>
                <w:highlight w:val="none"/>
                <w:u w:val="single"/>
              </w:rPr>
              <w:t>90</w:t>
            </w:r>
            <w:r>
              <w:rPr>
                <w:rFonts w:ascii="宋体" w:hAnsi="宋体" w:eastAsia="宋体" w:cs="宋体"/>
                <w:color w:val="auto"/>
                <w:szCs w:val="21"/>
                <w:highlight w:val="none"/>
              </w:rPr>
              <w:t>日历天。</w:t>
            </w:r>
          </w:p>
        </w:tc>
      </w:tr>
      <w:tr>
        <w:tblPrEx>
          <w:tblCellMar>
            <w:top w:w="0" w:type="dxa"/>
            <w:left w:w="108" w:type="dxa"/>
            <w:bottom w:w="0" w:type="dxa"/>
            <w:right w:w="108" w:type="dxa"/>
          </w:tblCellMar>
        </w:tblPrEx>
        <w:trPr>
          <w:trHeight w:val="64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投标文件及电子文档份数</w:t>
            </w:r>
          </w:p>
        </w:tc>
        <w:tc>
          <w:tcPr>
            <w:tcW w:w="5887" w:type="dxa"/>
            <w:tcBorders>
              <w:top w:val="nil"/>
              <w:left w:val="nil"/>
              <w:bottom w:val="single" w:color="auto" w:sz="4" w:space="0"/>
              <w:right w:val="single" w:color="auto" w:sz="8" w:space="0"/>
            </w:tcBorders>
            <w:vAlign w:val="center"/>
          </w:tcPr>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份，副本</w:t>
            </w:r>
            <w:r>
              <w:rPr>
                <w:rFonts w:hint="eastAsia" w:ascii="宋体" w:hAnsi="宋体" w:eastAsia="宋体" w:cs="宋体"/>
                <w:color w:val="auto"/>
                <w:szCs w:val="21"/>
                <w:highlight w:val="none"/>
                <w:u w:val="single"/>
                <w:lang w:val="en-US" w:eastAsia="zh-CN"/>
              </w:rPr>
              <w:t>六</w:t>
            </w:r>
            <w:r>
              <w:rPr>
                <w:rFonts w:hint="eastAsia" w:ascii="宋体" w:hAnsi="宋体" w:eastAsia="宋体" w:cs="宋体"/>
                <w:color w:val="auto"/>
                <w:szCs w:val="21"/>
                <w:highlight w:val="none"/>
              </w:rPr>
              <w:t>份，电子文档</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份</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U盘或光盘</w:t>
            </w:r>
            <w:r>
              <w:rPr>
                <w:rFonts w:hint="eastAsia" w:ascii="宋体" w:hAnsi="宋体" w:eastAsia="宋体" w:cs="宋体"/>
                <w:b/>
                <w:color w:val="auto"/>
                <w:szCs w:val="21"/>
                <w:highlight w:val="none"/>
              </w:rPr>
              <w:t>）</w:t>
            </w:r>
          </w:p>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投标文件正本与电子投标文件一起封装，封套盖章并标明项目编号、投标人名称及“正本”等字样。</w:t>
            </w:r>
          </w:p>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电子文档须同时提交以下文件：</w:t>
            </w:r>
          </w:p>
          <w:p>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可编辑的WORD 或 EXCEL 格式文件（资质文件及证书等可扫描以图片格式提交）</w:t>
            </w:r>
          </w:p>
          <w:p>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按招标文件要求签署、盖章后的正本投标文件扫描成PDF格式文件。</w:t>
            </w:r>
          </w:p>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电子文档须一同拷贝至无病毒无密码的U盘或光盘，其中所有文件不做压缩处理。</w:t>
            </w:r>
          </w:p>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TW"/>
              </w:rPr>
              <w:t>若</w:t>
            </w:r>
            <w:r>
              <w:rPr>
                <w:rFonts w:hint="eastAsia" w:ascii="宋体" w:hAnsi="宋体" w:eastAsia="宋体" w:cs="宋体"/>
                <w:color w:val="auto"/>
                <w:szCs w:val="21"/>
                <w:highlight w:val="none"/>
              </w:rPr>
              <w:t>电子文档</w:t>
            </w:r>
            <w:r>
              <w:rPr>
                <w:rFonts w:hint="eastAsia" w:ascii="宋体" w:hAnsi="宋体" w:eastAsia="宋体" w:cs="宋体"/>
                <w:color w:val="auto"/>
                <w:szCs w:val="21"/>
                <w:highlight w:val="none"/>
                <w:lang w:eastAsia="zh-TW"/>
              </w:rPr>
              <w:t>与</w:t>
            </w:r>
            <w:r>
              <w:rPr>
                <w:rFonts w:hint="eastAsia" w:ascii="宋体" w:hAnsi="宋体" w:eastAsia="宋体" w:cs="宋体"/>
                <w:color w:val="auto"/>
                <w:szCs w:val="21"/>
                <w:highlight w:val="none"/>
              </w:rPr>
              <w:t>纸质投标文件</w:t>
            </w:r>
            <w:r>
              <w:rPr>
                <w:rFonts w:hint="eastAsia" w:ascii="宋体" w:hAnsi="宋体" w:eastAsia="宋体" w:cs="宋体"/>
                <w:color w:val="auto"/>
                <w:szCs w:val="21"/>
                <w:highlight w:val="none"/>
                <w:lang w:eastAsia="zh-TW"/>
              </w:rPr>
              <w:t>不符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TW"/>
              </w:rPr>
              <w:t>以</w:t>
            </w:r>
            <w:r>
              <w:rPr>
                <w:rFonts w:hint="eastAsia" w:ascii="宋体" w:hAnsi="宋体" w:eastAsia="宋体" w:cs="宋体"/>
                <w:color w:val="auto"/>
                <w:szCs w:val="21"/>
                <w:highlight w:val="none"/>
              </w:rPr>
              <w:t>纸质投标文件</w:t>
            </w:r>
            <w:r>
              <w:rPr>
                <w:rFonts w:hint="eastAsia" w:ascii="宋体" w:hAnsi="宋体" w:eastAsia="宋体" w:cs="宋体"/>
                <w:color w:val="auto"/>
                <w:szCs w:val="21"/>
                <w:highlight w:val="none"/>
                <w:lang w:eastAsia="zh-TW"/>
              </w:rPr>
              <w:t>为准</w:t>
            </w:r>
            <w:r>
              <w:rPr>
                <w:rFonts w:hint="eastAsia" w:ascii="宋体" w:hAnsi="宋体" w:eastAsia="宋体" w:cs="宋体"/>
                <w:color w:val="auto"/>
                <w:szCs w:val="21"/>
                <w:highlight w:val="none"/>
              </w:rPr>
              <w:t>。</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lang w:eastAsia="zh-TW"/>
              </w:rPr>
              <w:t>投标文件的副本</w:t>
            </w:r>
            <w:r>
              <w:rPr>
                <w:rFonts w:hint="eastAsia" w:ascii="宋体" w:hAnsi="宋体" w:eastAsia="宋体" w:cs="宋体"/>
                <w:color w:val="auto"/>
                <w:szCs w:val="21"/>
                <w:highlight w:val="none"/>
              </w:rPr>
              <w:t>可采用</w:t>
            </w:r>
            <w:r>
              <w:rPr>
                <w:rFonts w:hint="eastAsia" w:ascii="宋体" w:hAnsi="宋体" w:eastAsia="宋体" w:cs="宋体"/>
                <w:color w:val="auto"/>
                <w:szCs w:val="21"/>
                <w:highlight w:val="none"/>
                <w:lang w:eastAsia="zh-TW"/>
              </w:rPr>
              <w:t>正本的复印件。</w:t>
            </w:r>
            <w:r>
              <w:rPr>
                <w:rFonts w:hint="eastAsia" w:ascii="宋体" w:hAnsi="宋体" w:eastAsia="宋体" w:cs="宋体"/>
                <w:color w:val="auto"/>
                <w:szCs w:val="21"/>
                <w:highlight w:val="none"/>
              </w:rPr>
              <w:t>投标文件</w:t>
            </w:r>
            <w:r>
              <w:rPr>
                <w:rFonts w:hint="eastAsia" w:ascii="宋体" w:hAnsi="宋体" w:eastAsia="宋体" w:cs="宋体"/>
                <w:b/>
                <w:color w:val="auto"/>
                <w:szCs w:val="21"/>
                <w:highlight w:val="none"/>
              </w:rPr>
              <w:t>副本</w:t>
            </w:r>
            <w:r>
              <w:rPr>
                <w:rFonts w:hint="eastAsia" w:ascii="宋体" w:hAnsi="宋体" w:eastAsia="宋体" w:cs="宋体"/>
                <w:color w:val="auto"/>
                <w:szCs w:val="21"/>
                <w:highlight w:val="none"/>
              </w:rPr>
              <w:t>一起封装，封套盖章并标明项目编号、投标人名称及“副本”等字样。若副本与正本不符，以正本为准。</w:t>
            </w:r>
          </w:p>
        </w:tc>
      </w:tr>
      <w:tr>
        <w:tblPrEx>
          <w:tblCellMar>
            <w:top w:w="0" w:type="dxa"/>
            <w:left w:w="108" w:type="dxa"/>
            <w:bottom w:w="0" w:type="dxa"/>
            <w:right w:w="108" w:type="dxa"/>
          </w:tblCellMar>
        </w:tblPrEx>
        <w:trPr>
          <w:trHeight w:val="63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递交投标文件截止时间、地点</w:t>
            </w:r>
          </w:p>
        </w:tc>
        <w:tc>
          <w:tcPr>
            <w:tcW w:w="5887" w:type="dxa"/>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详见招标公告，以招标公告规定时间、地点为准。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w:t>
            </w:r>
          </w:p>
        </w:tc>
        <w:tc>
          <w:tcPr>
            <w:tcW w:w="5887" w:type="dxa"/>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详见招标公告，以招标公告规定时间、地点为准。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评标委员会组成</w:t>
            </w:r>
          </w:p>
        </w:tc>
        <w:tc>
          <w:tcPr>
            <w:tcW w:w="5887" w:type="dxa"/>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根据《中华人民共和国政府采购法》等法律法规规定，由采购人代表和评审专家组成</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成员人数</w:t>
            </w:r>
            <w:r>
              <w:rPr>
                <w:rFonts w:hint="eastAsia" w:ascii="宋体" w:hAnsi="宋体" w:eastAsia="宋体" w:cs="宋体"/>
                <w:color w:val="auto"/>
                <w:szCs w:val="21"/>
                <w:highlight w:val="none"/>
                <w:u w:val="single"/>
                <w:lang w:val="en-US" w:eastAsia="zh-CN"/>
              </w:rPr>
              <w:t>7</w:t>
            </w:r>
            <w:r>
              <w:rPr>
                <w:rFonts w:hint="eastAsia" w:ascii="宋体" w:hAnsi="宋体" w:eastAsia="宋体" w:cs="宋体"/>
                <w:bCs/>
                <w:color w:val="auto"/>
                <w:szCs w:val="21"/>
                <w:highlight w:val="none"/>
              </w:rPr>
              <w:t>名。</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□最低评标价法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推荐中标候选人的数量</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评标委员会编写书面的评标报告，按综合得分（商务、服务和价格得分相加）高低次序排出名次，并推荐综合得分排名第一的投标人为第一中标候选人，排名第二的投标人为第二中标候选人，排名第三的投标人为第三中标候选人。</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确定中标人的方式</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中标人数量</w:t>
            </w:r>
            <w:r>
              <w:rPr>
                <w:rFonts w:hint="eastAsia" w:ascii="宋体" w:hAnsi="宋体" w:eastAsia="宋体" w:cs="宋体"/>
                <w:color w:val="auto"/>
                <w:szCs w:val="21"/>
                <w:highlight w:val="none"/>
                <w:u w:val="single"/>
              </w:rPr>
              <w:t>：1名</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采购人委托评标委员会直接确认中标人</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采购人确认中标人</w:t>
            </w:r>
          </w:p>
        </w:tc>
      </w:tr>
      <w:tr>
        <w:tblPrEx>
          <w:tblCellMar>
            <w:top w:w="0" w:type="dxa"/>
            <w:left w:w="108" w:type="dxa"/>
            <w:bottom w:w="0" w:type="dxa"/>
            <w:right w:w="108" w:type="dxa"/>
          </w:tblCellMar>
        </w:tblPrEx>
        <w:trPr>
          <w:trHeight w:val="2097"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35.1</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履约保证金</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Cs w:val="21"/>
                <w:highlight w:val="none"/>
              </w:rPr>
            </w:pPr>
            <w:bookmarkStart w:id="67" w:name="OLE_LINK1"/>
            <w:r>
              <w:rPr>
                <w:rFonts w:hint="eastAsia" w:ascii="宋体" w:hAnsi="宋体" w:eastAsia="宋体" w:cs="宋体"/>
                <w:color w:val="auto"/>
                <w:kern w:val="0"/>
                <w:szCs w:val="21"/>
                <w:highlight w:val="none"/>
              </w:rPr>
              <w:t>☑</w:t>
            </w:r>
            <w:bookmarkEnd w:id="67"/>
            <w:r>
              <w:rPr>
                <w:rFonts w:hint="eastAsia" w:ascii="宋体" w:hAnsi="宋体" w:eastAsia="宋体" w:cs="宋体"/>
                <w:color w:val="auto"/>
                <w:kern w:val="0"/>
                <w:szCs w:val="21"/>
                <w:highlight w:val="none"/>
              </w:rPr>
              <w:t>本项目不收取履约保证金</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□本项目收取履约保证金</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履约保证金金额： </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履约保证金递交时间： </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履约保证金递交方式：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保函   </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支票  </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电汇</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履约保证金退还时间及规定： </w:t>
            </w:r>
          </w:p>
        </w:tc>
      </w:tr>
      <w:tr>
        <w:tblPrEx>
          <w:tblCellMar>
            <w:top w:w="0" w:type="dxa"/>
            <w:left w:w="108" w:type="dxa"/>
            <w:bottom w:w="0" w:type="dxa"/>
            <w:right w:w="108" w:type="dxa"/>
          </w:tblCellMar>
        </w:tblPrEx>
        <w:trPr>
          <w:trHeight w:val="1252" w:hRule="atLeast"/>
        </w:trPr>
        <w:tc>
          <w:tcPr>
            <w:tcW w:w="852"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1917" w:type="dxa"/>
            <w:tcBorders>
              <w:top w:val="nil"/>
              <w:left w:val="single" w:color="auto" w:sz="4" w:space="0"/>
              <w:bottom w:val="single" w:color="auto" w:sz="8" w:space="0"/>
              <w:right w:val="single" w:color="auto" w:sz="8"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招标代理服务费</w:t>
            </w:r>
          </w:p>
        </w:tc>
        <w:tc>
          <w:tcPr>
            <w:tcW w:w="5887" w:type="dxa"/>
            <w:tcBorders>
              <w:top w:val="nil"/>
              <w:left w:val="nil"/>
              <w:bottom w:val="single" w:color="auto" w:sz="8" w:space="0"/>
              <w:right w:val="single" w:color="auto" w:sz="8" w:space="0"/>
            </w:tcBorders>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本项目收取采购代理服务费</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本次采购代理服务费向 </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 xml:space="preserve"> 收取；</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按照下述方式向采购代理机构按如下标准和规定缴纳采购代理服务费：</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差额定率累进法收费：以</w:t>
            </w:r>
            <w:r>
              <w:rPr>
                <w:rFonts w:hint="eastAsia" w:ascii="宋体" w:hAnsi="宋体" w:eastAsia="宋体" w:cs="宋体"/>
                <w:color w:val="auto"/>
                <w:kern w:val="0"/>
                <w:szCs w:val="21"/>
                <w:highlight w:val="none"/>
                <w:lang w:val="en-US" w:eastAsia="zh-CN"/>
              </w:rPr>
              <w:t>预算</w:t>
            </w:r>
            <w:r>
              <w:rPr>
                <w:rFonts w:hint="eastAsia" w:ascii="宋体" w:hAnsi="宋体" w:eastAsia="宋体" w:cs="宋体"/>
                <w:color w:val="auto"/>
                <w:kern w:val="0"/>
                <w:szCs w:val="21"/>
                <w:highlight w:val="none"/>
              </w:rPr>
              <w:t>金额作为采购代理服务费的计算基数。按下列计费标准下浮20%计算并缴纳。</w:t>
            </w:r>
          </w:p>
          <w:tbl>
            <w:tblPr>
              <w:tblStyle w:val="33"/>
              <w:tblW w:w="4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2438" w:type="dxa"/>
                </w:tcPr>
                <w:p>
                  <w:pPr>
                    <w:widowControl/>
                    <w:ind w:firstLine="1680" w:firstLineChars="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-2540</wp:posOffset>
                            </wp:positionV>
                            <wp:extent cx="1524000" cy="412750"/>
                            <wp:effectExtent l="1270" t="4445" r="17780" b="20955"/>
                            <wp:wrapNone/>
                            <wp:docPr id="9"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524000" cy="41275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4.2pt;margin-top:-0.2pt;height:32.5pt;width:120pt;z-index:251666432;mso-width-relative:page;mso-height-relative:page;" filled="f" stroked="t" coordsize="21600,21600" o:gfxdata="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wl021QAAAAcBAAAPAAAAAAAAAAEAIAAAACIAAABkcnMvZG93bnJldi54bWxQSwECFAAUAAAACACH&#10;TuJAAkQ6K+4BAAC9AwAADgAAAAAAAAABACAAAAAk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color w:val="auto"/>
                      <w:kern w:val="0"/>
                      <w:szCs w:val="21"/>
                      <w:highlight w:val="none"/>
                    </w:rPr>
                    <w:t>费率</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金额</w:t>
                  </w:r>
                </w:p>
              </w:tc>
              <w:tc>
                <w:tcPr>
                  <w:tcW w:w="1573" w:type="dxa"/>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100万元以下</w:t>
                  </w:r>
                </w:p>
              </w:tc>
              <w:tc>
                <w:tcPr>
                  <w:tcW w:w="1573" w:type="dxa"/>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100～500万元</w:t>
                  </w:r>
                </w:p>
              </w:tc>
              <w:tc>
                <w:tcPr>
                  <w:tcW w:w="1573" w:type="dxa"/>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0.8%</w:t>
                  </w:r>
                </w:p>
              </w:tc>
            </w:tr>
          </w:tbl>
          <w:p>
            <w:pPr>
              <w:widowControl/>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139"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39.3</w:t>
            </w:r>
          </w:p>
        </w:tc>
        <w:tc>
          <w:tcPr>
            <w:tcW w:w="1917" w:type="dxa"/>
            <w:tcBorders>
              <w:top w:val="single" w:color="auto" w:sz="4" w:space="0"/>
              <w:left w:val="single" w:color="auto" w:sz="4" w:space="0"/>
              <w:bottom w:val="single" w:color="auto" w:sz="8" w:space="0"/>
              <w:right w:val="single" w:color="auto" w:sz="8"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w:t>
            </w:r>
          </w:p>
        </w:tc>
        <w:tc>
          <w:tcPr>
            <w:tcW w:w="5887" w:type="dxa"/>
            <w:tcBorders>
              <w:top w:val="single" w:color="auto" w:sz="4" w:space="0"/>
              <w:left w:val="nil"/>
              <w:bottom w:val="single" w:color="auto" w:sz="8" w:space="0"/>
              <w:right w:val="single" w:color="auto" w:sz="8" w:space="0"/>
            </w:tcBorders>
            <w:vAlign w:val="center"/>
          </w:tcPr>
          <w:p>
            <w:pPr>
              <w:widowControl/>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一、投标人认为自己的权益受到损害的，可以在知道或者应知其权益受到损害之日起七个工作日内，向采购代理机构提出质疑。</w:t>
            </w:r>
          </w:p>
          <w:p>
            <w:pPr>
              <w:widowControl/>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1.接收质疑函的方式：接收加盖单位公章的书面质疑函</w:t>
            </w:r>
          </w:p>
          <w:p>
            <w:pPr>
              <w:widowControl/>
              <w:snapToGrid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联系单位：广东省机电设备招标有限公司 </w:t>
            </w:r>
          </w:p>
          <w:p>
            <w:pPr>
              <w:widowControl/>
              <w:snapToGrid w:val="0"/>
              <w:ind w:firstLine="21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联系电话：020-8354</w:t>
            </w:r>
            <w:r>
              <w:rPr>
                <w:rFonts w:hint="eastAsia" w:ascii="宋体" w:hAnsi="宋体" w:eastAsia="宋体" w:cs="宋体"/>
                <w:color w:val="auto"/>
                <w:szCs w:val="21"/>
                <w:highlight w:val="none"/>
                <w:lang w:val="en-US" w:eastAsia="zh-CN"/>
              </w:rPr>
              <w:t>3991</w:t>
            </w:r>
          </w:p>
          <w:p>
            <w:pPr>
              <w:widowControl/>
              <w:snapToGrid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通讯地址：广东省广州市环市中路316号金鹰大厦13楼1306室</w:t>
            </w:r>
          </w:p>
          <w:p>
            <w:pPr>
              <w:widowControl/>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2.质疑函的内容、格式：应符合《政府采购质疑和投诉办法》相关规定和财政部门制定的《政府采购质疑函范本》格式。</w:t>
            </w:r>
          </w:p>
          <w:p>
            <w:pPr>
              <w:pStyle w:val="12"/>
              <w:rPr>
                <w:rFonts w:ascii="宋体" w:hAnsi="宋体" w:eastAsia="宋体" w:cs="宋体"/>
                <w:color w:val="auto"/>
                <w:kern w:val="0"/>
                <w:szCs w:val="21"/>
                <w:highlight w:val="none"/>
              </w:rPr>
            </w:pPr>
            <w:r>
              <w:rPr>
                <w:rFonts w:ascii="宋体" w:hAnsi="宋体" w:eastAsia="宋体" w:cs="宋体"/>
                <w:color w:val="auto"/>
                <w:szCs w:val="21"/>
                <w:highlight w:val="none"/>
              </w:rPr>
              <w:t>二、投标人应在法定质疑期内一次性提出针对同一采购程序环节的质疑。（采购程序环节分为：招标文件、招标过程、中标结果）</w:t>
            </w:r>
          </w:p>
        </w:tc>
      </w:tr>
    </w:tbl>
    <w:p>
      <w:pPr>
        <w:rPr>
          <w:rFonts w:hint="eastAsia" w:ascii="宋体" w:hAnsi="宋体" w:eastAsia="宋体" w:cs="宋体"/>
          <w:color w:val="auto"/>
          <w:highlight w:val="none"/>
        </w:rPr>
      </w:pPr>
      <w:r>
        <w:rPr>
          <w:rFonts w:hint="eastAsia" w:ascii="宋体" w:hAnsi="宋体" w:eastAsia="宋体" w:cs="宋体"/>
          <w:color w:val="auto"/>
          <w:highlight w:val="none"/>
        </w:rPr>
        <w:t>3注：表格中“</w:t>
      </w: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”项或“</w:t>
      </w:r>
      <w:r>
        <w:rPr>
          <w:rFonts w:hint="eastAsia" w:ascii="宋体" w:hAnsi="宋体" w:eastAsia="宋体" w:cs="宋体"/>
          <w:color w:val="auto"/>
          <w:szCs w:val="21"/>
          <w:highlight w:val="none"/>
        </w:rPr>
        <w:t>☑</w:t>
      </w:r>
      <w:r>
        <w:rPr>
          <w:rFonts w:hint="eastAsia" w:ascii="宋体" w:hAnsi="宋体" w:eastAsia="宋体" w:cs="宋体"/>
          <w:color w:val="auto"/>
          <w:highlight w:val="none"/>
        </w:rPr>
        <w:t>”项为被选中项。</w:t>
      </w:r>
    </w:p>
    <w:p>
      <w:pPr>
        <w:pStyle w:val="5"/>
        <w:adjustRightInd w:val="0"/>
        <w:snapToGrid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68" w:name="_Toc96523879"/>
      <w:bookmarkStart w:id="69" w:name="_Toc30384_WPSOffice_Level2"/>
      <w:r>
        <w:rPr>
          <w:rFonts w:hint="eastAsia" w:ascii="宋体" w:hAnsi="宋体" w:eastAsia="宋体" w:cs="宋体"/>
          <w:color w:val="auto"/>
          <w:highlight w:val="none"/>
        </w:rPr>
        <w:t>二 总则</w:t>
      </w:r>
      <w:bookmarkEnd w:id="68"/>
      <w:bookmarkEnd w:id="69"/>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1.采购人、采购代理机构及投标人</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1.1采购人：是指依法进行政府采购的国家机关、事业单位、团体组织。本项目采购人见投标人须知表1.1款。</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1.2采购代理机构：是指集中采购机构或从事采购代理业务的社会中介机构，本项目的采购代理机构见投标人须知表1.2款。</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1.3投标人：是指向采购人提供货物、工程或者服务的法人、其他组织或者自然人。本项目的投标人及其投标标的须满足以下条件：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1.3.1在中华人民共和国境内注册，能够独立承担民事责任，有生产或供应能力的本国供应商。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1.3.2具备《中华人民共和国政府采购法》第二十二条关于供应商条件的规定，遵守财政部门政府采购的有关规定。</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1.3.3以采购代理机构认可的方式获得了本项目的招标文件。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1.3.4符合本项目招标公告“二、申请人的资格要求”中规定的资格条件。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1.3.5若投标人须知表1.3.5款中写明专门面向中小企业采购的，如投标人不符合要求的，其投标将被认定为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若投标人须知表1.3.6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w:t>
      </w:r>
      <w:r>
        <w:rPr>
          <w:rFonts w:hint="eastAsia" w:ascii="宋体" w:hAnsi="宋体" w:eastAsia="宋体" w:cs="宋体"/>
          <w:b/>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1.4如投标人须知表1.4款中允许联合体投标，对联合体规定如下：</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1.4.1两个以上供应商可以组成一个投标联合体，以一个投标人的身份投标。</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1.4.2联合体各方均应符合《中华人民共和国政府采购法》第二十二条规定的条件。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1.4.3采购人根据采购项目对投标人的特殊要求，联合体中至少应当有一方符合相关规定。</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1.4.4联合体各方应签订共同投标协议，明确约定联合体各方承担的工作和相应的责任。</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1.4.6联合体中有同类资质的供应商按照联合体分工承担相同工作的，按照较低的资质等级确定联合体的资质等级。</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1.4.7以联合体形式参加政府采购活动的，联合体各方不得再单独参加或者与其他供应商另外组成联合体参加本项目投标，否则相关投标将均被认定为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（1）两个以上的自然人、法人或者其他组织可以组成一个联合体，以一个投标人的身份共同参加政府采购活动。</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（2）联合体中标的，联合体各方应共同与采购人签订采购合同，就采购合同约定的事项对采购人承担连带责任。</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1.4.8对联合体投标的其他资格要求见本项目招标公告“二、申请人的资格要求”中规定的资格条件。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1.5单位负责人为同一人或者存在直接控股、管理关系的不同供应商参加同一合同项下的政府采购活动，其相关投标将被认定为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1.7投标人在投标过程中不得向采购人提供、给予任何有价值的物品，影响其正常决策行为。一经发现，其将被认定为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2.资金来源</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2.1本项目的资金来源由采购人负责提供。</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2.2项目预算金额和最高限价见投标人须知表2.2款。</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2.3投标人报价不满足招标文件要求的，其投标将被认定为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b/>
          <w:bCs/>
          <w:color w:val="auto"/>
          <w:szCs w:val="21"/>
          <w:highlight w:val="none"/>
        </w:rPr>
      </w:pPr>
      <w:bookmarkStart w:id="70" w:name="_Toc266951048"/>
      <w:r>
        <w:rPr>
          <w:rFonts w:hint="eastAsia" w:ascii="宋体" w:hAnsi="宋体" w:eastAsia="宋体" w:cs="宋体"/>
          <w:b/>
          <w:bCs/>
          <w:color w:val="auto"/>
          <w:szCs w:val="21"/>
          <w:highlight w:val="none"/>
        </w:rPr>
        <w:t>3.语言文字</w:t>
      </w:r>
      <w:bookmarkEnd w:id="70"/>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hint="eastAsia" w:ascii="宋体" w:hAnsi="宋体" w:eastAsia="宋体" w:cs="宋体"/>
          <w:b/>
          <w:bCs/>
          <w:color w:val="auto"/>
          <w:szCs w:val="21"/>
          <w:highlight w:val="none"/>
        </w:rPr>
      </w:pPr>
      <w:bookmarkStart w:id="71" w:name="_1.8_计量单位"/>
      <w:bookmarkEnd w:id="71"/>
      <w:bookmarkStart w:id="72" w:name="_Toc266951049"/>
      <w:r>
        <w:rPr>
          <w:rFonts w:hint="eastAsia" w:ascii="宋体" w:hAnsi="宋体" w:eastAsia="宋体" w:cs="宋体"/>
          <w:b/>
          <w:bCs/>
          <w:color w:val="auto"/>
          <w:szCs w:val="21"/>
          <w:highlight w:val="none"/>
        </w:rPr>
        <w:t>4.计量单位</w:t>
      </w:r>
      <w:bookmarkEnd w:id="72"/>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除投标人须知表4款中有特殊要求外，投标文件中所使用的计量单位，应采用中华人民共和国法定计量单位。</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5.投标费用</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不论投标的结果如何，投标人应承担所有与准备和参加投标有关的费用，采购人与采购代理机构均无义务和责任承担相关费用。</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6.现场考察、开标前答疑会</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color w:val="auto"/>
          <w:highlight w:val="none"/>
        </w:rPr>
        <w:fldChar w:fldCharType="begin"/>
      </w:r>
      <w:r>
        <w:rPr>
          <w:color w:val="auto"/>
          <w:highlight w:val="none"/>
        </w:rPr>
        <w:instrText xml:space="preserve"> HYPERLINK \l "_踏勘现场" </w:instrText>
      </w:r>
      <w:r>
        <w:rPr>
          <w:color w:val="auto"/>
          <w:highlight w:val="none"/>
        </w:rPr>
        <w:fldChar w:fldCharType="separate"/>
      </w:r>
      <w:r>
        <w:rPr>
          <w:rFonts w:hint="eastAsia" w:ascii="宋体" w:hAnsi="宋体" w:eastAsia="宋体" w:cs="宋体"/>
          <w:color w:val="auto"/>
          <w:szCs w:val="21"/>
          <w:highlight w:val="none"/>
        </w:rPr>
        <w:t>投标人须知表</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6.1款规定组织现场考察或开标前答疑会的，采购人按规定的时间、地点组织投标人现场考察或开标前答疑会，或者在领取招标文件期限截止后以书面形式通知所有获取招标文件的潜在投标人。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hint="eastAsia" w:ascii="宋体" w:hAnsi="宋体" w:eastAsia="宋体" w:cs="宋体"/>
          <w:b/>
          <w:bCs/>
          <w:color w:val="auto"/>
          <w:szCs w:val="21"/>
          <w:highlight w:val="none"/>
        </w:rPr>
      </w:pPr>
      <w:bookmarkStart w:id="73" w:name="_1.10_投标预备会"/>
      <w:bookmarkEnd w:id="73"/>
      <w:r>
        <w:rPr>
          <w:rFonts w:hint="eastAsia" w:ascii="宋体" w:hAnsi="宋体" w:eastAsia="宋体" w:cs="宋体"/>
          <w:color w:val="auto"/>
          <w:szCs w:val="21"/>
          <w:highlight w:val="none"/>
        </w:rPr>
        <w:t>6.2</w:t>
      </w:r>
      <w:r>
        <w:rPr>
          <w:rFonts w:hint="eastAsia" w:ascii="宋体" w:hAnsi="宋体" w:eastAsia="宋体" w:cs="宋体"/>
          <w:color w:val="auto"/>
          <w:kern w:val="0"/>
          <w:szCs w:val="21"/>
          <w:highlight w:val="none"/>
        </w:rPr>
        <w:t>由于未参加现场踏勘或标前答疑而导致对项目实际情况不了解，影响投标文件编制、</w:t>
      </w:r>
      <w:r>
        <w:rPr>
          <w:rFonts w:hint="eastAsia"/>
          <w:color w:val="auto"/>
          <w:highlight w:val="none"/>
        </w:rPr>
        <w:fldChar w:fldCharType="begin"/>
      </w:r>
      <w:r>
        <w:rPr>
          <w:color w:val="auto"/>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rFonts w:hint="eastAsia"/>
          <w:color w:val="auto"/>
          <w:highlight w:val="none"/>
        </w:rPr>
        <w:fldChar w:fldCharType="separate"/>
      </w:r>
      <w:r>
        <w:rPr>
          <w:rFonts w:hint="eastAsia" w:ascii="宋体" w:hAnsi="宋体" w:eastAsia="宋体" w:cs="宋体"/>
          <w:color w:val="auto"/>
          <w:kern w:val="0"/>
          <w:szCs w:val="21"/>
          <w:highlight w:val="none"/>
        </w:rPr>
        <w:t>投标报价</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准确性、综合因素响应不全面等问题的，由投标人自行承担相应后果。</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6.3现场考察及参加标前答疑会所发生的费用及一切责任风险由投标人自行承担。</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7.适用法律</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采购人、采购代理机构、投标人、评标委员会的相关行为均受《中华人民共和国政府采购法》《中华人民共和国政府采购法实施条例》及财政部门对政府采购有关规定的约束，其权利受到上述法律法规的保护。</w:t>
      </w:r>
    </w:p>
    <w:p>
      <w:pPr>
        <w:pStyle w:val="5"/>
        <w:rPr>
          <w:rFonts w:hint="eastAsia" w:ascii="宋体" w:hAnsi="宋体" w:eastAsia="宋体" w:cs="宋体"/>
          <w:color w:val="auto"/>
          <w:highlight w:val="none"/>
        </w:rPr>
      </w:pPr>
      <w:bookmarkStart w:id="74" w:name="_Toc96523880"/>
      <w:bookmarkStart w:id="75" w:name="_Toc10106_WPSOffice_Level2"/>
      <w:r>
        <w:rPr>
          <w:rFonts w:hint="eastAsia" w:ascii="宋体" w:hAnsi="宋体" w:eastAsia="宋体" w:cs="宋体"/>
          <w:color w:val="auto"/>
          <w:highlight w:val="none"/>
        </w:rPr>
        <w:t>三 招标文件</w:t>
      </w:r>
      <w:bookmarkEnd w:id="74"/>
      <w:bookmarkEnd w:id="75"/>
    </w:p>
    <w:p>
      <w:pPr>
        <w:numPr>
          <w:ilvl w:val="0"/>
          <w:numId w:val="4"/>
        </w:num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招标文件构成</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招标</w:t>
      </w:r>
      <w:r>
        <w:rPr>
          <w:rFonts w:hint="eastAsia" w:ascii="宋体" w:hAnsi="宋体" w:eastAsia="宋体" w:cs="宋体"/>
          <w:color w:val="auto"/>
          <w:highlight w:val="none"/>
        </w:rPr>
        <w:t>文件内容如下:</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招标公告</w:t>
      </w:r>
    </w:p>
    <w:p>
      <w:pPr>
        <w:adjustRightInd w:val="0"/>
        <w:snapToGrid w:val="0"/>
        <w:spacing w:line="360" w:lineRule="auto"/>
        <w:ind w:left="420"/>
        <w:rPr>
          <w:rFonts w:hint="eastAsia" w:ascii="宋体" w:hAnsi="宋体" w:eastAsia="宋体" w:cs="宋体"/>
          <w:color w:val="auto"/>
          <w:highlight w:val="none"/>
        </w:rPr>
      </w:pPr>
      <w:bookmarkStart w:id="76" w:name="_Toc188_WPSOffice_Level2"/>
      <w:bookmarkStart w:id="77" w:name="_Toc4961_WPSOffice_Level2"/>
      <w:bookmarkStart w:id="78" w:name="_Toc25935_WPSOffice_Level2"/>
      <w:bookmarkStart w:id="79" w:name="_Toc24604_WPSOffice_Level2"/>
      <w:r>
        <w:rPr>
          <w:rFonts w:hint="eastAsia" w:ascii="宋体" w:hAnsi="宋体" w:eastAsia="宋体" w:cs="宋体"/>
          <w:color w:val="auto"/>
          <w:highlight w:val="none"/>
        </w:rPr>
        <w:t>第一部分 投标人须知</w:t>
      </w:r>
      <w:bookmarkEnd w:id="76"/>
      <w:bookmarkEnd w:id="77"/>
      <w:bookmarkEnd w:id="78"/>
      <w:bookmarkEnd w:id="79"/>
    </w:p>
    <w:p>
      <w:pPr>
        <w:pStyle w:val="1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第二部分 采购需求</w:t>
      </w:r>
    </w:p>
    <w:p>
      <w:pPr>
        <w:pStyle w:val="1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第三部分 评标方法</w:t>
      </w:r>
    </w:p>
    <w:p>
      <w:pPr>
        <w:pStyle w:val="1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第四部分 拟签订的合同文本</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第五部分 投标文件内容及格式</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8.2投标人应认真阅读招标文件所有的事项、格式、条款等。如投标人没有按照招标文件要求提交资料，或者投标文件没有对招标文件做出实质性响应，可能导致其投标被认定为</w:t>
      </w:r>
      <w:r>
        <w:rPr>
          <w:rFonts w:hint="eastAsia" w:ascii="宋体" w:hAnsi="宋体" w:eastAsia="宋体" w:cs="宋体"/>
          <w:b/>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9.招标文件的澄清与修改</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9.2澄清或者修改的内容为招标文件的组成部分，对所有招标文件的收受人具有约束力。投标人在收到上述通知后，应及时向采购代理机构回函确认。对于没有及时回函确认或者不回函的，视为其已收到。</w:t>
      </w:r>
    </w:p>
    <w:p>
      <w:pPr>
        <w:pStyle w:val="5"/>
        <w:rPr>
          <w:rFonts w:hint="eastAsia" w:ascii="宋体" w:hAnsi="宋体" w:eastAsia="宋体" w:cs="宋体"/>
          <w:color w:val="auto"/>
          <w:highlight w:val="none"/>
        </w:rPr>
      </w:pPr>
      <w:bookmarkStart w:id="80" w:name="_Toc96523881"/>
      <w:bookmarkStart w:id="81" w:name="_Toc7415_WPSOffice_Level2"/>
      <w:r>
        <w:rPr>
          <w:rFonts w:hint="eastAsia" w:ascii="宋体" w:hAnsi="宋体" w:eastAsia="宋体" w:cs="宋体"/>
          <w:color w:val="auto"/>
          <w:highlight w:val="none"/>
        </w:rPr>
        <w:t>四 投标文件的编制</w:t>
      </w:r>
      <w:bookmarkEnd w:id="80"/>
      <w:bookmarkEnd w:id="81"/>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10.投标范围</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10.1项目有划分包组的，投标人可对招标文件其中某一个包组或几个包组进行投标，如采购需求或招标公告另有约定的，从其约定。</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10.2投标人应当对所投包组在招标文件中“采购需求”所列的所有内容进行投标，如仅响应包组中某一部分内容，其该包投标将被认定为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11.投标文件构成</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11.1投标人应完整地按招标文件提供的投标文件格式及要求编写投标文件。具体见第五部分 投标文件内容及格式。</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11.2投标人应按招标文件提供的格式编写投标文件。招标文件提供标准格式的按标准格式填列，未提供标准格式的可自行拟定。</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11.3样品或演示要求详见投标人须知表11.3款。</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12.投标报价</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12.1所有投标均按投标人须知表12.1款中要求货币进行报价。投标人的投标报价应遵守《中华人民共和国价格法》。</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在《采购需求》及合同条款规定的采购范围、内容、标准、责任范围按照招标文件给定的格式和要求进行合理报价。除非《采购需求》中另有约定，否则投标报价为完成本次采购项目全部采购内容的报价。</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12.3投标人应按招标文件要求在相关表格中标明投标标的及伴随服务的单价和总价，并由法定代表人（非法人组织的负责人）或其委托代理人签署。</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12.4投标人所报的各分项投标单价在合同履行过程中是固定不变的，除合同约定可以变更以外的，不得以任何理由予以变更。任何包含价格调整要求的投标，其投标将被认定为</w:t>
      </w:r>
      <w:r>
        <w:rPr>
          <w:rFonts w:hint="eastAsia" w:ascii="宋体" w:hAnsi="宋体" w:eastAsia="宋体" w:cs="宋体"/>
          <w:b/>
          <w:bCs/>
          <w:color w:val="auto"/>
          <w:szCs w:val="21"/>
          <w:highlight w:val="none"/>
        </w:rPr>
        <w:t>投标无效。</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12.4每一项服务只能有一个投标报价。采购人不接受具有附加条件的报价。</w:t>
      </w:r>
    </w:p>
    <w:p>
      <w:pPr>
        <w:adjustRightInd w:val="0"/>
        <w:snapToGrid w:val="0"/>
        <w:spacing w:line="360" w:lineRule="auto"/>
        <w:rPr>
          <w:rFonts w:hint="eastAsia" w:ascii="宋体" w:hAnsi="宋体" w:eastAsia="宋体" w:cs="宋体"/>
          <w:color w:val="auto"/>
          <w:szCs w:val="21"/>
          <w:highlight w:val="none"/>
        </w:rPr>
      </w:pPr>
      <w:bookmarkStart w:id="82" w:name="_Toc22507_WPSOffice_Level2"/>
      <w:bookmarkStart w:id="83" w:name="_Toc31973_WPSOffice_Level2"/>
      <w:r>
        <w:rPr>
          <w:rFonts w:hint="eastAsia" w:ascii="宋体" w:hAnsi="宋体" w:eastAsia="宋体" w:cs="宋体"/>
          <w:color w:val="auto"/>
          <w:szCs w:val="21"/>
          <w:highlight w:val="none"/>
        </w:rPr>
        <w:t>12.5除非招标文件另有规定，报价原则上精确到小数点后两位。</w:t>
      </w:r>
      <w:bookmarkEnd w:id="82"/>
      <w:bookmarkEnd w:id="83"/>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13.投标保证金</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13.1投标人应提交投标人须知表13.1款中规定的投标保证金，并作为其投标的一部分。</w:t>
      </w:r>
    </w:p>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13.3投标人存在下列情形的，投标保证金不予退还:</w:t>
      </w:r>
    </w:p>
    <w:p>
      <w:pPr>
        <w:adjustRightInd w:val="0"/>
        <w:snapToGrid w:val="0"/>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(1)在投标有效期内，投标人撤销投标的;</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(2)中标后，中标人无正当理由放弃中标或中标人不按招标文件要求和中标的投标文件签订合同的;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(3)中标后不按本须知第35款的规定提交履约保证金的;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(4)存在其他违法违规行为的。</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13.4联合体投标的，可以由联合体中的一方或者共同提交投标保证金。以一方名义提交投标保证金的，对联合体各方均具有约束力。</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13.5投标保证金的退还</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13.5.1中标人应在与采购人签订合同之日起5个工作日内，及时联系保证金收受机构办理投标保证金退还手续。</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13.5.2未中标投标人的投标保证金将在中标通知书发出之日即中标结果公告公布之日起5个工作日内无息退还。投标人应及时联系保证金收受机构办理退还投标保证金手续。</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13.5.4政府采购投标担保函不予退回。</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13.6因投标人自身原因导致无法及时退还的，采购人或采购代理机构将不承担相应责任。</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14.证明投标标的的合格性和符合招标文件规定的文件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14.1投标人应提交证明文件，证明其投标内容符合招标文件规定。该证明文件是投标文件的一部分。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14.2上款所述的证明文件，可以是文字资料、图纸和数据。</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15.投标有效期</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15.1投标应在投标人须知表15.1款中规定的投标有效期内保持有效。投标有效期不满足要求的投标，其投标将被认定为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16.投标文件的签署及规定</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16.1投标人应按投标人须知表16.1款中的规定，准备和递交投标文件正本、副本和电子文档，每份投标文件封皮须清楚地标明“正本”或“副本”。若正本和副本不符，以正本为准。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16.3投标文件因字迹潦草无法辨认、表达不清或装订不当所引起的后果由投标人负责。</w:t>
      </w:r>
    </w:p>
    <w:p>
      <w:pPr>
        <w:pStyle w:val="5"/>
        <w:rPr>
          <w:rFonts w:hint="eastAsia" w:ascii="宋体" w:hAnsi="宋体" w:eastAsia="宋体" w:cs="宋体"/>
          <w:color w:val="auto"/>
          <w:highlight w:val="none"/>
        </w:rPr>
      </w:pPr>
      <w:bookmarkStart w:id="84" w:name="_Toc27725_WPSOffice_Level2"/>
      <w:bookmarkStart w:id="85" w:name="_Toc96523882"/>
      <w:r>
        <w:rPr>
          <w:rFonts w:hint="eastAsia" w:ascii="宋体" w:hAnsi="宋体" w:eastAsia="宋体" w:cs="宋体"/>
          <w:color w:val="auto"/>
          <w:highlight w:val="none"/>
        </w:rPr>
        <w:t>五 投标文件的递交</w:t>
      </w:r>
      <w:bookmarkEnd w:id="84"/>
      <w:bookmarkEnd w:id="85"/>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17.投标文件的密封和标记</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17.1投标人应将投标文件装订成册、密封，将正本和所有的副本、电子文档密封，并进行包封。</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17.2所有包装封皮上均应：</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（1）注明项目名称、项目编号、包号、投标人名称和“在（开标时间）之前不得启封”的字样。</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（2）在包装封皮上加盖投标人单位公章。</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17.3如果投标人未按上述要求密封，其投标文件将被</w:t>
      </w:r>
      <w:r>
        <w:rPr>
          <w:rFonts w:hint="eastAsia" w:ascii="宋体" w:hAnsi="宋体" w:eastAsia="宋体" w:cs="宋体"/>
          <w:b/>
          <w:bCs/>
          <w:color w:val="auto"/>
          <w:szCs w:val="21"/>
          <w:highlight w:val="none"/>
        </w:rPr>
        <w:t>拒绝接收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u w:val="single"/>
        </w:rPr>
        <w:t>密封有瑕疵，但不足以造成投标文件可从外包装内散出而导致投标文件内容泄密的，不被认定为未密封。</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18.投标截止</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18.1投标人应在投标人须知表18.1中规定的递交投标文件截止时间前，将投标文件递交到投标人须知表18.1款中规定的地点。</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18.2采购人和采购代理机构有权按本须知的规定，延迟投标截止时间。在此情况下，采购人、采购代理机构和投标人受投标截止时间制约的所有权利和义务均应延长至新的截止时间。</w:t>
      </w:r>
    </w:p>
    <w:p>
      <w:pPr>
        <w:adjustRightInd w:val="0"/>
        <w:snapToGrid w:val="0"/>
        <w:spacing w:line="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19.投标文件的接收、修改与撤回</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19.1在投标截止时间后送达的投标文件，采购人和采购代理机构将</w:t>
      </w:r>
      <w:r>
        <w:rPr>
          <w:rFonts w:hint="eastAsia" w:ascii="宋体" w:hAnsi="宋体" w:eastAsia="宋体" w:cs="宋体"/>
          <w:b/>
          <w:bCs/>
          <w:color w:val="auto"/>
          <w:szCs w:val="21"/>
          <w:highlight w:val="none"/>
        </w:rPr>
        <w:t>拒绝接收</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19.2采购人或者采购代理机构收到投标文件后，应当如实记载投标文件的送达时间和密封情况，并向投标人出具签收回执。</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19.4在投标截止时间之后，投标人不得对其投标文件做任何修改。</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19.5采购人和采购代理机构对所接收并当众宣读投标内容的投标文件概不退回。</w:t>
      </w:r>
    </w:p>
    <w:p>
      <w:pPr>
        <w:pStyle w:val="5"/>
        <w:rPr>
          <w:rFonts w:hint="eastAsia" w:ascii="宋体" w:hAnsi="宋体" w:eastAsia="宋体" w:cs="宋体"/>
          <w:color w:val="auto"/>
          <w:highlight w:val="none"/>
        </w:rPr>
      </w:pPr>
      <w:bookmarkStart w:id="86" w:name="_Toc988_WPSOffice_Level2"/>
      <w:bookmarkStart w:id="87" w:name="_Toc96523883"/>
      <w:r>
        <w:rPr>
          <w:rFonts w:hint="eastAsia" w:ascii="宋体" w:hAnsi="宋体" w:eastAsia="宋体" w:cs="宋体"/>
          <w:color w:val="auto"/>
          <w:highlight w:val="none"/>
        </w:rPr>
        <w:t>六 开标及评标</w:t>
      </w:r>
      <w:bookmarkEnd w:id="86"/>
      <w:bookmarkEnd w:id="87"/>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20.开标</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20.1采购人和采购代理机构将按投标人须知表20.1款中规定的开标时间和地点组织公开开标并邀请所有投标人代表参加。投标人不足3家的，不得开标。评标委员会成员不得参加开标活动。</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20.2开标时，由投标人或其推选的代表检查投标文件的密封情况，经记录后，由采购人或采购代理机构当众拆封投标文件，宣读投标人名称、投标价格及招标文件规定的内容。</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20.3采购人或采购代理机构将对开标过程进行记录，由参加开标的各投标人代表和相关工作人员签字确认，并存档备查。投标人未参加开标或未签字确认的，视同认可开标结果。</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20.4投标人法定代表人或授权代表对开标过程和开标记录有疑义，以及认为采购人、采购代理机构相关工作人员有需要回避的情形的，应当场提出询问或者回避申请。</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21.组建评标委员会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按照《中华人民共和国政府采购法》《中华人民共和国政府采购法实施条例》等有关规定依法组建评标委员会，负责本项目评标工作。本项目评标委员会组成详见投标人须知表21款。</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22.资格审查</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采购人或采购代理机构依据法律法规和招标文件中规定的内容，对投标人的资格进行审查，投标人应按照第五部分《投标文件内容及格式》中的相应要求提交资格证明材料。未通过资格审查的投标人不能进入评标环节，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；通过资格审查的投标人不足3家的，不得评标。</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22.2采购人或采购代理机构将于评标当天查询投标人的信用记录。投标人存在不良信用记录的，其投标将被认定为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不良信用记录指：投标人在中国政府采购网（www.ccgp.gov.cn）被入政府采购严重违法失信行为记录名单，或在“信用中国”网站（www.creditchina.gov.cn）被列入重大税收违法失信主体或政府采购严重违法失信行为名单，或在“中国执行信息公开网（http://zxgk.court.gov.cn/）”被列入失信被执行人记录名单，以及存在《中华人民共和国政府采购法实施条例》第十九条规定的行政处罚记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以联合体形式参加投标的，联合体任何成员存在以上不良信用记录的，联合体投标将被认定为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22.2.2查询及记录方式：采购人或采购代理机构经办人将查询网页打印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23.符合性审查</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检查是指依据招标文件的规定，从投标文件的有效性和完整性对招标文件的响应程度进行审查，以确定是否对招标文件的实质性要求做出响应。投标人应按照第五部分《投标文件内容及格式》中的相应要求，提交符合性证明材料。未通过符合性审查的投标人不能进入下一阶段评审，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；通过符合性审查的投标人数量不足3家的，不得进入下一步评审。</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24.投标文件的澄清</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24.2投标人的澄清、说明或补正将作为投标文件的一部分。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24.3投标文件报价出现前后不一致的，按照下列规定修正：</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同时出现两种以上不一致的，按照前款规定的顺序修正。修正后的报价经投标人确认后产生约束力，投标人不确认的，其投标将被认定为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24.4</w:t>
      </w:r>
      <w:r>
        <w:rPr>
          <w:rFonts w:hint="eastAsia" w:ascii="宋体" w:hAnsi="宋体" w:eastAsia="宋体" w:cs="宋体"/>
          <w:b/>
          <w:bCs/>
          <w:color w:val="auto"/>
          <w:szCs w:val="21"/>
          <w:highlight w:val="none"/>
        </w:rPr>
        <w:t>评标委员会认为</w:t>
      </w:r>
      <w:r>
        <w:rPr>
          <w:rFonts w:hint="eastAsia" w:ascii="宋体" w:hAnsi="宋体" w:eastAsia="宋体" w:cs="宋体"/>
          <w:color w:val="auto"/>
          <w:szCs w:val="21"/>
          <w:highlight w:val="none"/>
        </w:rPr>
        <w:t>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w:t>
      </w:r>
      <w:r>
        <w:rPr>
          <w:rFonts w:hint="eastAsia" w:ascii="宋体" w:hAnsi="宋体" w:eastAsia="宋体" w:cs="宋体"/>
          <w:b/>
          <w:bCs/>
          <w:color w:val="auto"/>
          <w:szCs w:val="21"/>
          <w:highlight w:val="none"/>
        </w:rPr>
        <w:t>无效投标</w:t>
      </w:r>
      <w:r>
        <w:rPr>
          <w:rFonts w:hint="eastAsia" w:ascii="宋体" w:hAnsi="宋体" w:eastAsia="宋体" w:cs="宋体"/>
          <w:color w:val="auto"/>
          <w:szCs w:val="21"/>
          <w:highlight w:val="none"/>
        </w:rPr>
        <w:t>处理。</w:t>
      </w:r>
      <w:r>
        <w:rPr>
          <w:rFonts w:hint="eastAsia" w:ascii="宋体" w:hAnsi="宋体" w:eastAsia="宋体" w:cs="宋体"/>
          <w:b/>
          <w:color w:val="auto"/>
          <w:szCs w:val="21"/>
          <w:highlight w:val="none"/>
          <w:u w:val="single"/>
        </w:rPr>
        <w:t>提交证明材料的合理时间由评标委员会根据实际情况确定</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25样品及演示</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25.1投标人须知表11.3款中要求投标人提供样品的，按照样品的评审方法以及评审标准进行评审。</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25.2采购活动结束后，按照投标人须知表11.3款中要求对投标人提供的样品进行</w:t>
      </w:r>
      <w:r>
        <w:rPr>
          <w:rFonts w:hint="eastAsia" w:ascii="宋体" w:hAnsi="宋体" w:eastAsia="宋体" w:cs="宋体"/>
          <w:color w:val="auto"/>
          <w:kern w:val="0"/>
          <w:szCs w:val="21"/>
          <w:highlight w:val="none"/>
        </w:rPr>
        <w:t>封存及退回</w:t>
      </w: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25.3演示的评审方法以及评审标准具体内容见评审细则的要求。</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26.投标无效</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26.1在比较与评价之前，根据本须知的规定，评标委员会将审查每份投标文件是否实质上响应了招标文件的要求。</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实质性要求是指招标文件中带有★号标识内容（包括本级及其下级编号中所有内容）等文字说明的要求。</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对招标文件的实质性要求进行响应是指与招标文件中带有★号标识内容的文字说明、条款、条件和规格等要求相符。</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如果投标文件没有对招标文件的实质性要求进行响应，将作为</w:t>
      </w:r>
      <w:r>
        <w:rPr>
          <w:rFonts w:hint="eastAsia" w:ascii="宋体" w:hAnsi="宋体" w:eastAsia="宋体" w:cs="宋体"/>
          <w:b/>
          <w:bCs/>
          <w:color w:val="auto"/>
          <w:szCs w:val="21"/>
          <w:highlight w:val="none"/>
        </w:rPr>
        <w:t>无效投标</w:t>
      </w:r>
      <w:r>
        <w:rPr>
          <w:rFonts w:hint="eastAsia" w:ascii="宋体" w:hAnsi="宋体" w:eastAsia="宋体" w:cs="宋体"/>
          <w:color w:val="auto"/>
          <w:szCs w:val="21"/>
          <w:highlight w:val="none"/>
        </w:rPr>
        <w:t>处理，投标人不得再对投标文件进行任何修正从而使其投标成为实质上响应的投标。</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评标委员会决定投标的响应性只根据招标文件要求、投标文件内容及财政主管部门指定媒体发布的相关信息。</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26.2</w:t>
      </w:r>
      <w:r>
        <w:rPr>
          <w:rFonts w:hint="eastAsia" w:ascii="宋体" w:hAnsi="宋体" w:eastAsia="宋体" w:cs="宋体"/>
          <w:b/>
          <w:color w:val="auto"/>
          <w:szCs w:val="21"/>
          <w:highlight w:val="none"/>
          <w:u w:val="single"/>
        </w:rPr>
        <w:t>如发现下列情况之一的，其投标将被认定为</w:t>
      </w:r>
      <w:r>
        <w:rPr>
          <w:rFonts w:hint="eastAsia" w:ascii="宋体" w:hAnsi="宋体" w:eastAsia="宋体" w:cs="宋体"/>
          <w:b/>
          <w:bCs/>
          <w:color w:val="auto"/>
          <w:szCs w:val="21"/>
          <w:highlight w:val="none"/>
          <w:u w:val="single"/>
        </w:rPr>
        <w:t>投标无效</w:t>
      </w:r>
      <w:r>
        <w:rPr>
          <w:rFonts w:hint="eastAsia" w:ascii="宋体" w:hAnsi="宋体" w:eastAsia="宋体" w:cs="宋体"/>
          <w:b/>
          <w:color w:val="auto"/>
          <w:szCs w:val="21"/>
          <w:highlight w:val="none"/>
          <w:u w:val="single"/>
        </w:rPr>
        <w:t>：</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（1）未按招标文件的规定提交投标保证金的；</w:t>
      </w:r>
    </w:p>
    <w:p>
      <w:pPr>
        <w:adjustRightInd w:val="0"/>
        <w:snapToGrid w:val="0"/>
        <w:spacing w:line="360" w:lineRule="auto"/>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u w:val="single"/>
        </w:rPr>
        <w:t>（2）</w:t>
      </w:r>
      <w:r>
        <w:rPr>
          <w:rFonts w:hint="eastAsia" w:ascii="宋体" w:hAnsi="宋体" w:eastAsia="宋体" w:cs="宋体"/>
          <w:b/>
          <w:bCs/>
          <w:color w:val="auto"/>
          <w:szCs w:val="21"/>
          <w:highlight w:val="none"/>
          <w:u w:val="single"/>
        </w:rPr>
        <w:t>投标文件中以下任一文件未按照招标文件规定要求签署或盖章的。</w:t>
      </w:r>
    </w:p>
    <w:tbl>
      <w:tblPr>
        <w:tblStyle w:val="33"/>
        <w:tblW w:w="6946" w:type="dxa"/>
        <w:tblInd w:w="0" w:type="dxa"/>
        <w:tblLayout w:type="fixed"/>
        <w:tblCellMar>
          <w:top w:w="0" w:type="dxa"/>
          <w:left w:w="108" w:type="dxa"/>
          <w:bottom w:w="0" w:type="dxa"/>
          <w:right w:w="108" w:type="dxa"/>
        </w:tblCellMar>
      </w:tblPr>
      <w:tblGrid>
        <w:gridCol w:w="3140"/>
        <w:gridCol w:w="2672"/>
        <w:gridCol w:w="1134"/>
      </w:tblGrid>
      <w:tr>
        <w:tblPrEx>
          <w:tblCellMar>
            <w:top w:w="0" w:type="dxa"/>
            <w:left w:w="108" w:type="dxa"/>
            <w:bottom w:w="0" w:type="dxa"/>
            <w:right w:w="108" w:type="dxa"/>
          </w:tblCellMar>
        </w:tblPrEx>
        <w:trPr>
          <w:gridAfter w:val="2"/>
          <w:wAfter w:w="3806" w:type="dxa"/>
          <w:trHeight w:val="270" w:hRule="atLeast"/>
        </w:trPr>
        <w:tc>
          <w:tcPr>
            <w:tcW w:w="3140" w:type="dxa"/>
            <w:tcBorders>
              <w:top w:val="nil"/>
              <w:left w:val="nil"/>
              <w:bottom w:val="nil"/>
              <w:right w:val="nil"/>
            </w:tcBorders>
            <w:vAlign w:val="center"/>
          </w:tcPr>
          <w:p>
            <w:pPr>
              <w:widowControl/>
              <w:spacing w:line="360" w:lineRule="auto"/>
              <w:ind w:firstLine="211" w:firstLineChars="100"/>
              <w:jc w:val="left"/>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①资格声明函</w:t>
            </w:r>
          </w:p>
        </w:tc>
      </w:tr>
      <w:tr>
        <w:tblPrEx>
          <w:tblCellMar>
            <w:top w:w="0" w:type="dxa"/>
            <w:left w:w="108" w:type="dxa"/>
            <w:bottom w:w="0" w:type="dxa"/>
            <w:right w:w="108" w:type="dxa"/>
          </w:tblCellMar>
        </w:tblPrEx>
        <w:trPr>
          <w:gridAfter w:val="2"/>
          <w:wAfter w:w="3806" w:type="dxa"/>
          <w:trHeight w:val="270" w:hRule="atLeast"/>
        </w:trPr>
        <w:tc>
          <w:tcPr>
            <w:tcW w:w="3140" w:type="dxa"/>
            <w:tcBorders>
              <w:top w:val="nil"/>
              <w:left w:val="nil"/>
              <w:bottom w:val="nil"/>
              <w:right w:val="nil"/>
            </w:tcBorders>
            <w:vAlign w:val="center"/>
          </w:tcPr>
          <w:p>
            <w:pPr>
              <w:widowControl/>
              <w:spacing w:line="360" w:lineRule="auto"/>
              <w:ind w:firstLine="211" w:firstLineChars="100"/>
              <w:jc w:val="left"/>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②投标函</w:t>
            </w:r>
          </w:p>
        </w:tc>
      </w:tr>
      <w:tr>
        <w:tblPrEx>
          <w:tblCellMar>
            <w:top w:w="0" w:type="dxa"/>
            <w:left w:w="108" w:type="dxa"/>
            <w:bottom w:w="0" w:type="dxa"/>
            <w:right w:w="108" w:type="dxa"/>
          </w:tblCellMar>
        </w:tblPrEx>
        <w:trPr>
          <w:gridAfter w:val="1"/>
          <w:wAfter w:w="1134" w:type="dxa"/>
          <w:trHeight w:val="270" w:hRule="atLeast"/>
        </w:trPr>
        <w:tc>
          <w:tcPr>
            <w:tcW w:w="5812" w:type="dxa"/>
            <w:gridSpan w:val="2"/>
            <w:tcBorders>
              <w:top w:val="nil"/>
              <w:left w:val="nil"/>
              <w:bottom w:val="nil"/>
              <w:right w:val="nil"/>
            </w:tcBorders>
            <w:vAlign w:val="center"/>
          </w:tcPr>
          <w:p>
            <w:pPr>
              <w:widowControl/>
              <w:spacing w:line="360" w:lineRule="auto"/>
              <w:ind w:firstLine="211" w:firstLineChars="100"/>
              <w:jc w:val="left"/>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③法定代表人证明书及法定代表人授权委托书（如适用）</w:t>
            </w:r>
          </w:p>
        </w:tc>
      </w:tr>
      <w:tr>
        <w:tblPrEx>
          <w:tblCellMar>
            <w:top w:w="0" w:type="dxa"/>
            <w:left w:w="108" w:type="dxa"/>
            <w:bottom w:w="0" w:type="dxa"/>
            <w:right w:w="108" w:type="dxa"/>
          </w:tblCellMar>
        </w:tblPrEx>
        <w:trPr>
          <w:gridAfter w:val="2"/>
          <w:wAfter w:w="3806" w:type="dxa"/>
          <w:trHeight w:val="270" w:hRule="atLeast"/>
        </w:trPr>
        <w:tc>
          <w:tcPr>
            <w:tcW w:w="3140" w:type="dxa"/>
            <w:tcBorders>
              <w:top w:val="nil"/>
              <w:left w:val="nil"/>
              <w:bottom w:val="nil"/>
              <w:right w:val="nil"/>
            </w:tcBorders>
            <w:vAlign w:val="center"/>
          </w:tcPr>
          <w:p>
            <w:pPr>
              <w:widowControl/>
              <w:spacing w:line="360" w:lineRule="auto"/>
              <w:ind w:firstLine="211" w:firstLineChars="100"/>
              <w:jc w:val="left"/>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⑤实质性响应条款一览表</w:t>
            </w:r>
          </w:p>
        </w:tc>
      </w:tr>
      <w:tr>
        <w:tblPrEx>
          <w:tblCellMar>
            <w:top w:w="0" w:type="dxa"/>
            <w:left w:w="108" w:type="dxa"/>
            <w:bottom w:w="0" w:type="dxa"/>
            <w:right w:w="108" w:type="dxa"/>
          </w:tblCellMar>
        </w:tblPrEx>
        <w:trPr>
          <w:trHeight w:val="80" w:hRule="atLeast"/>
        </w:trPr>
        <w:tc>
          <w:tcPr>
            <w:tcW w:w="6946" w:type="dxa"/>
            <w:gridSpan w:val="3"/>
            <w:tcBorders>
              <w:top w:val="nil"/>
              <w:left w:val="nil"/>
              <w:bottom w:val="nil"/>
              <w:right w:val="nil"/>
            </w:tcBorders>
            <w:vAlign w:val="center"/>
          </w:tcPr>
          <w:p>
            <w:pPr>
              <w:widowControl/>
              <w:spacing w:line="360" w:lineRule="auto"/>
              <w:ind w:firstLine="211" w:firstLineChars="100"/>
              <w:jc w:val="left"/>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⑥投标响应与招标文件差异一览表</w:t>
            </w:r>
          </w:p>
        </w:tc>
      </w:tr>
    </w:tbl>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（3）投标人的报价不满足招标文件要求的；</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（4）不符合法规和招标文件中规定的其他实质性要求的；</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（5）与其他投标人串通投标，或者与采购人串通投标；</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6）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（7）投标文件含有采购人不能接受的附加条件的；</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（8）属于法律、法规和招标文件规定的其他投标无效情形；</w:t>
      </w:r>
    </w:p>
    <w:p>
      <w:pPr>
        <w:pStyle w:val="64"/>
        <w:spacing w:line="360" w:lineRule="auto"/>
        <w:rPr>
          <w:rFonts w:hint="eastAsia" w:ascii="宋体" w:hAnsi="宋体" w:cs="宋体"/>
          <w:b/>
          <w:color w:val="auto"/>
          <w:highlight w:val="none"/>
        </w:rPr>
      </w:pPr>
      <w:r>
        <w:rPr>
          <w:rFonts w:hint="eastAsia" w:ascii="宋体" w:hAnsi="宋体" w:cs="宋体"/>
          <w:b/>
          <w:color w:val="auto"/>
          <w:highlight w:val="none"/>
        </w:rPr>
        <w:t>26.3有下列情形之一的，视为投标人串通投标，其投标无效：</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（1）不同投标人的投标文件由同一单位或者个人编制；</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（2）不同投标人委托同一单位或者个人办理投标事宜；</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（3）不同投标人的投标文件载明的项目管理成员或者联系人员为同一人；</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（4）不同投标人的投标文件异常一致或者投标报价呈规律性差异；不同投标人的投标文件相互混装；</w:t>
      </w:r>
    </w:p>
    <w:p>
      <w:pPr>
        <w:adjustRightInd w:val="0"/>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（5）不同投标人的投标保证金从同一单位或者个人的账户转出。</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27.比较与评价</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27.1经符合性审查合格的投标文件，评标委员会将根据招标文件确定的评标方法和标准，对其服务部分和商务部分作进一步的比较和评价。</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27.2评标严格按照招标文件的要求和条件进行。根据实际情况，在投标人须知表27.2款中规定采用下列一种评标方法，详细评标标准见第三部分评标方法。</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（1）最低评标价法，是指投标文件满足招标文件全部实质性要求，且投标报价最低的投标人为中标候选人的评标方法。</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（2）综合评分法，是指投标文件满足招标文件全部实质性要求，且按照评审因素的量化指标评审得分最高的投标人为中标候选人的评标方法。</w:t>
      </w:r>
    </w:p>
    <w:p>
      <w:pPr>
        <w:pStyle w:val="2"/>
        <w:tabs>
          <w:tab w:val="left" w:pos="7238"/>
          <w:tab w:val="left" w:pos="8393"/>
        </w:tabs>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27.3根据《政府采购促进中小企业发展管理办法》的通知（财库[2020]46号）、《财政部 司法部关于政府采购支持监狱企业发展有关问题的通知》（财库〔2014〕68 号）和《关于促进残疾人就业政府采购政策的通知》（财库〔2017〕141号）的规定，对于非专门面向中小企业的项目（或者部分面向中小企业项目中的非专门面向中小企业的采购包），在满足价格扣除条件且在投标文件中提交了符合要求的《中小企业声明函》，或省级以上监狱管理局、戒毒管理局（含新疆生产建设兵团）出具的属于监狱企业的证明文件的投标人，其投标报价扣除15%后参与评审。对具体办法详见第三部分 评标方法。</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27.4依据财政部、发展改革委、生态环境部等部门发布的品目清单和国家确定的认证机构出具的、处于有效期之内的节能产品、环境标志产品认证证书实施政府优先采购。具体优先采购办法见招标文件第三部分 评标方法。</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28.废标</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出现下列情形之一，将导致项目</w:t>
      </w:r>
      <w:r>
        <w:rPr>
          <w:rFonts w:hint="eastAsia" w:ascii="宋体" w:hAnsi="宋体" w:eastAsia="宋体" w:cs="宋体"/>
          <w:b/>
          <w:bCs/>
          <w:color w:val="auto"/>
          <w:szCs w:val="21"/>
          <w:highlight w:val="none"/>
        </w:rPr>
        <w:t>废标</w:t>
      </w:r>
      <w:r>
        <w:rPr>
          <w:rFonts w:hint="eastAsia" w:ascii="宋体" w:hAnsi="宋体" w:eastAsia="宋体" w:cs="宋体"/>
          <w:color w:val="auto"/>
          <w:szCs w:val="21"/>
          <w:highlight w:val="none"/>
        </w:rPr>
        <w:t>：</w:t>
      </w:r>
    </w:p>
    <w:p>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（1）符合专业条件的投标人或者对招标文件做实质性响应的投标人不足3家；</w:t>
      </w:r>
    </w:p>
    <w:p>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（3）因重大变故，采购任务取消的。</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29.中标候选人的推荐原则及标准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29.1除第32条规定外，评标委员会将根据评标标准，对实质上响应招标文件的投标人按下列方法进行排序，推荐中标候选人：</w:t>
      </w:r>
    </w:p>
    <w:p>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最低评标价法的，除了算数修正和落实政府采购政策需进行的价格扣除外，不对投标人的投标价格进行任何调整。评标结果按修正和扣除后的投标报价由低到高顺序排列。报价相同的，按第三部分评标办法规定执行。</w:t>
      </w:r>
    </w:p>
    <w:p>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（2）采用综合评分法的，评标结果按评审后得分由高到低顺序排列。得分相同的，按第三部分评标办法规定执行。</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29.2评标委员会将根据评标标准，按投标人须知表29.2款中规定的数量推荐中标候选人。</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29.3因推荐中标候选人名单产生其他问题，由评标委员会集体研究处理。</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30.保密原则</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30.1评标将在严格保密的情况下进行。</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30.2有关人员应当遵守评标工作纪律，不得泄露评审文件、评标情况和评标过程中获悉的国家秘密、商业秘密。</w:t>
      </w:r>
    </w:p>
    <w:p>
      <w:pPr>
        <w:pStyle w:val="5"/>
        <w:rPr>
          <w:rFonts w:hint="eastAsia" w:ascii="宋体" w:hAnsi="宋体" w:eastAsia="宋体" w:cs="宋体"/>
          <w:color w:val="auto"/>
          <w:highlight w:val="none"/>
        </w:rPr>
      </w:pPr>
      <w:bookmarkStart w:id="88" w:name="_Toc4544_WPSOffice_Level2"/>
      <w:bookmarkStart w:id="89" w:name="_Toc96523884"/>
      <w:r>
        <w:rPr>
          <w:rFonts w:hint="eastAsia" w:ascii="宋体" w:hAnsi="宋体" w:eastAsia="宋体" w:cs="宋体"/>
          <w:color w:val="auto"/>
          <w:highlight w:val="none"/>
        </w:rPr>
        <w:t>七 确定中标</w:t>
      </w:r>
      <w:bookmarkEnd w:id="88"/>
      <w:bookmarkEnd w:id="89"/>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31.确定中标人</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31.1由采购人或者采购人委托评标委员会按照投标人须知表31中规定的方式确定中标人。</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32.采购任务取消</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33.中标通知书</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33.1采购人或者采购代理机构应当自中标人确定之日起2个工作日内，在中国政府采购网上公告中标结果。同时向中标人发出中标通知书。</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33.2中标通知书是合同的组成部分。</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34.签订合同</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34.1中标人应当自发出中标通知书之日起30日内，与采购人签订书面合同。</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34.3中标人拒绝与采购人签订合同的，采购人可以按照评审报告推荐的中标候选人名单排序，确定下一中标候选人为中标人，也可以重新开展政府采购活动。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35.履约保证金</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35.1如需要中标人缴纳履约保证金的，中标人应按照投标人须知表35.1款规定向采购人缴纳履约保证金。</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如需要中标人缴纳履约保证金的，中标人没有按照上述履约保证金的规定执行，将视为拒绝签订合同并放弃中标资格，中标人的投标保证金将不予退还。在此情况下，采购人可确定下一中标候选人为中标人，也可以重新开展政府采购活动。</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36.采购代理服务费</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中标人须按照投标须知表36款规定，向采购代理机构支付招标代理服务费。</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37.廉洁自律规定</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38.人员回避</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39.质疑与接收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质疑投标人应按照财政部门制定的《政府采购质疑函范本》格式和《政府采购质疑和投诉办法》的要求，在法定质疑期内以纸质形式提出质疑，针对同一采购程序环节的质疑应一次性提出。超出法定质疑期的、重复提出的、分次提出的质疑，采购人或其委托的采购代理机构不予接收。</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39.3采购代理机构质疑函接收部门、联系电话和通讯地址,见投标人须知表39.3款。</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40.履约验收</w:t>
      </w:r>
    </w:p>
    <w:p>
      <w:pPr>
        <w:adjustRightInd w:val="0"/>
        <w:snapToGrid w:val="0"/>
        <w:spacing w:line="360" w:lineRule="auto"/>
        <w:ind w:firstLine="420"/>
        <w:rPr>
          <w:rFonts w:hint="eastAsia" w:ascii="宋体" w:hAnsi="宋体" w:eastAsia="宋体" w:cs="宋体"/>
          <w:b/>
          <w:color w:val="auto"/>
          <w:highlight w:val="none"/>
        </w:rPr>
        <w:sectPr>
          <w:footerReference r:id="rId4" w:type="default"/>
          <w:pgSz w:w="11906" w:h="16838"/>
          <w:pgMar w:top="1383" w:right="1689" w:bottom="1383" w:left="1689" w:header="851" w:footer="992" w:gutter="0"/>
          <w:pgNumType w:start="1"/>
          <w:cols w:space="720" w:num="1"/>
          <w:docGrid w:type="lines" w:linePitch="312" w:charSpace="0"/>
        </w:sectPr>
      </w:pPr>
      <w:r>
        <w:rPr>
          <w:rFonts w:hint="eastAsia" w:ascii="宋体" w:hAnsi="宋体" w:eastAsia="宋体" w:cs="宋体"/>
          <w:color w:val="auto"/>
          <w:szCs w:val="21"/>
          <w:highlight w:val="none"/>
        </w:rPr>
        <w:t>本项目采购人及其委托的采购代理机构将严格按照政府采购相关法律法规以及</w:t>
      </w:r>
      <w:r>
        <w:rPr>
          <w:rFonts w:hint="eastAsia" w:ascii="宋体" w:hAnsi="宋体" w:eastAsia="宋体" w:cs="宋体"/>
          <w:color w:val="auto"/>
          <w:szCs w:val="21"/>
          <w:highlight w:val="none"/>
          <w:lang w:eastAsia="zh-CN"/>
        </w:rPr>
        <w:t>国家税务总局乐昌市税务局</w:t>
      </w:r>
      <w:r>
        <w:rPr>
          <w:rFonts w:hint="eastAsia" w:ascii="宋体" w:hAnsi="宋体" w:eastAsia="宋体" w:cs="宋体"/>
          <w:color w:val="auto"/>
          <w:szCs w:val="21"/>
          <w:highlight w:val="none"/>
        </w:rPr>
        <w:t>的要求进行验收。</w:t>
      </w:r>
    </w:p>
    <w:p>
      <w:pPr>
        <w:pStyle w:val="4"/>
        <w:rPr>
          <w:rFonts w:hint="eastAsia" w:ascii="宋体" w:hAnsi="宋体" w:eastAsia="宋体" w:cs="宋体"/>
          <w:color w:val="auto"/>
          <w:highlight w:val="none"/>
        </w:rPr>
      </w:pPr>
      <w:bookmarkStart w:id="90" w:name="_Toc8641"/>
      <w:bookmarkStart w:id="91" w:name="_Toc96523885"/>
      <w:bookmarkStart w:id="92" w:name="_Toc4498_WPSOffice_Level1"/>
      <w:r>
        <w:rPr>
          <w:rFonts w:hint="eastAsia" w:ascii="宋体" w:hAnsi="宋体" w:eastAsia="宋体" w:cs="宋体"/>
          <w:color w:val="auto"/>
          <w:highlight w:val="none"/>
        </w:rPr>
        <w:t>第二部分 采购需求</w:t>
      </w:r>
      <w:bookmarkEnd w:id="90"/>
      <w:bookmarkEnd w:id="91"/>
      <w:bookmarkEnd w:id="92"/>
    </w:p>
    <w:p>
      <w:pPr>
        <w:snapToGrid w:val="0"/>
        <w:spacing w:line="360" w:lineRule="auto"/>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说明：</w:t>
      </w:r>
    </w:p>
    <w:p>
      <w:pPr>
        <w:numPr>
          <w:ilvl w:val="0"/>
          <w:numId w:val="5"/>
        </w:numPr>
        <w:snapToGrid w:val="0"/>
        <w:spacing w:line="360" w:lineRule="auto"/>
        <w:ind w:left="422" w:hanging="422" w:hanging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投标人须对本项目（有划分包组的，则以包组为单位）进行整体投标，任何只对其中一部分内容进行的投标都被视为无效投标。</w:t>
      </w:r>
    </w:p>
    <w:p>
      <w:pPr>
        <w:numPr>
          <w:ilvl w:val="0"/>
          <w:numId w:val="5"/>
        </w:numPr>
        <w:snapToGrid w:val="0"/>
        <w:spacing w:line="360" w:lineRule="auto"/>
        <w:ind w:left="422" w:hanging="422" w:hanging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本招标文件中，凡标有“★”的地方（如有），投标人要特别加以注意，必须对此作出一一响应。若有一项带“★”的指标未响应或不满足，将导致其投标无效。</w:t>
      </w:r>
    </w:p>
    <w:p>
      <w:pPr>
        <w:numPr>
          <w:ilvl w:val="0"/>
          <w:numId w:val="5"/>
        </w:numPr>
        <w:snapToGrid w:val="0"/>
        <w:spacing w:line="360" w:lineRule="auto"/>
        <w:ind w:left="422" w:hanging="422" w:hanging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凡标记“▲”号的条款（如有）为重要的要求，投标人任何负偏离（不满足要求）或不响应可能对其评审产生重大的影响，具体见项目评审标准。</w:t>
      </w:r>
    </w:p>
    <w:p>
      <w:pPr>
        <w:snapToGrid w:val="0"/>
        <w:spacing w:line="360" w:lineRule="auto"/>
        <w:rPr>
          <w:rFonts w:hint="eastAsia" w:ascii="宋体" w:hAnsi="宋体" w:eastAsia="宋体" w:cs="宋体"/>
          <w:b/>
          <w:color w:val="auto"/>
          <w:szCs w:val="21"/>
          <w:highlight w:val="none"/>
          <w:u w:val="single"/>
        </w:rPr>
      </w:pPr>
    </w:p>
    <w:p>
      <w:pPr>
        <w:tabs>
          <w:tab w:val="left" w:pos="420"/>
        </w:tabs>
        <w:snapToGrid w:val="0"/>
        <w:spacing w:line="360" w:lineRule="auto"/>
        <w:rPr>
          <w:rFonts w:hint="eastAsia" w:ascii="宋体" w:hAnsi="宋体" w:eastAsia="宋体" w:cs="宋体"/>
          <w:b/>
          <w:color w:val="auto"/>
          <w:szCs w:val="21"/>
          <w:highlight w:val="none"/>
        </w:rPr>
      </w:pPr>
    </w:p>
    <w:p>
      <w:pPr>
        <w:rPr>
          <w:rFonts w:hint="eastAsia" w:ascii="宋体" w:hAnsi="宋体" w:eastAsia="宋体" w:cs="宋体"/>
          <w:b/>
          <w:bCs/>
          <w:color w:val="auto"/>
          <w:szCs w:val="21"/>
          <w:highlight w:val="none"/>
        </w:rPr>
      </w:pPr>
    </w:p>
    <w:p>
      <w:pPr>
        <w:rPr>
          <w:rFonts w:hint="eastAsia" w:ascii="宋体" w:hAnsi="宋体" w:eastAsia="宋体" w:cs="宋体"/>
          <w:color w:val="auto"/>
          <w:szCs w:val="21"/>
          <w:highlight w:val="none"/>
        </w:rPr>
      </w:pPr>
      <w:r>
        <w:rPr>
          <w:rFonts w:ascii="宋体" w:hAnsi="宋体" w:eastAsia="宋体" w:cs="宋体"/>
          <w:color w:val="auto"/>
          <w:szCs w:val="21"/>
          <w:highlight w:val="none"/>
        </w:rPr>
        <w:br w:type="page"/>
      </w:r>
    </w:p>
    <w:p>
      <w:pPr>
        <w:autoSpaceDE w:val="0"/>
        <w:autoSpaceDN w:val="0"/>
        <w:spacing w:line="360" w:lineRule="auto"/>
        <w:rPr>
          <w:rFonts w:hint="default" w:ascii="宋体" w:hAnsi="宋体" w:eastAsia="宋体" w:cs="宋体"/>
          <w:b/>
          <w:sz w:val="21"/>
          <w:szCs w:val="21"/>
          <w:highlight w:val="none"/>
          <w:lang w:val="en-US" w:eastAsia="zh-CN"/>
        </w:rPr>
      </w:pPr>
      <w:bookmarkStart w:id="93" w:name="_Toc256000032"/>
      <w:bookmarkStart w:id="94" w:name="_Toc2821_WPSOffice_Level1"/>
      <w:bookmarkStart w:id="95" w:name="_Toc96523886"/>
      <w:r>
        <w:rPr>
          <w:rFonts w:hint="eastAsia" w:ascii="宋体" w:hAnsi="宋体" w:eastAsia="宋体" w:cs="宋体"/>
          <w:b/>
          <w:sz w:val="21"/>
          <w:szCs w:val="21"/>
          <w:highlight w:val="none"/>
          <w:lang w:val="en-US" w:eastAsia="zh-CN"/>
        </w:rPr>
        <w:t>一、整体要求</w:t>
      </w:r>
    </w:p>
    <w:p>
      <w:pPr>
        <w:autoSpaceDE w:val="0"/>
        <w:autoSpaceDN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zh-CN"/>
        </w:rPr>
        <w:t>★</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lang w:val="zh-CN"/>
        </w:rPr>
        <w:t>投标人必须承诺，理解并同意“服务期限内如因相关法律法规等政府规范性文件要求，税收征管改革发展需要，机构撤并、改革等原因采购人有权单方面终止合同，支付实际发生服务期间</w:t>
      </w:r>
      <w:r>
        <w:rPr>
          <w:rFonts w:hint="eastAsia" w:ascii="宋体" w:hAnsi="宋体" w:eastAsia="宋体" w:cs="宋体"/>
          <w:b/>
          <w:sz w:val="21"/>
          <w:szCs w:val="21"/>
          <w:highlight w:val="none"/>
        </w:rPr>
        <w:t>费用”（投标时提交承诺，格式可参照“投标文件格式”中《承诺函》格式）。</w:t>
      </w:r>
    </w:p>
    <w:p>
      <w:pPr>
        <w:autoSpaceDE w:val="0"/>
        <w:autoSpaceDN w:val="0"/>
        <w:spacing w:line="360" w:lineRule="auto"/>
        <w:ind w:firstLine="422" w:firstLineChars="200"/>
        <w:rPr>
          <w:rFonts w:hint="eastAsia" w:ascii="宋体" w:hAnsi="宋体" w:eastAsia="宋体" w:cs="宋体"/>
          <w:b/>
          <w:sz w:val="21"/>
          <w:szCs w:val="21"/>
          <w:highlight w:val="none"/>
        </w:rPr>
      </w:pPr>
      <w:bookmarkStart w:id="96" w:name="_Toc13967"/>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投标人不得以任何不正当行为谋取不当利益，包含但不限于‘围猎’采购人税务人员行为（以获取不正当利益为目的，采取馈赠礼品礼金、邀请娱乐旅游消费、提供便利条件等非正常交往手段“围猎”相关税务人员及其亲属），否则将承担相应的法律责任</w:t>
      </w:r>
      <w:r>
        <w:rPr>
          <w:rFonts w:hint="eastAsia" w:ascii="宋体" w:hAnsi="宋体" w:eastAsia="宋体" w:cs="宋体"/>
          <w:b/>
          <w:bCs/>
          <w:sz w:val="21"/>
          <w:szCs w:val="21"/>
          <w:highlight w:val="none"/>
        </w:rPr>
        <w:t>，并接受采购人相关处罚</w:t>
      </w:r>
      <w:r>
        <w:rPr>
          <w:rFonts w:hint="eastAsia" w:ascii="宋体" w:hAnsi="宋体" w:eastAsia="宋体" w:cs="宋体"/>
          <w:b/>
          <w:sz w:val="21"/>
          <w:szCs w:val="21"/>
          <w:highlight w:val="none"/>
        </w:rPr>
        <w:t>(投标时提供承诺，可参照“投标文件格式”中《承诺函》格式）。</w:t>
      </w:r>
    </w:p>
    <w:p>
      <w:pPr>
        <w:autoSpaceDE w:val="0"/>
        <w:autoSpaceDN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rPr>
        <w:t>投标人必须满足以下条件之一：</w:t>
      </w:r>
    </w:p>
    <w:p>
      <w:pPr>
        <w:autoSpaceDE w:val="0"/>
        <w:autoSpaceDN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①具有《保安服务许可证》，投标时提交许可证复印件并加盖投标人公章；</w:t>
      </w:r>
    </w:p>
    <w:p>
      <w:pPr>
        <w:autoSpaceDE w:val="0"/>
        <w:autoSpaceDN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②投标时承诺签订合同之后按《保安服务管理条例》的要求到公安机关备案（投标时提交承诺，承诺可参照“投标文件格式”中《承诺函》格式）。</w:t>
      </w:r>
    </w:p>
    <w:p>
      <w:pPr>
        <w:autoSpaceDE w:val="0"/>
        <w:autoSpaceDN w:val="0"/>
        <w:spacing w:line="360" w:lineRule="auto"/>
        <w:ind w:firstLine="422" w:firstLineChars="200"/>
        <w:outlineLvl w:val="2"/>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4.</w:t>
      </w:r>
      <w:r>
        <w:rPr>
          <w:rFonts w:hint="eastAsia" w:ascii="宋体" w:hAnsi="宋体" w:eastAsia="宋体" w:cs="宋体"/>
          <w:b/>
          <w:color w:val="000000"/>
          <w:sz w:val="21"/>
          <w:szCs w:val="21"/>
          <w:highlight w:val="none"/>
        </w:rPr>
        <w:t>投标人在投标/报价文件中提供的人员，即为项目实施时投入的人员。未经采购人同意，不得更换人员(投标时提供承诺，可参照“投标文件格式”中《承诺函》 格式）</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 xml:space="preserve"> </w:t>
      </w:r>
    </w:p>
    <w:p>
      <w:pPr>
        <w:autoSpaceDE w:val="0"/>
        <w:autoSpaceDN w:val="0"/>
        <w:spacing w:line="360" w:lineRule="auto"/>
        <w:ind w:firstLine="422" w:firstLineChars="200"/>
        <w:outlineLvl w:val="2"/>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5.</w:t>
      </w:r>
      <w:r>
        <w:rPr>
          <w:rFonts w:hint="eastAsia" w:ascii="宋体" w:hAnsi="宋体" w:eastAsia="宋体" w:cs="宋体"/>
          <w:b/>
          <w:color w:val="000000"/>
          <w:sz w:val="21"/>
          <w:szCs w:val="21"/>
          <w:highlight w:val="none"/>
        </w:rPr>
        <w:t xml:space="preserve">投标人承诺如获中标/成交，拟委派的物业经理将到岗履职，不得兼任其他项目的物业经理(投标时提供承诺，可参照“投标文件格式”中《承诺函》 格式）。 </w:t>
      </w:r>
    </w:p>
    <w:p>
      <w:pPr>
        <w:adjustRightInd w:val="0"/>
        <w:snapToGrid w:val="0"/>
        <w:spacing w:line="360" w:lineRule="auto"/>
        <w:rPr>
          <w:rFonts w:hint="eastAsia" w:ascii="宋体" w:hAnsi="宋体" w:eastAsia="宋体" w:cs="宋体"/>
          <w:sz w:val="21"/>
          <w:szCs w:val="21"/>
          <w:highlight w:val="none"/>
        </w:rPr>
      </w:pPr>
      <w:bookmarkStart w:id="97" w:name="_Toc151991867"/>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、项目概况</w:t>
      </w:r>
      <w:bookmarkEnd w:id="96"/>
      <w:bookmarkEnd w:id="97"/>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本项目服务地点包括：国家税务总局</w:t>
      </w:r>
      <w:r>
        <w:rPr>
          <w:rFonts w:hint="eastAsia" w:ascii="宋体" w:hAnsi="宋体" w:eastAsia="宋体" w:cs="宋体"/>
          <w:sz w:val="21"/>
          <w:szCs w:val="21"/>
          <w:highlight w:val="none"/>
          <w:lang w:eastAsia="zh-CN"/>
        </w:rPr>
        <w:t>乐昌市</w:t>
      </w:r>
      <w:r>
        <w:rPr>
          <w:rFonts w:hint="eastAsia" w:ascii="宋体" w:hAnsi="宋体" w:eastAsia="宋体" w:cs="宋体"/>
          <w:sz w:val="21"/>
          <w:szCs w:val="21"/>
          <w:highlight w:val="none"/>
        </w:rPr>
        <w:t>税务局行政楼、国家税务总局</w:t>
      </w:r>
      <w:r>
        <w:rPr>
          <w:rFonts w:hint="eastAsia" w:ascii="宋体" w:hAnsi="宋体" w:eastAsia="宋体" w:cs="宋体"/>
          <w:sz w:val="21"/>
          <w:szCs w:val="21"/>
          <w:highlight w:val="none"/>
          <w:lang w:eastAsia="zh-CN"/>
        </w:rPr>
        <w:t>乐昌市</w:t>
      </w:r>
      <w:r>
        <w:rPr>
          <w:rFonts w:hint="eastAsia" w:ascii="宋体" w:hAnsi="宋体" w:eastAsia="宋体" w:cs="宋体"/>
          <w:sz w:val="21"/>
          <w:szCs w:val="21"/>
          <w:highlight w:val="none"/>
        </w:rPr>
        <w:t>税务局业务楼整体物业服务、保障、管理。</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服务事项：物业档案建立和管理；</w:t>
      </w:r>
      <w:r>
        <w:rPr>
          <w:rFonts w:hint="eastAsia" w:ascii="宋体" w:hAnsi="宋体" w:eastAsia="宋体" w:cs="宋体"/>
          <w:sz w:val="21"/>
          <w:szCs w:val="21"/>
          <w:highlight w:val="none"/>
          <w:lang w:val="zh-CN"/>
        </w:rPr>
        <w:t>物业配套设施设备的系统日常管理、保障、运行维护（专业维保以外内容）；物业公共安全、秩序管理、维护及服务；室外绿化养护；环境美化、清洁卫生服务、停车场管理、消防管理；大型活动或会议专项服务及采购人特定需要的其它特约服务等。</w:t>
      </w:r>
    </w:p>
    <w:p>
      <w:pPr>
        <w:autoSpaceDE w:val="0"/>
        <w:autoSpaceDN w:val="0"/>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为利于统一管理，采购人对上述物业管理服务整体向社会进行采购招标。投标人应对本项目所有内容进行投标，不允许只对其中部分内容进行投标。</w:t>
      </w:r>
    </w:p>
    <w:p>
      <w:pPr>
        <w:autoSpaceDE w:val="0"/>
        <w:autoSpaceDN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本项目专门面向</w:t>
      </w:r>
      <w:r>
        <w:rPr>
          <w:rFonts w:hint="eastAsia" w:ascii="宋体" w:hAnsi="宋体" w:eastAsia="宋体" w:cs="宋体"/>
          <w:bCs/>
          <w:sz w:val="21"/>
          <w:szCs w:val="21"/>
          <w:highlight w:val="none"/>
          <w:lang w:eastAsia="zh-CN"/>
        </w:rPr>
        <w:t>小微</w:t>
      </w:r>
      <w:r>
        <w:rPr>
          <w:rFonts w:hint="eastAsia" w:ascii="宋体" w:hAnsi="宋体" w:eastAsia="宋体" w:cs="宋体"/>
          <w:bCs/>
          <w:sz w:val="21"/>
          <w:szCs w:val="21"/>
          <w:highlight w:val="none"/>
        </w:rPr>
        <w:t>企业</w:t>
      </w:r>
      <w:r>
        <w:rPr>
          <w:rFonts w:hint="eastAsia" w:ascii="宋体" w:hAnsi="宋体" w:eastAsia="宋体" w:cs="宋体"/>
          <w:bCs/>
          <w:sz w:val="21"/>
          <w:szCs w:val="21"/>
          <w:highlight w:val="none"/>
          <w:lang w:eastAsia="zh-CN"/>
        </w:rPr>
        <w:t>。</w:t>
      </w:r>
    </w:p>
    <w:p>
      <w:pPr>
        <w:autoSpaceDE w:val="0"/>
        <w:autoSpaceDN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5.</w:t>
      </w:r>
      <w:r>
        <w:rPr>
          <w:rFonts w:hint="eastAsia" w:ascii="宋体" w:hAnsi="宋体" w:eastAsia="宋体" w:cs="宋体"/>
          <w:b/>
          <w:color w:val="000000"/>
          <w:sz w:val="21"/>
          <w:szCs w:val="21"/>
          <w:highlight w:val="none"/>
        </w:rPr>
        <w:t>物业管理服务期限为2年，即自202</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年</w:t>
      </w:r>
      <w:r>
        <w:rPr>
          <w:rFonts w:hint="eastAsia" w:ascii="宋体" w:hAnsi="宋体" w:eastAsia="宋体" w:cs="宋体"/>
          <w:b/>
          <w:color w:val="000000"/>
          <w:sz w:val="21"/>
          <w:szCs w:val="21"/>
          <w:highlight w:val="none"/>
          <w:lang w:val="en-US" w:eastAsia="zh-CN"/>
        </w:rPr>
        <w:t>1</w:t>
      </w:r>
      <w:r>
        <w:rPr>
          <w:rFonts w:hint="eastAsia" w:ascii="宋体" w:hAnsi="宋体" w:eastAsia="宋体" w:cs="宋体"/>
          <w:b/>
          <w:color w:val="000000"/>
          <w:sz w:val="21"/>
          <w:szCs w:val="21"/>
          <w:highlight w:val="none"/>
        </w:rPr>
        <w:t>月1日至202</w:t>
      </w:r>
      <w:r>
        <w:rPr>
          <w:rFonts w:hint="eastAsia" w:ascii="宋体" w:hAnsi="宋体" w:eastAsia="宋体" w:cs="宋体"/>
          <w:b/>
          <w:color w:val="000000"/>
          <w:sz w:val="21"/>
          <w:szCs w:val="21"/>
          <w:highlight w:val="none"/>
          <w:lang w:val="en-US" w:eastAsia="zh-CN"/>
        </w:rPr>
        <w:t>7</w:t>
      </w:r>
      <w:r>
        <w:rPr>
          <w:rFonts w:hint="eastAsia" w:ascii="宋体" w:hAnsi="宋体" w:eastAsia="宋体" w:cs="宋体"/>
          <w:b/>
          <w:color w:val="000000"/>
          <w:sz w:val="21"/>
          <w:szCs w:val="21"/>
          <w:highlight w:val="none"/>
        </w:rPr>
        <w:t>年</w:t>
      </w:r>
      <w:r>
        <w:rPr>
          <w:rFonts w:hint="eastAsia" w:ascii="宋体" w:hAnsi="宋体" w:eastAsia="宋体" w:cs="宋体"/>
          <w:b/>
          <w:color w:val="000000"/>
          <w:sz w:val="21"/>
          <w:szCs w:val="21"/>
          <w:highlight w:val="none"/>
          <w:lang w:val="en-US" w:eastAsia="zh-CN"/>
        </w:rPr>
        <w:t>12</w:t>
      </w:r>
      <w:r>
        <w:rPr>
          <w:rFonts w:hint="eastAsia" w:ascii="宋体" w:hAnsi="宋体" w:eastAsia="宋体" w:cs="宋体"/>
          <w:b/>
          <w:color w:val="000000"/>
          <w:sz w:val="21"/>
          <w:szCs w:val="21"/>
          <w:highlight w:val="none"/>
        </w:rPr>
        <w:t>月</w:t>
      </w:r>
      <w:r>
        <w:rPr>
          <w:rFonts w:hint="eastAsia" w:ascii="宋体" w:hAnsi="宋体" w:eastAsia="宋体" w:cs="宋体"/>
          <w:b/>
          <w:color w:val="000000"/>
          <w:sz w:val="21"/>
          <w:szCs w:val="21"/>
          <w:highlight w:val="none"/>
          <w:lang w:val="en-US" w:eastAsia="zh-CN"/>
        </w:rPr>
        <w:t>31</w:t>
      </w:r>
      <w:r>
        <w:rPr>
          <w:rFonts w:hint="eastAsia" w:ascii="宋体" w:hAnsi="宋体" w:eastAsia="宋体" w:cs="宋体"/>
          <w:b/>
          <w:color w:val="000000"/>
          <w:sz w:val="21"/>
          <w:szCs w:val="21"/>
          <w:highlight w:val="none"/>
        </w:rPr>
        <w:t>日止。合同履行期限自202</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年</w:t>
      </w:r>
      <w:r>
        <w:rPr>
          <w:rFonts w:hint="eastAsia" w:ascii="宋体" w:hAnsi="宋体" w:eastAsia="宋体" w:cs="宋体"/>
          <w:b/>
          <w:color w:val="000000"/>
          <w:sz w:val="21"/>
          <w:szCs w:val="21"/>
          <w:highlight w:val="none"/>
          <w:lang w:val="en-US" w:eastAsia="zh-CN"/>
        </w:rPr>
        <w:t>1</w:t>
      </w:r>
      <w:r>
        <w:rPr>
          <w:rFonts w:hint="eastAsia" w:ascii="宋体" w:hAnsi="宋体" w:eastAsia="宋体" w:cs="宋体"/>
          <w:b/>
          <w:color w:val="000000"/>
          <w:sz w:val="21"/>
          <w:szCs w:val="21"/>
          <w:highlight w:val="none"/>
        </w:rPr>
        <w:t>月1日至202</w:t>
      </w:r>
      <w:r>
        <w:rPr>
          <w:rFonts w:hint="eastAsia" w:ascii="宋体" w:hAnsi="宋体" w:eastAsia="宋体" w:cs="宋体"/>
          <w:b/>
          <w:color w:val="000000"/>
          <w:sz w:val="21"/>
          <w:szCs w:val="21"/>
          <w:highlight w:val="none"/>
          <w:lang w:val="en-US" w:eastAsia="zh-CN"/>
        </w:rPr>
        <w:t>7</w:t>
      </w:r>
      <w:r>
        <w:rPr>
          <w:rFonts w:hint="eastAsia" w:ascii="宋体" w:hAnsi="宋体" w:eastAsia="宋体" w:cs="宋体"/>
          <w:b/>
          <w:color w:val="000000"/>
          <w:sz w:val="21"/>
          <w:szCs w:val="21"/>
          <w:highlight w:val="none"/>
        </w:rPr>
        <w:t>年</w:t>
      </w:r>
      <w:r>
        <w:rPr>
          <w:rFonts w:hint="eastAsia" w:ascii="宋体" w:hAnsi="宋体" w:eastAsia="宋体" w:cs="宋体"/>
          <w:b/>
          <w:color w:val="000000"/>
          <w:sz w:val="21"/>
          <w:szCs w:val="21"/>
          <w:highlight w:val="none"/>
          <w:lang w:val="en-US" w:eastAsia="zh-CN"/>
        </w:rPr>
        <w:t>12</w:t>
      </w:r>
      <w:r>
        <w:rPr>
          <w:rFonts w:hint="eastAsia" w:ascii="宋体" w:hAnsi="宋体" w:eastAsia="宋体" w:cs="宋体"/>
          <w:b/>
          <w:color w:val="000000"/>
          <w:sz w:val="21"/>
          <w:szCs w:val="21"/>
          <w:highlight w:val="none"/>
        </w:rPr>
        <w:t>月</w:t>
      </w:r>
      <w:r>
        <w:rPr>
          <w:rFonts w:hint="eastAsia" w:ascii="宋体" w:hAnsi="宋体" w:eastAsia="宋体" w:cs="宋体"/>
          <w:b/>
          <w:color w:val="000000"/>
          <w:sz w:val="21"/>
          <w:szCs w:val="21"/>
          <w:highlight w:val="none"/>
          <w:lang w:val="en-US" w:eastAsia="zh-CN"/>
        </w:rPr>
        <w:t>31</w:t>
      </w:r>
      <w:r>
        <w:rPr>
          <w:rFonts w:hint="eastAsia" w:ascii="宋体" w:hAnsi="宋体" w:eastAsia="宋体" w:cs="宋体"/>
          <w:b/>
          <w:color w:val="000000"/>
          <w:sz w:val="21"/>
          <w:szCs w:val="21"/>
          <w:highlight w:val="none"/>
        </w:rPr>
        <w:t>日止。服务期限内采购人每月对中标人的服务质量进行综合考核，若中标人</w:t>
      </w:r>
      <w:r>
        <w:rPr>
          <w:rFonts w:hint="eastAsia" w:ascii="宋体" w:hAnsi="宋体" w:eastAsia="宋体" w:cs="宋体"/>
          <w:b/>
          <w:bCs/>
          <w:sz w:val="21"/>
          <w:szCs w:val="21"/>
          <w:highlight w:val="none"/>
        </w:rPr>
        <w:t>1个月内连续3（人）次出现违反采购人管理规定情况</w:t>
      </w:r>
      <w:r>
        <w:rPr>
          <w:rFonts w:hint="eastAsia" w:ascii="宋体" w:hAnsi="宋体" w:eastAsia="宋体" w:cs="宋体"/>
          <w:b/>
          <w:bCs/>
          <w:sz w:val="21"/>
          <w:szCs w:val="21"/>
          <w:highlight w:val="none"/>
          <w:lang w:eastAsia="zh-CN"/>
        </w:rPr>
        <w:t>，或者</w:t>
      </w:r>
      <w:r>
        <w:rPr>
          <w:rFonts w:hint="eastAsia" w:ascii="宋体" w:hAnsi="宋体" w:eastAsia="宋体" w:cs="宋体"/>
          <w:b/>
          <w:bCs/>
          <w:color w:val="auto"/>
          <w:szCs w:val="21"/>
          <w:highlight w:val="none"/>
          <w:lang w:eastAsia="zh-CN"/>
        </w:rPr>
        <w:t>在服务期内连续（或累计）</w:t>
      </w:r>
      <w:r>
        <w:rPr>
          <w:rFonts w:hint="eastAsia" w:ascii="宋体" w:hAnsi="宋体" w:eastAsia="宋体" w:cs="宋体"/>
          <w:b/>
          <w:bCs/>
          <w:color w:val="auto"/>
          <w:szCs w:val="21"/>
          <w:highlight w:val="none"/>
          <w:lang w:val="en-US" w:eastAsia="zh-CN"/>
        </w:rPr>
        <w:t>2次及以上物业服务综合考核未达标</w:t>
      </w:r>
      <w:r>
        <w:rPr>
          <w:rFonts w:hint="eastAsia" w:ascii="宋体" w:hAnsi="宋体" w:eastAsia="宋体" w:cs="宋体"/>
          <w:b/>
          <w:bCs/>
          <w:color w:val="auto"/>
          <w:szCs w:val="21"/>
          <w:highlight w:val="none"/>
        </w:rPr>
        <w:t>的</w:t>
      </w:r>
      <w:r>
        <w:rPr>
          <w:rFonts w:hint="eastAsia" w:ascii="宋体" w:hAnsi="宋体" w:eastAsia="宋体" w:cs="宋体"/>
          <w:b/>
          <w:color w:val="000000"/>
          <w:sz w:val="21"/>
          <w:szCs w:val="21"/>
          <w:highlight w:val="none"/>
        </w:rPr>
        <w:t xml:space="preserve">，采购人可以单方面终止合同，并追究相关违约责任(投标时提供承诺，可参照“投标文件格式”中《承诺函》 格式）。 </w:t>
      </w:r>
    </w:p>
    <w:p>
      <w:pPr>
        <w:autoSpaceDE w:val="0"/>
        <w:autoSpaceDN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本项目确定一家中标人为采购人国家税务总局</w:t>
      </w:r>
      <w:r>
        <w:rPr>
          <w:rFonts w:hint="eastAsia" w:ascii="宋体" w:hAnsi="宋体" w:eastAsia="宋体" w:cs="宋体"/>
          <w:color w:val="000000"/>
          <w:sz w:val="21"/>
          <w:szCs w:val="21"/>
          <w:highlight w:val="none"/>
          <w:lang w:eastAsia="zh-CN"/>
        </w:rPr>
        <w:t>乐昌市</w:t>
      </w:r>
      <w:r>
        <w:rPr>
          <w:rFonts w:hint="eastAsia" w:ascii="宋体" w:hAnsi="宋体" w:eastAsia="宋体" w:cs="宋体"/>
          <w:color w:val="000000"/>
          <w:sz w:val="21"/>
          <w:szCs w:val="21"/>
          <w:highlight w:val="none"/>
        </w:rPr>
        <w:t>税务局提供物业管理服务。采购人只与中标人签署履约合同，且由中标人提供履约，</w:t>
      </w:r>
      <w:r>
        <w:rPr>
          <w:rFonts w:hint="eastAsia" w:ascii="宋体" w:hAnsi="宋体" w:eastAsia="宋体" w:cs="宋体"/>
          <w:color w:val="000000"/>
          <w:sz w:val="21"/>
          <w:szCs w:val="21"/>
          <w:highlight w:val="none"/>
          <w:lang w:eastAsia="zh-CN"/>
        </w:rPr>
        <w:t>如发现中标人存在分包或转包，将追究其违约责任。</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（一）项目基本情况：</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1.物业情况</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5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Pr>
          <w:p>
            <w:pPr>
              <w:pStyle w:val="124"/>
              <w:snapToGrid w:val="0"/>
              <w:spacing w:line="360" w:lineRule="auto"/>
              <w:jc w:val="center"/>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物业名称</w:t>
            </w:r>
          </w:p>
        </w:tc>
        <w:tc>
          <w:tcPr>
            <w:tcW w:w="3272" w:type="pct"/>
          </w:tcPr>
          <w:p>
            <w:pPr>
              <w:pStyle w:val="124"/>
              <w:snapToGrid w:val="0"/>
              <w:spacing w:line="360" w:lineRule="auto"/>
              <w:jc w:val="center"/>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vAlign w:val="center"/>
          </w:tcPr>
          <w:p>
            <w:pPr>
              <w:pStyle w:val="124"/>
              <w:snapToGrid w:val="0"/>
              <w:spacing w:line="360" w:lineRule="auto"/>
              <w:jc w:val="center"/>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国家税务总局乐昌市税务局行政楼</w:t>
            </w:r>
          </w:p>
        </w:tc>
        <w:tc>
          <w:tcPr>
            <w:tcW w:w="3272" w:type="pct"/>
            <w:vAlign w:val="center"/>
          </w:tcPr>
          <w:p>
            <w:pPr>
              <w:pStyle w:val="124"/>
              <w:snapToGrid w:val="0"/>
              <w:spacing w:line="360" w:lineRule="auto"/>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zh-CN"/>
              </w:rPr>
              <w:t>广东省韶关市乐昌市乐城街道人民南路</w:t>
            </w:r>
            <w:r>
              <w:rPr>
                <w:rFonts w:hint="eastAsia" w:ascii="宋体" w:hAnsi="宋体" w:eastAsia="宋体" w:cs="宋体"/>
                <w:color w:val="000000"/>
                <w:kern w:val="2"/>
                <w:sz w:val="21"/>
                <w:szCs w:val="21"/>
                <w:highlight w:val="none"/>
                <w:lang w:val="en-US" w:eastAsia="zh-CN"/>
              </w:rPr>
              <w:t>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vAlign w:val="center"/>
          </w:tcPr>
          <w:p>
            <w:pPr>
              <w:pStyle w:val="124"/>
              <w:snapToGrid w:val="0"/>
              <w:spacing w:line="360" w:lineRule="auto"/>
              <w:jc w:val="center"/>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国家税务总局乐昌市税务局业务楼</w:t>
            </w:r>
          </w:p>
        </w:tc>
        <w:tc>
          <w:tcPr>
            <w:tcW w:w="3272" w:type="pct"/>
            <w:vAlign w:val="center"/>
          </w:tcPr>
          <w:p>
            <w:pPr>
              <w:pStyle w:val="124"/>
              <w:snapToGrid w:val="0"/>
              <w:spacing w:line="360" w:lineRule="auto"/>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zh-CN"/>
              </w:rPr>
              <w:t>广东省韶关市乐昌市乐城街道公主下路</w:t>
            </w:r>
            <w:r>
              <w:rPr>
                <w:rFonts w:hint="eastAsia" w:ascii="宋体" w:hAnsi="宋体" w:eastAsia="宋体" w:cs="宋体"/>
                <w:color w:val="000000"/>
                <w:kern w:val="2"/>
                <w:sz w:val="21"/>
                <w:szCs w:val="21"/>
                <w:highlight w:val="none"/>
                <w:lang w:val="en-US" w:eastAsia="zh-CN"/>
              </w:rPr>
              <w:t>68号、</w:t>
            </w:r>
            <w:r>
              <w:rPr>
                <w:rFonts w:hint="eastAsia" w:ascii="宋体" w:hAnsi="宋体" w:eastAsia="宋体" w:cs="宋体"/>
                <w:color w:val="000000"/>
                <w:kern w:val="2"/>
                <w:sz w:val="21"/>
                <w:szCs w:val="21"/>
                <w:highlight w:val="none"/>
                <w:lang w:val="zh-CN"/>
              </w:rPr>
              <w:t>广东省韶关市乐昌市坪石镇</w:t>
            </w:r>
            <w:r>
              <w:rPr>
                <w:rFonts w:hint="eastAsia" w:ascii="宋体" w:hAnsi="宋体" w:eastAsia="宋体" w:cs="宋体"/>
                <w:color w:val="000000"/>
                <w:kern w:val="2"/>
                <w:sz w:val="21"/>
                <w:szCs w:val="21"/>
                <w:highlight w:val="none"/>
                <w:lang w:val="en-US"/>
              </w:rPr>
              <w:t>永安路1号</w:t>
            </w:r>
            <w:r>
              <w:rPr>
                <w:rFonts w:hint="eastAsia" w:ascii="宋体" w:hAnsi="宋体" w:eastAsia="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zh-CN"/>
              </w:rPr>
              <w:t>广东省韶关市乐昌市廊田镇府前路</w:t>
            </w:r>
            <w:r>
              <w:rPr>
                <w:rFonts w:hint="eastAsia" w:ascii="宋体" w:hAnsi="宋体" w:eastAsia="宋体" w:cs="宋体"/>
                <w:color w:val="000000"/>
                <w:kern w:val="2"/>
                <w:sz w:val="21"/>
                <w:szCs w:val="21"/>
                <w:highlight w:val="none"/>
                <w:lang w:val="en-US" w:eastAsia="zh-CN"/>
              </w:rPr>
              <w:t>3号</w:t>
            </w:r>
          </w:p>
        </w:tc>
      </w:tr>
    </w:tbl>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采购人提供供应商使用的场地、设施、设备、材料：</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（1）采购人可提供物业使用办公室，办公室内提供办公桌椅</w:t>
      </w:r>
      <w:r>
        <w:rPr>
          <w:rFonts w:hint="eastAsia" w:ascii="宋体" w:hAnsi="宋体" w:eastAsia="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zh-CN"/>
        </w:rPr>
        <w:t>电脑。提供值班室</w:t>
      </w:r>
      <w:r>
        <w:rPr>
          <w:rFonts w:hint="eastAsia" w:ascii="宋体" w:hAnsi="宋体" w:eastAsia="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zh-CN"/>
        </w:rPr>
        <w:t>办公桌椅</w:t>
      </w:r>
      <w:r>
        <w:rPr>
          <w:rFonts w:hint="eastAsia" w:ascii="宋体" w:hAnsi="宋体" w:eastAsia="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zh-CN"/>
        </w:rPr>
        <w:t>电脑。</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（2）采购人可提供食堂，餐费由供应商自理</w:t>
      </w:r>
      <w:r>
        <w:rPr>
          <w:rFonts w:hint="eastAsia" w:ascii="宋体" w:hAnsi="宋体" w:eastAsia="宋体" w:cs="宋体"/>
          <w:color w:val="000000"/>
          <w:kern w:val="2"/>
          <w:sz w:val="21"/>
          <w:szCs w:val="21"/>
          <w:highlight w:val="none"/>
          <w:lang w:val="en-US" w:eastAsia="zh-CN"/>
        </w:rPr>
        <w:t>。</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2.物业服务范围</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【国家税务总局乐昌市税务局行政楼】</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（1）物业管理（建筑物）</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577"/>
        <w:gridCol w:w="320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80" w:type="pct"/>
            <w:gridSpan w:val="2"/>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名称</w:t>
            </w:r>
          </w:p>
        </w:tc>
        <w:tc>
          <w:tcPr>
            <w:tcW w:w="1880" w:type="pct"/>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明细</w:t>
            </w:r>
          </w:p>
        </w:tc>
        <w:tc>
          <w:tcPr>
            <w:tcW w:w="1439" w:type="pct"/>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80" w:type="pct"/>
            <w:gridSpan w:val="2"/>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建筑1名称</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国家税务总局乐昌市税务局行政楼</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总面积</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建筑面积（m²）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8434.59</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需保洁面积（m²）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8434.59</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门窗</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门窗总数量（个）及总面积（m²）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w:t>
            </w:r>
            <w:r>
              <w:rPr>
                <w:rFonts w:hint="eastAsia" w:ascii="宋体" w:hAnsi="宋体" w:eastAsia="宋体" w:cs="宋体"/>
                <w:color w:val="000000"/>
                <w:kern w:val="2"/>
                <w:sz w:val="21"/>
                <w:szCs w:val="21"/>
                <w:highlight w:val="none"/>
                <w:lang w:val="en-US" w:eastAsia="zh-CN"/>
              </w:rPr>
              <w:t>169</w:t>
            </w:r>
            <w:r>
              <w:rPr>
                <w:rFonts w:hint="eastAsia" w:ascii="宋体" w:hAnsi="宋体" w:eastAsia="宋体" w:cs="宋体"/>
                <w:color w:val="000000"/>
                <w:kern w:val="2"/>
                <w:sz w:val="21"/>
                <w:szCs w:val="21"/>
                <w:highlight w:val="none"/>
                <w:lang w:val="zh-CN"/>
              </w:rPr>
              <w:t>个；窗</w:t>
            </w:r>
            <w:r>
              <w:rPr>
                <w:rFonts w:hint="eastAsia" w:ascii="宋体" w:hAnsi="宋体" w:eastAsia="宋体" w:cs="宋体"/>
                <w:color w:val="000000"/>
                <w:kern w:val="2"/>
                <w:sz w:val="21"/>
                <w:szCs w:val="21"/>
                <w:highlight w:val="none"/>
                <w:lang w:val="en-US" w:eastAsia="zh-CN"/>
              </w:rPr>
              <w:t>251个，1336</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地面各材质及总面积（m²）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瓷砖地面总面积</w:t>
            </w:r>
            <w:r>
              <w:rPr>
                <w:rFonts w:hint="eastAsia" w:ascii="宋体" w:hAnsi="宋体" w:eastAsia="宋体" w:cs="宋体"/>
                <w:color w:val="000000"/>
                <w:kern w:val="2"/>
                <w:sz w:val="21"/>
                <w:szCs w:val="21"/>
                <w:highlight w:val="none"/>
                <w:lang w:val="en-US" w:eastAsia="zh-CN"/>
              </w:rPr>
              <w:t>10594</w:t>
            </w:r>
            <w:r>
              <w:rPr>
                <w:rFonts w:hint="eastAsia" w:ascii="宋体" w:hAnsi="宋体" w:eastAsia="宋体" w:cs="宋体"/>
                <w:color w:val="000000"/>
                <w:kern w:val="2"/>
                <w:sz w:val="21"/>
                <w:szCs w:val="21"/>
                <w:highlight w:val="none"/>
                <w:lang w:val="zh-CN"/>
              </w:rPr>
              <w:t>m²、石材地面总面积</w:t>
            </w:r>
            <w:r>
              <w:rPr>
                <w:rFonts w:hint="eastAsia" w:ascii="宋体" w:hAnsi="宋体" w:eastAsia="宋体" w:cs="宋体"/>
                <w:color w:val="000000"/>
                <w:kern w:val="2"/>
                <w:sz w:val="21"/>
                <w:szCs w:val="21"/>
                <w:highlight w:val="none"/>
                <w:lang w:val="en-US" w:eastAsia="zh-CN"/>
              </w:rPr>
              <w:t>486</w:t>
            </w:r>
            <w:r>
              <w:rPr>
                <w:rFonts w:hint="eastAsia" w:ascii="宋体" w:hAnsi="宋体" w:eastAsia="宋体" w:cs="宋体"/>
                <w:color w:val="000000"/>
                <w:kern w:val="2"/>
                <w:sz w:val="21"/>
                <w:szCs w:val="21"/>
                <w:highlight w:val="none"/>
                <w:lang w:val="zh-CN"/>
              </w:rPr>
              <w:t>m²、地胶板地面总面积</w:t>
            </w:r>
            <w:r>
              <w:rPr>
                <w:rFonts w:hint="eastAsia" w:ascii="宋体" w:hAnsi="宋体" w:eastAsia="宋体" w:cs="宋体"/>
                <w:color w:val="000000"/>
                <w:kern w:val="2"/>
                <w:sz w:val="21"/>
                <w:szCs w:val="21"/>
                <w:highlight w:val="none"/>
                <w:lang w:val="en-US" w:eastAsia="zh-CN"/>
              </w:rPr>
              <w:t>216</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内墙饰面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内墙饰面各材质及总面积（m²）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乳胶漆内墙总面积</w:t>
            </w:r>
            <w:r>
              <w:rPr>
                <w:rFonts w:hint="eastAsia" w:ascii="宋体" w:hAnsi="宋体" w:eastAsia="宋体" w:cs="宋体"/>
                <w:color w:val="000000"/>
                <w:kern w:val="2"/>
                <w:sz w:val="21"/>
                <w:szCs w:val="21"/>
                <w:highlight w:val="none"/>
                <w:lang w:val="en-US" w:eastAsia="zh-CN"/>
              </w:rPr>
              <w:t>4988</w:t>
            </w:r>
            <w:r>
              <w:rPr>
                <w:rFonts w:hint="eastAsia" w:ascii="宋体" w:hAnsi="宋体" w:eastAsia="宋体" w:cs="宋体"/>
                <w:color w:val="000000"/>
                <w:kern w:val="2"/>
                <w:sz w:val="21"/>
                <w:szCs w:val="21"/>
                <w:highlight w:val="none"/>
                <w:lang w:val="zh-CN"/>
              </w:rPr>
              <w:t>m²、石材内墙总面积0m²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顶面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顶面各材质及总面积（m²）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乳胶漆总面积</w:t>
            </w:r>
            <w:r>
              <w:rPr>
                <w:rFonts w:hint="eastAsia" w:ascii="宋体" w:hAnsi="宋体" w:eastAsia="宋体" w:cs="宋体"/>
                <w:color w:val="000000"/>
                <w:kern w:val="2"/>
                <w:sz w:val="21"/>
                <w:szCs w:val="21"/>
                <w:highlight w:val="none"/>
                <w:lang w:val="en-US" w:eastAsia="zh-CN"/>
              </w:rPr>
              <w:t>2016</w:t>
            </w:r>
            <w:r>
              <w:rPr>
                <w:rFonts w:hint="eastAsia" w:ascii="宋体" w:hAnsi="宋体" w:eastAsia="宋体" w:cs="宋体"/>
                <w:color w:val="000000"/>
                <w:kern w:val="2"/>
                <w:sz w:val="21"/>
                <w:szCs w:val="21"/>
                <w:highlight w:val="none"/>
                <w:lang w:val="zh-CN"/>
              </w:rPr>
              <w:t>m²、铝板总面积</w:t>
            </w:r>
            <w:r>
              <w:rPr>
                <w:rFonts w:hint="eastAsia" w:ascii="宋体" w:hAnsi="宋体" w:eastAsia="宋体" w:cs="宋体"/>
                <w:color w:val="000000"/>
                <w:kern w:val="2"/>
                <w:sz w:val="21"/>
                <w:szCs w:val="21"/>
                <w:highlight w:val="none"/>
                <w:lang w:val="en-US" w:eastAsia="zh-CN"/>
              </w:rPr>
              <w:t>7380</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会议室</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室内设施说明</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会议桌</w:t>
            </w:r>
            <w:r>
              <w:rPr>
                <w:rFonts w:hint="eastAsia" w:ascii="宋体" w:hAnsi="宋体" w:eastAsia="宋体" w:cs="宋体"/>
                <w:color w:val="000000"/>
                <w:kern w:val="2"/>
                <w:sz w:val="21"/>
                <w:szCs w:val="21"/>
                <w:highlight w:val="none"/>
                <w:lang w:val="en-US" w:eastAsia="zh-CN"/>
              </w:rPr>
              <w:t>78</w:t>
            </w:r>
            <w:r>
              <w:rPr>
                <w:rFonts w:hint="eastAsia" w:ascii="宋体" w:hAnsi="宋体" w:eastAsia="宋体" w:cs="宋体"/>
                <w:color w:val="000000"/>
                <w:kern w:val="2"/>
                <w:sz w:val="21"/>
                <w:szCs w:val="21"/>
                <w:highlight w:val="none"/>
                <w:lang w:val="zh-CN"/>
              </w:rPr>
              <w:t>张、会议椅</w:t>
            </w:r>
            <w:r>
              <w:rPr>
                <w:rFonts w:hint="eastAsia" w:ascii="宋体" w:hAnsi="宋体" w:eastAsia="宋体" w:cs="宋体"/>
                <w:color w:val="000000"/>
                <w:kern w:val="2"/>
                <w:sz w:val="21"/>
                <w:szCs w:val="21"/>
                <w:highlight w:val="none"/>
                <w:lang w:val="en-US" w:eastAsia="zh-CN"/>
              </w:rPr>
              <w:t>184</w:t>
            </w:r>
            <w:r>
              <w:rPr>
                <w:rFonts w:hint="eastAsia" w:ascii="宋体" w:hAnsi="宋体" w:eastAsia="宋体" w:cs="宋体"/>
                <w:color w:val="000000"/>
                <w:kern w:val="2"/>
                <w:sz w:val="21"/>
                <w:szCs w:val="21"/>
                <w:highlight w:val="none"/>
                <w:lang w:val="zh-CN"/>
              </w:rPr>
              <w:t>张、话筒</w:t>
            </w:r>
            <w:r>
              <w:rPr>
                <w:rFonts w:hint="eastAsia" w:ascii="宋体" w:hAnsi="宋体" w:eastAsia="宋体" w:cs="宋体"/>
                <w:color w:val="000000"/>
                <w:kern w:val="2"/>
                <w:sz w:val="21"/>
                <w:szCs w:val="21"/>
                <w:highlight w:val="none"/>
                <w:lang w:val="en-US" w:eastAsia="zh-CN"/>
              </w:rPr>
              <w:t>15</w:t>
            </w:r>
            <w:r>
              <w:rPr>
                <w:rFonts w:hint="eastAsia" w:ascii="宋体" w:hAnsi="宋体" w:eastAsia="宋体" w:cs="宋体"/>
                <w:color w:val="000000"/>
                <w:kern w:val="2"/>
                <w:sz w:val="21"/>
                <w:szCs w:val="21"/>
                <w:highlight w:val="none"/>
                <w:lang w:val="zh-CN"/>
              </w:rPr>
              <w:t>个、投影仪</w:t>
            </w:r>
            <w:r>
              <w:rPr>
                <w:rFonts w:hint="eastAsia"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zh-CN"/>
              </w:rPr>
              <w:t>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“3.6会议服务”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会议室数量（个）及总面积（m²）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3</w:t>
            </w:r>
            <w:r>
              <w:rPr>
                <w:rFonts w:hint="eastAsia" w:ascii="宋体" w:hAnsi="宋体" w:eastAsia="宋体" w:cs="宋体"/>
                <w:color w:val="000000"/>
                <w:kern w:val="2"/>
                <w:sz w:val="21"/>
                <w:szCs w:val="21"/>
                <w:highlight w:val="none"/>
                <w:lang w:val="zh-CN"/>
              </w:rPr>
              <w:t>个，</w:t>
            </w:r>
            <w:r>
              <w:rPr>
                <w:rFonts w:hint="eastAsia" w:ascii="宋体" w:hAnsi="宋体" w:eastAsia="宋体" w:cs="宋体"/>
                <w:color w:val="000000"/>
                <w:kern w:val="2"/>
                <w:sz w:val="21"/>
                <w:szCs w:val="21"/>
                <w:highlight w:val="none"/>
                <w:lang w:val="en-US" w:eastAsia="zh-CN"/>
              </w:rPr>
              <w:t>570</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“3.6会议服务”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卫生间</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卫生间数量（个）及总面积（m²）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w:t>
            </w:r>
            <w:r>
              <w:rPr>
                <w:rFonts w:hint="eastAsia" w:ascii="宋体" w:hAnsi="宋体" w:eastAsia="宋体" w:cs="宋体"/>
                <w:color w:val="000000"/>
                <w:kern w:val="2"/>
                <w:sz w:val="21"/>
                <w:szCs w:val="21"/>
                <w:highlight w:val="none"/>
                <w:lang w:val="en-US" w:eastAsia="zh-CN"/>
              </w:rPr>
              <w:t>300</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垃圾存放点</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各垃圾存放点位置、面积（m²）及数量（个）</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无垃圾存放点</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车位数</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地下车位数</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个（其中充电桩车位0个）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地面车位数</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76</w:t>
            </w:r>
            <w:r>
              <w:rPr>
                <w:rFonts w:hint="eastAsia" w:ascii="宋体" w:hAnsi="宋体" w:eastAsia="宋体" w:cs="宋体"/>
                <w:color w:val="000000"/>
                <w:kern w:val="2"/>
                <w:sz w:val="21"/>
                <w:szCs w:val="21"/>
                <w:highlight w:val="none"/>
                <w:lang w:val="zh-CN"/>
              </w:rPr>
              <w:t>个（其中充电桩车位0个）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车行/人行口</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车行口</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人行口</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设施设备（可另行附表）</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电梯系统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客梯</w:t>
            </w:r>
            <w:r>
              <w:rPr>
                <w:rFonts w:hint="eastAsia"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zh-CN"/>
              </w:rPr>
              <w:t>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给排水系统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潜水泵、排水设备</w:t>
            </w:r>
            <w:r>
              <w:rPr>
                <w:rFonts w:hint="eastAsia"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zh-CN"/>
              </w:rPr>
              <w:t>台</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消防系统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总控消防、消防设备</w:t>
            </w:r>
            <w:r>
              <w:rPr>
                <w:rFonts w:hint="eastAsia"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zh-CN"/>
              </w:rPr>
              <w:t>套</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安防系统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监控安防系统、1套</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照明系统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感应照明系统、1套</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供配电系统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高压箱1个、低压箱1个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“3.5 保安服务”</w:t>
            </w:r>
          </w:p>
        </w:tc>
      </w:tr>
    </w:tbl>
    <w:p>
      <w:pPr>
        <w:pStyle w:val="124"/>
        <w:snapToGrid w:val="0"/>
        <w:spacing w:line="360" w:lineRule="auto"/>
        <w:ind w:firstLine="422" w:firstLineChars="200"/>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（2）物业管理（室外）</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3346"/>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名称</w:t>
            </w:r>
          </w:p>
        </w:tc>
        <w:tc>
          <w:tcPr>
            <w:tcW w:w="1965"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明细</w:t>
            </w:r>
          </w:p>
        </w:tc>
        <w:tc>
          <w:tcPr>
            <w:tcW w:w="1449"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室外面积</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13000</w:t>
            </w:r>
            <w:r>
              <w:rPr>
                <w:rFonts w:hint="eastAsia" w:ascii="宋体" w:hAnsi="宋体" w:eastAsia="宋体" w:cs="宋体"/>
                <w:color w:val="000000"/>
                <w:kern w:val="2"/>
                <w:sz w:val="21"/>
                <w:szCs w:val="21"/>
                <w:highlight w:val="none"/>
                <w:lang w:val="zh-CN"/>
              </w:rPr>
              <w:t>m²</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绿化</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9521</w:t>
            </w:r>
            <w:r>
              <w:rPr>
                <w:rFonts w:hint="eastAsia" w:ascii="宋体" w:hAnsi="宋体" w:eastAsia="宋体" w:cs="宋体"/>
                <w:color w:val="000000"/>
                <w:kern w:val="2"/>
                <w:sz w:val="21"/>
                <w:szCs w:val="21"/>
                <w:highlight w:val="none"/>
                <w:lang w:val="zh-CN"/>
              </w:rPr>
              <w:t>m²</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“3.4绿化服务”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广场</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2600</w:t>
            </w:r>
            <w:r>
              <w:rPr>
                <w:rFonts w:hint="eastAsia" w:ascii="宋体" w:hAnsi="宋体" w:eastAsia="宋体" w:cs="宋体"/>
                <w:color w:val="000000"/>
                <w:kern w:val="2"/>
                <w:sz w:val="21"/>
                <w:szCs w:val="21"/>
                <w:highlight w:val="none"/>
                <w:lang w:val="zh-CN"/>
              </w:rPr>
              <w:t>m²</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路灯、草坪灯、音箱</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52</w:t>
            </w:r>
            <w:r>
              <w:rPr>
                <w:rFonts w:hint="eastAsia" w:ascii="宋体" w:hAnsi="宋体" w:eastAsia="宋体" w:cs="宋体"/>
                <w:color w:val="000000"/>
                <w:kern w:val="2"/>
                <w:sz w:val="21"/>
                <w:szCs w:val="21"/>
                <w:highlight w:val="none"/>
                <w:lang w:val="zh-CN"/>
              </w:rPr>
              <w:t>个路灯</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消防栓</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垃圾箱</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30</w:t>
            </w:r>
            <w:r>
              <w:rPr>
                <w:rFonts w:hint="eastAsia" w:ascii="宋体" w:hAnsi="宋体" w:eastAsia="宋体" w:cs="宋体"/>
                <w:color w:val="000000"/>
                <w:kern w:val="2"/>
                <w:sz w:val="21"/>
                <w:szCs w:val="21"/>
                <w:highlight w:val="none"/>
                <w:lang w:val="zh-CN"/>
              </w:rPr>
              <w:t>个</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室外配电箱</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门前三包</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m²</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露台</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13</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监控</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58</w:t>
            </w:r>
            <w:r>
              <w:rPr>
                <w:rFonts w:hint="eastAsia" w:ascii="宋体" w:hAnsi="宋体" w:eastAsia="宋体" w:cs="宋体"/>
                <w:color w:val="000000"/>
                <w:kern w:val="2"/>
                <w:sz w:val="21"/>
                <w:szCs w:val="21"/>
                <w:highlight w:val="none"/>
                <w:lang w:val="zh-CN"/>
              </w:rPr>
              <w:t>个</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指示牌、显示屏</w:t>
            </w:r>
          </w:p>
        </w:tc>
        <w:tc>
          <w:tcPr>
            <w:tcW w:w="19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指示牌</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个、显示屏</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4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bl>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【国家税务总局乐昌市税务局业务楼】</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（1）物业管理（建筑物）</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577"/>
        <w:gridCol w:w="3355"/>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80" w:type="pct"/>
            <w:gridSpan w:val="2"/>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名称</w:t>
            </w:r>
          </w:p>
        </w:tc>
        <w:tc>
          <w:tcPr>
            <w:tcW w:w="1970"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明细</w:t>
            </w:r>
          </w:p>
        </w:tc>
        <w:tc>
          <w:tcPr>
            <w:tcW w:w="1349"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80" w:type="pct"/>
            <w:gridSpan w:val="2"/>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建筑2名称</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国家税务总局乐昌市税务局公主下路</w:t>
            </w:r>
            <w:r>
              <w:rPr>
                <w:rFonts w:hint="eastAsia" w:ascii="宋体" w:hAnsi="宋体" w:eastAsia="宋体" w:cs="宋体"/>
                <w:color w:val="000000"/>
                <w:kern w:val="2"/>
                <w:sz w:val="21"/>
                <w:szCs w:val="21"/>
                <w:highlight w:val="none"/>
                <w:lang w:val="zh-CN" w:eastAsia="zh-CN"/>
              </w:rPr>
              <w:t>办公区（</w:t>
            </w:r>
            <w:r>
              <w:rPr>
                <w:rFonts w:hint="eastAsia" w:ascii="宋体" w:hAnsi="宋体" w:eastAsia="宋体" w:cs="宋体"/>
                <w:color w:val="000000"/>
                <w:kern w:val="2"/>
                <w:sz w:val="21"/>
                <w:szCs w:val="21"/>
                <w:highlight w:val="none"/>
                <w:lang w:val="zh-CN"/>
              </w:rPr>
              <w:t>广东省韶关市乐昌市乐城街道公主下路</w:t>
            </w:r>
            <w:r>
              <w:rPr>
                <w:rFonts w:hint="eastAsia" w:ascii="宋体" w:hAnsi="宋体" w:eastAsia="宋体" w:cs="宋体"/>
                <w:color w:val="000000"/>
                <w:kern w:val="2"/>
                <w:sz w:val="21"/>
                <w:szCs w:val="21"/>
                <w:highlight w:val="none"/>
                <w:lang w:val="en-US" w:eastAsia="zh-CN"/>
              </w:rPr>
              <w:t>68号</w:t>
            </w:r>
            <w:r>
              <w:rPr>
                <w:rFonts w:hint="eastAsia" w:ascii="宋体" w:hAnsi="宋体" w:eastAsia="宋体" w:cs="宋体"/>
                <w:color w:val="000000"/>
                <w:kern w:val="2"/>
                <w:sz w:val="21"/>
                <w:szCs w:val="21"/>
                <w:highlight w:val="none"/>
                <w:lang w:val="zh-CN" w:eastAsia="zh-CN"/>
              </w:rPr>
              <w:t>）</w:t>
            </w:r>
          </w:p>
        </w:tc>
        <w:tc>
          <w:tcPr>
            <w:tcW w:w="1349" w:type="pct"/>
          </w:tcPr>
          <w:p>
            <w:pPr>
              <w:pStyle w:val="124"/>
              <w:snapToGrid w:val="0"/>
              <w:spacing w:line="360" w:lineRule="auto"/>
              <w:rPr>
                <w:rFonts w:hint="eastAsia" w:ascii="宋体" w:hAnsi="宋体" w:eastAsia="宋体" w:cs="宋体"/>
                <w:color w:val="000000"/>
                <w:kern w:val="2"/>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总面积</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建筑面积（m²）</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5705.24</w:t>
            </w:r>
            <w:r>
              <w:rPr>
                <w:rFonts w:hint="eastAsia" w:ascii="宋体" w:hAnsi="宋体" w:eastAsia="宋体" w:cs="宋体"/>
                <w:color w:val="000000"/>
                <w:kern w:val="2"/>
                <w:sz w:val="21"/>
                <w:szCs w:val="21"/>
                <w:highlight w:val="none"/>
                <w:lang w:val="zh-CN"/>
              </w:rPr>
              <w:t>㎡</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需保洁面积（m²）</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5705.24</w:t>
            </w:r>
            <w:r>
              <w:rPr>
                <w:rFonts w:hint="eastAsia" w:ascii="宋体" w:hAnsi="宋体" w:eastAsia="宋体" w:cs="宋体"/>
                <w:color w:val="000000"/>
                <w:kern w:val="2"/>
                <w:sz w:val="21"/>
                <w:szCs w:val="21"/>
                <w:highlight w:val="none"/>
                <w:lang w:val="zh-CN"/>
              </w:rPr>
              <w:t>㎡</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门窗</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门窗总数量（个）及总面积（m²）</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140</w:t>
            </w:r>
            <w:r>
              <w:rPr>
                <w:rFonts w:hint="eastAsia" w:ascii="宋体" w:hAnsi="宋体" w:eastAsia="宋体" w:cs="宋体"/>
                <w:color w:val="000000"/>
                <w:kern w:val="2"/>
                <w:sz w:val="21"/>
                <w:szCs w:val="21"/>
                <w:highlight w:val="none"/>
                <w:lang w:val="zh-CN"/>
              </w:rPr>
              <w:t>个门，窗</w:t>
            </w:r>
            <w:r>
              <w:rPr>
                <w:rFonts w:hint="eastAsia" w:ascii="宋体" w:hAnsi="宋体" w:eastAsia="宋体" w:cs="宋体"/>
                <w:color w:val="000000"/>
                <w:kern w:val="2"/>
                <w:sz w:val="21"/>
                <w:szCs w:val="21"/>
                <w:highlight w:val="none"/>
                <w:lang w:val="en-US" w:eastAsia="zh-CN"/>
              </w:rPr>
              <w:t>305个，1353</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地面各材质及总面积（m²）</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zh-CN"/>
              </w:rPr>
              <w:t>瓷砖地面总面积</w:t>
            </w:r>
            <w:r>
              <w:rPr>
                <w:rFonts w:hint="eastAsia" w:ascii="宋体" w:hAnsi="宋体" w:eastAsia="宋体" w:cs="宋体"/>
                <w:color w:val="000000"/>
                <w:kern w:val="2"/>
                <w:sz w:val="21"/>
                <w:szCs w:val="21"/>
                <w:highlight w:val="none"/>
                <w:lang w:val="en-US" w:eastAsia="zh-CN"/>
              </w:rPr>
              <w:t>8280</w:t>
            </w:r>
            <w:r>
              <w:rPr>
                <w:rFonts w:hint="eastAsia" w:ascii="宋体" w:hAnsi="宋体" w:eastAsia="宋体" w:cs="宋体"/>
                <w:color w:val="000000"/>
                <w:kern w:val="2"/>
                <w:sz w:val="21"/>
                <w:szCs w:val="21"/>
                <w:highlight w:val="none"/>
                <w:lang w:val="zh-CN"/>
              </w:rPr>
              <w:t>m²，石材地面总面积</w:t>
            </w:r>
            <w:r>
              <w:rPr>
                <w:rFonts w:hint="eastAsia" w:ascii="宋体" w:hAnsi="宋体" w:eastAsia="宋体" w:cs="宋体"/>
                <w:color w:val="000000"/>
                <w:kern w:val="2"/>
                <w:sz w:val="21"/>
                <w:szCs w:val="21"/>
                <w:highlight w:val="none"/>
                <w:lang w:val="en-US" w:eastAsia="zh-CN"/>
              </w:rPr>
              <w:t>1640</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内墙饰面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内墙饰面各材质及总面积（m²）</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乳胶漆内墙总面积</w:t>
            </w:r>
            <w:r>
              <w:rPr>
                <w:rFonts w:hint="eastAsia" w:ascii="宋体" w:hAnsi="宋体" w:eastAsia="宋体" w:cs="宋体"/>
                <w:color w:val="000000"/>
                <w:kern w:val="2"/>
                <w:sz w:val="21"/>
                <w:szCs w:val="21"/>
                <w:highlight w:val="none"/>
                <w:lang w:val="en-US" w:eastAsia="zh-CN"/>
              </w:rPr>
              <w:t>41400</w:t>
            </w:r>
            <w:r>
              <w:rPr>
                <w:rFonts w:hint="eastAsia" w:ascii="宋体" w:hAnsi="宋体" w:eastAsia="宋体" w:cs="宋体"/>
                <w:color w:val="000000"/>
                <w:kern w:val="2"/>
                <w:sz w:val="21"/>
                <w:szCs w:val="21"/>
                <w:highlight w:val="none"/>
                <w:lang w:val="zh-CN"/>
              </w:rPr>
              <w:t>m²、石材内墙总面积</w:t>
            </w:r>
            <w:r>
              <w:rPr>
                <w:rFonts w:hint="eastAsia" w:ascii="宋体" w:hAnsi="宋体" w:eastAsia="宋体" w:cs="宋体"/>
                <w:color w:val="000000"/>
                <w:kern w:val="2"/>
                <w:sz w:val="21"/>
                <w:szCs w:val="21"/>
                <w:highlight w:val="none"/>
                <w:lang w:val="en-US" w:eastAsia="zh-CN"/>
              </w:rPr>
              <w:t>5286</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顶面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顶面各材质及总面积（m²）</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乳胶漆总面积</w:t>
            </w:r>
            <w:r>
              <w:rPr>
                <w:rFonts w:hint="eastAsia" w:ascii="宋体" w:hAnsi="宋体" w:eastAsia="宋体" w:cs="宋体"/>
                <w:color w:val="000000"/>
                <w:kern w:val="2"/>
                <w:sz w:val="21"/>
                <w:szCs w:val="21"/>
                <w:highlight w:val="none"/>
                <w:lang w:val="en-US" w:eastAsia="zh-CN"/>
              </w:rPr>
              <w:t>2880</w:t>
            </w:r>
            <w:r>
              <w:rPr>
                <w:rFonts w:hint="eastAsia" w:ascii="宋体" w:hAnsi="宋体" w:eastAsia="宋体" w:cs="宋体"/>
                <w:color w:val="000000"/>
                <w:kern w:val="2"/>
                <w:sz w:val="21"/>
                <w:szCs w:val="21"/>
                <w:highlight w:val="none"/>
                <w:lang w:val="zh-CN"/>
              </w:rPr>
              <w:t>m²、铝板总面积5</w:t>
            </w:r>
            <w:r>
              <w:rPr>
                <w:rFonts w:hint="eastAsia" w:ascii="宋体" w:hAnsi="宋体" w:eastAsia="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zh-CN"/>
              </w:rPr>
              <w:t>00m²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会议室</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室内设施说明</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会议桌</w:t>
            </w:r>
            <w:r>
              <w:rPr>
                <w:rFonts w:hint="eastAsia" w:ascii="宋体" w:hAnsi="宋体" w:eastAsia="宋体" w:cs="宋体"/>
                <w:color w:val="000000"/>
                <w:kern w:val="2"/>
                <w:sz w:val="21"/>
                <w:szCs w:val="21"/>
                <w:highlight w:val="none"/>
                <w:lang w:val="en-US" w:eastAsia="zh-CN"/>
              </w:rPr>
              <w:t>76</w:t>
            </w:r>
            <w:r>
              <w:rPr>
                <w:rFonts w:hint="eastAsia" w:ascii="宋体" w:hAnsi="宋体" w:eastAsia="宋体" w:cs="宋体"/>
                <w:color w:val="000000"/>
                <w:kern w:val="2"/>
                <w:sz w:val="21"/>
                <w:szCs w:val="21"/>
                <w:highlight w:val="none"/>
                <w:lang w:val="zh-CN"/>
              </w:rPr>
              <w:t>张、会议椅</w:t>
            </w:r>
            <w:r>
              <w:rPr>
                <w:rFonts w:hint="eastAsia" w:ascii="宋体" w:hAnsi="宋体" w:eastAsia="宋体" w:cs="宋体"/>
                <w:color w:val="000000"/>
                <w:kern w:val="2"/>
                <w:sz w:val="21"/>
                <w:szCs w:val="21"/>
                <w:highlight w:val="none"/>
                <w:lang w:val="en-US" w:eastAsia="zh-CN"/>
              </w:rPr>
              <w:t>174</w:t>
            </w:r>
            <w:r>
              <w:rPr>
                <w:rFonts w:hint="eastAsia" w:ascii="宋体" w:hAnsi="宋体" w:eastAsia="宋体" w:cs="宋体"/>
                <w:color w:val="000000"/>
                <w:kern w:val="2"/>
                <w:sz w:val="21"/>
                <w:szCs w:val="21"/>
                <w:highlight w:val="none"/>
                <w:lang w:val="zh-CN"/>
              </w:rPr>
              <w:t>张、话筒</w:t>
            </w:r>
            <w:r>
              <w:rPr>
                <w:rFonts w:hint="eastAsia" w:ascii="宋体" w:hAnsi="宋体" w:eastAsia="宋体" w:cs="宋体"/>
                <w:color w:val="000000"/>
                <w:kern w:val="2"/>
                <w:sz w:val="21"/>
                <w:szCs w:val="21"/>
                <w:highlight w:val="none"/>
                <w:lang w:val="en-US" w:eastAsia="zh-CN"/>
              </w:rPr>
              <w:t>10</w:t>
            </w:r>
            <w:r>
              <w:rPr>
                <w:rFonts w:hint="eastAsia" w:ascii="宋体" w:hAnsi="宋体" w:eastAsia="宋体" w:cs="宋体"/>
                <w:color w:val="000000"/>
                <w:kern w:val="2"/>
                <w:sz w:val="21"/>
                <w:szCs w:val="21"/>
                <w:highlight w:val="none"/>
                <w:lang w:val="zh-CN"/>
              </w:rPr>
              <w:t>个、投影仪</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“3.6会议服务”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会议室数量（个）及总面积（m²）</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zh-CN"/>
              </w:rPr>
              <w:t>个，</w:t>
            </w:r>
            <w:r>
              <w:rPr>
                <w:rFonts w:hint="eastAsia" w:ascii="宋体" w:hAnsi="宋体" w:eastAsia="宋体" w:cs="宋体"/>
                <w:color w:val="000000"/>
                <w:kern w:val="2"/>
                <w:sz w:val="21"/>
                <w:szCs w:val="21"/>
                <w:highlight w:val="none"/>
                <w:lang w:val="en-US" w:eastAsia="zh-CN"/>
              </w:rPr>
              <w:t>630</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“3.6会议服务”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卫生间</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卫生间数量（个）及总面积（m²）</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20</w:t>
            </w:r>
            <w:r>
              <w:rPr>
                <w:rFonts w:hint="eastAsia" w:ascii="宋体" w:hAnsi="宋体" w:eastAsia="宋体" w:cs="宋体"/>
                <w:color w:val="000000"/>
                <w:kern w:val="2"/>
                <w:sz w:val="21"/>
                <w:szCs w:val="21"/>
                <w:highlight w:val="none"/>
                <w:lang w:val="zh-CN"/>
              </w:rPr>
              <w:t>个，</w:t>
            </w:r>
            <w:r>
              <w:rPr>
                <w:rFonts w:hint="eastAsia" w:ascii="宋体" w:hAnsi="宋体" w:eastAsia="宋体" w:cs="宋体"/>
                <w:color w:val="000000"/>
                <w:kern w:val="2"/>
                <w:sz w:val="21"/>
                <w:szCs w:val="21"/>
                <w:highlight w:val="none"/>
                <w:lang w:val="en-US" w:eastAsia="zh-CN"/>
              </w:rPr>
              <w:t>212</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垃圾存放点</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各垃圾存放点位置、面积（m²）及数量（个）</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垃圾存放点1个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车位数</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地下车位数</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0个（其中充电桩车位0个）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地面车位数</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32</w:t>
            </w:r>
            <w:r>
              <w:rPr>
                <w:rFonts w:hint="eastAsia" w:ascii="宋体" w:hAnsi="宋体" w:eastAsia="宋体" w:cs="宋体"/>
                <w:color w:val="000000"/>
                <w:kern w:val="2"/>
                <w:sz w:val="21"/>
                <w:szCs w:val="21"/>
                <w:highlight w:val="none"/>
                <w:lang w:val="zh-CN"/>
              </w:rPr>
              <w:t>个（其中充电桩车位0个）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车行/人行口</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车行口</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人行口</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设施设备（可另行附表）</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电梯系统</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eastAsia="zh-CN"/>
              </w:rPr>
            </w:pPr>
            <w:r>
              <w:rPr>
                <w:rFonts w:hint="eastAsia" w:ascii="宋体" w:hAnsi="宋体" w:eastAsia="宋体" w:cs="宋体"/>
                <w:color w:val="000000"/>
                <w:kern w:val="2"/>
                <w:sz w:val="21"/>
                <w:szCs w:val="21"/>
                <w:highlight w:val="none"/>
                <w:lang w:val="zh-CN"/>
              </w:rPr>
              <w:t>客梯2个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消防系统</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eastAsia="zh-CN"/>
              </w:rPr>
            </w:pPr>
            <w:r>
              <w:rPr>
                <w:rFonts w:hint="eastAsia" w:ascii="宋体" w:hAnsi="宋体" w:eastAsia="宋体" w:cs="宋体"/>
                <w:color w:val="000000"/>
                <w:kern w:val="2"/>
                <w:sz w:val="21"/>
                <w:szCs w:val="21"/>
                <w:highlight w:val="none"/>
                <w:lang w:val="zh-CN"/>
              </w:rPr>
              <w:t>总控消防、消防设备1套</w:t>
            </w:r>
          </w:p>
        </w:tc>
        <w:tc>
          <w:tcPr>
            <w:tcW w:w="1349"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4" w:type="pct"/>
            <w:vMerge w:val="continue"/>
          </w:tcPr>
          <w:p>
            <w:pPr>
              <w:pStyle w:val="124"/>
              <w:snapToGrid w:val="0"/>
              <w:spacing w:line="360" w:lineRule="auto"/>
              <w:rPr>
                <w:rFonts w:hint="eastAsia" w:ascii="宋体" w:hAnsi="宋体" w:eastAsia="宋体" w:cs="宋体"/>
                <w:sz w:val="21"/>
                <w:szCs w:val="21"/>
                <w:highlight w:val="none"/>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给排水系统</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zh-CN"/>
              </w:rPr>
              <w:t>潜水泵、排水设备</w:t>
            </w:r>
            <w:r>
              <w:rPr>
                <w:rFonts w:hint="eastAsia" w:ascii="宋体" w:hAnsi="宋体" w:eastAsia="宋体" w:cs="宋体"/>
                <w:color w:val="000000"/>
                <w:kern w:val="2"/>
                <w:sz w:val="21"/>
                <w:szCs w:val="21"/>
                <w:highlight w:val="none"/>
                <w:lang w:val="en-US" w:eastAsia="zh-CN"/>
              </w:rPr>
              <w:t>4台</w:t>
            </w:r>
          </w:p>
        </w:tc>
        <w:tc>
          <w:tcPr>
            <w:tcW w:w="1349"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安防系统</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监控安防系统、1套</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照明系统</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感应照明系统、1套</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供配电系统</w:t>
            </w:r>
          </w:p>
        </w:tc>
        <w:tc>
          <w:tcPr>
            <w:tcW w:w="197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高压箱1个、低压箱1个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bl>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（2）物业管理（室外）</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9"/>
        <w:gridCol w:w="3517"/>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名称</w:t>
            </w:r>
          </w:p>
        </w:tc>
        <w:tc>
          <w:tcPr>
            <w:tcW w:w="2065"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明细</w:t>
            </w:r>
          </w:p>
        </w:tc>
        <w:tc>
          <w:tcPr>
            <w:tcW w:w="1349"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室外面积</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50</w:t>
            </w:r>
            <w:r>
              <w:rPr>
                <w:rFonts w:hint="eastAsia" w:ascii="宋体" w:hAnsi="宋体" w:eastAsia="宋体" w:cs="宋体"/>
                <w:color w:val="000000"/>
                <w:kern w:val="2"/>
                <w:sz w:val="21"/>
                <w:szCs w:val="21"/>
                <w:highlight w:val="none"/>
                <w:lang w:val="zh-CN"/>
              </w:rPr>
              <w:t>00m²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绿化</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3000</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“3.4绿化服务”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广场</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1000</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路灯、草坪灯、音箱</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12</w:t>
            </w:r>
            <w:r>
              <w:rPr>
                <w:rFonts w:hint="eastAsia" w:ascii="宋体" w:hAnsi="宋体" w:eastAsia="宋体" w:cs="宋体"/>
                <w:color w:val="000000"/>
                <w:kern w:val="2"/>
                <w:sz w:val="21"/>
                <w:szCs w:val="21"/>
                <w:highlight w:val="none"/>
                <w:lang w:val="zh-CN"/>
              </w:rPr>
              <w:t>个路灯</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消防栓</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3</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垃圾箱</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室外配电箱</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0个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门前三包</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0m²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露台</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0</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监控</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38</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指示牌、显示屏</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指示牌</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个、显示屏</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bl>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【国家税务总局乐昌市税务局业务楼】</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（1）物业管理（建筑物）</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577"/>
        <w:gridCol w:w="320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80" w:type="pct"/>
            <w:gridSpan w:val="2"/>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名称</w:t>
            </w:r>
          </w:p>
        </w:tc>
        <w:tc>
          <w:tcPr>
            <w:tcW w:w="1880"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明细</w:t>
            </w:r>
          </w:p>
        </w:tc>
        <w:tc>
          <w:tcPr>
            <w:tcW w:w="1439"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80" w:type="pct"/>
            <w:gridSpan w:val="2"/>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建筑</w:t>
            </w:r>
            <w:r>
              <w:rPr>
                <w:rFonts w:hint="eastAsia" w:ascii="宋体" w:hAnsi="宋体" w:eastAsia="宋体" w:cs="宋体"/>
                <w:color w:val="000000"/>
                <w:kern w:val="2"/>
                <w:sz w:val="21"/>
                <w:szCs w:val="21"/>
                <w:highlight w:val="none"/>
                <w:lang w:val="en-US" w:eastAsia="zh-CN"/>
              </w:rPr>
              <w:t>3</w:t>
            </w:r>
            <w:r>
              <w:rPr>
                <w:rFonts w:hint="eastAsia" w:ascii="宋体" w:hAnsi="宋体" w:eastAsia="宋体" w:cs="宋体"/>
                <w:color w:val="000000"/>
                <w:kern w:val="2"/>
                <w:sz w:val="21"/>
                <w:szCs w:val="21"/>
                <w:highlight w:val="none"/>
                <w:lang w:val="zh-CN"/>
              </w:rPr>
              <w:t>名称</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国家税务总局乐昌市税务局坪石分局（广东省韶关市乐昌市坪石镇</w:t>
            </w:r>
            <w:r>
              <w:rPr>
                <w:rFonts w:hint="eastAsia" w:ascii="宋体" w:hAnsi="宋体" w:eastAsia="宋体" w:cs="宋体"/>
                <w:color w:val="000000"/>
                <w:kern w:val="2"/>
                <w:sz w:val="21"/>
                <w:szCs w:val="21"/>
                <w:highlight w:val="none"/>
                <w:lang w:val="en-US"/>
              </w:rPr>
              <w:t>永安路1号</w:t>
            </w:r>
            <w:r>
              <w:rPr>
                <w:rFonts w:hint="eastAsia" w:ascii="宋体" w:hAnsi="宋体" w:eastAsia="宋体" w:cs="宋体"/>
                <w:color w:val="000000"/>
                <w:kern w:val="2"/>
                <w:sz w:val="21"/>
                <w:szCs w:val="21"/>
                <w:highlight w:val="none"/>
                <w:lang w:val="zh-CN"/>
              </w:rPr>
              <w:t>）</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总面积</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建筑面积（m²）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4264.5</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需保洁面积（m²）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4264.5</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门窗</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门窗总数量（个）及总面积（m²）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w:t>
            </w:r>
            <w:r>
              <w:rPr>
                <w:rFonts w:hint="eastAsia" w:ascii="宋体" w:hAnsi="宋体" w:eastAsia="宋体" w:cs="宋体"/>
                <w:color w:val="000000"/>
                <w:kern w:val="2"/>
                <w:sz w:val="21"/>
                <w:szCs w:val="21"/>
                <w:highlight w:val="none"/>
                <w:lang w:val="en-US" w:eastAsia="zh-CN"/>
              </w:rPr>
              <w:t>62</w:t>
            </w:r>
            <w:r>
              <w:rPr>
                <w:rFonts w:hint="eastAsia" w:ascii="宋体" w:hAnsi="宋体" w:eastAsia="宋体" w:cs="宋体"/>
                <w:color w:val="000000"/>
                <w:kern w:val="2"/>
                <w:sz w:val="21"/>
                <w:szCs w:val="21"/>
                <w:highlight w:val="none"/>
                <w:lang w:val="zh-CN"/>
              </w:rPr>
              <w:t>个；窗</w:t>
            </w:r>
            <w:r>
              <w:rPr>
                <w:rFonts w:hint="eastAsia" w:ascii="宋体" w:hAnsi="宋体" w:eastAsia="宋体" w:cs="宋体"/>
                <w:color w:val="000000"/>
                <w:kern w:val="2"/>
                <w:sz w:val="21"/>
                <w:szCs w:val="21"/>
                <w:highlight w:val="none"/>
                <w:lang w:val="en-US" w:eastAsia="zh-CN"/>
              </w:rPr>
              <w:t>135个，719</w:t>
            </w:r>
            <w:r>
              <w:rPr>
                <w:rFonts w:hint="eastAsia" w:ascii="宋体" w:hAnsi="宋体" w:eastAsia="宋体" w:cs="宋体"/>
                <w:color w:val="000000"/>
                <w:kern w:val="2"/>
                <w:sz w:val="21"/>
                <w:szCs w:val="21"/>
                <w:highlight w:val="none"/>
                <w:lang w:val="zh-CN"/>
              </w:rPr>
              <w:t xml:space="preserve"> 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地面各材质及总面积（m²）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瓷砖地面总面积</w:t>
            </w:r>
            <w:r>
              <w:rPr>
                <w:rFonts w:hint="eastAsia" w:ascii="宋体" w:hAnsi="宋体" w:eastAsia="宋体" w:cs="宋体"/>
                <w:color w:val="000000"/>
                <w:kern w:val="2"/>
                <w:sz w:val="21"/>
                <w:szCs w:val="21"/>
                <w:highlight w:val="none"/>
                <w:lang w:val="en-US" w:eastAsia="zh-CN"/>
              </w:rPr>
              <w:t>6400</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内墙饰面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内墙饰面各材质及总面积（m²）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乳胶漆内墙总面积</w:t>
            </w:r>
            <w:r>
              <w:rPr>
                <w:rFonts w:hint="eastAsia" w:ascii="宋体" w:hAnsi="宋体" w:eastAsia="宋体" w:cs="宋体"/>
                <w:color w:val="000000"/>
                <w:kern w:val="2"/>
                <w:sz w:val="21"/>
                <w:szCs w:val="21"/>
                <w:highlight w:val="none"/>
                <w:lang w:val="en-US" w:eastAsia="zh-CN"/>
              </w:rPr>
              <w:t>2700</w:t>
            </w:r>
            <w:r>
              <w:rPr>
                <w:rFonts w:hint="eastAsia" w:ascii="宋体" w:hAnsi="宋体" w:eastAsia="宋体" w:cs="宋体"/>
                <w:color w:val="000000"/>
                <w:kern w:val="2"/>
                <w:sz w:val="21"/>
                <w:szCs w:val="21"/>
                <w:highlight w:val="none"/>
                <w:lang w:val="zh-CN"/>
              </w:rPr>
              <w:t>m²、石材内墙总面积0m²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顶面</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顶面各材质及总面积（m²）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乳胶漆总面积</w:t>
            </w:r>
            <w:r>
              <w:rPr>
                <w:rFonts w:hint="eastAsia" w:ascii="宋体" w:hAnsi="宋体" w:eastAsia="宋体" w:cs="宋体"/>
                <w:color w:val="000000"/>
                <w:kern w:val="2"/>
                <w:sz w:val="21"/>
                <w:szCs w:val="21"/>
                <w:highlight w:val="none"/>
                <w:lang w:val="en-US" w:eastAsia="zh-CN"/>
              </w:rPr>
              <w:t>1200</w:t>
            </w:r>
            <w:r>
              <w:rPr>
                <w:rFonts w:hint="eastAsia" w:ascii="宋体" w:hAnsi="宋体" w:eastAsia="宋体" w:cs="宋体"/>
                <w:color w:val="000000"/>
                <w:kern w:val="2"/>
                <w:sz w:val="21"/>
                <w:szCs w:val="21"/>
                <w:highlight w:val="none"/>
                <w:lang w:val="zh-CN"/>
              </w:rPr>
              <w:t>m²、铝板总面积</w:t>
            </w:r>
            <w:r>
              <w:rPr>
                <w:rFonts w:hint="eastAsia" w:ascii="宋体" w:hAnsi="宋体" w:eastAsia="宋体" w:cs="宋体"/>
                <w:color w:val="000000"/>
                <w:kern w:val="2"/>
                <w:sz w:val="21"/>
                <w:szCs w:val="21"/>
                <w:highlight w:val="none"/>
                <w:lang w:val="en-US" w:eastAsia="zh-CN"/>
              </w:rPr>
              <w:t>5400</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会议室</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室内设施说明</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会议桌</w:t>
            </w:r>
            <w:r>
              <w:rPr>
                <w:rFonts w:hint="eastAsia" w:ascii="宋体" w:hAnsi="宋体" w:eastAsia="宋体" w:cs="宋体"/>
                <w:color w:val="000000"/>
                <w:kern w:val="2"/>
                <w:sz w:val="21"/>
                <w:szCs w:val="21"/>
                <w:highlight w:val="none"/>
                <w:lang w:val="en-US" w:eastAsia="zh-CN"/>
              </w:rPr>
              <w:t>10</w:t>
            </w:r>
            <w:r>
              <w:rPr>
                <w:rFonts w:hint="eastAsia" w:ascii="宋体" w:hAnsi="宋体" w:eastAsia="宋体" w:cs="宋体"/>
                <w:color w:val="000000"/>
                <w:kern w:val="2"/>
                <w:sz w:val="21"/>
                <w:szCs w:val="21"/>
                <w:highlight w:val="none"/>
                <w:lang w:val="zh-CN"/>
              </w:rPr>
              <w:t>张、会议椅</w:t>
            </w:r>
            <w:r>
              <w:rPr>
                <w:rFonts w:hint="eastAsia" w:ascii="宋体" w:hAnsi="宋体" w:eastAsia="宋体" w:cs="宋体"/>
                <w:color w:val="000000"/>
                <w:kern w:val="2"/>
                <w:sz w:val="21"/>
                <w:szCs w:val="21"/>
                <w:highlight w:val="none"/>
                <w:lang w:val="en-US" w:eastAsia="zh-CN"/>
              </w:rPr>
              <w:t>40</w:t>
            </w:r>
            <w:r>
              <w:rPr>
                <w:rFonts w:hint="eastAsia" w:ascii="宋体" w:hAnsi="宋体" w:eastAsia="宋体" w:cs="宋体"/>
                <w:color w:val="000000"/>
                <w:kern w:val="2"/>
                <w:sz w:val="21"/>
                <w:szCs w:val="21"/>
                <w:highlight w:val="none"/>
                <w:lang w:val="zh-CN"/>
              </w:rPr>
              <w:t>张、话筒</w:t>
            </w:r>
            <w:r>
              <w:rPr>
                <w:rFonts w:hint="eastAsia" w:ascii="宋体" w:hAnsi="宋体" w:eastAsia="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zh-CN"/>
              </w:rPr>
              <w:t>个、投影仪</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会议室数量（个）及总面积（m²）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r>
              <w:rPr>
                <w:rFonts w:hint="eastAsia" w:ascii="宋体" w:hAnsi="宋体" w:eastAsia="宋体" w:cs="宋体"/>
                <w:color w:val="000000"/>
                <w:kern w:val="2"/>
                <w:sz w:val="21"/>
                <w:szCs w:val="21"/>
                <w:highlight w:val="none"/>
                <w:lang w:val="en-US" w:eastAsia="zh-CN"/>
              </w:rPr>
              <w:t>120</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卫生间</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卫生间数量（个）及总面积（m²）</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8</w:t>
            </w:r>
            <w:r>
              <w:rPr>
                <w:rFonts w:hint="eastAsia" w:ascii="宋体" w:hAnsi="宋体" w:eastAsia="宋体" w:cs="宋体"/>
                <w:color w:val="000000"/>
                <w:kern w:val="2"/>
                <w:sz w:val="21"/>
                <w:szCs w:val="21"/>
                <w:highlight w:val="none"/>
                <w:lang w:val="zh-CN"/>
              </w:rPr>
              <w:t>个，</w:t>
            </w:r>
            <w:r>
              <w:rPr>
                <w:rFonts w:hint="eastAsia" w:ascii="宋体" w:hAnsi="宋体" w:eastAsia="宋体" w:cs="宋体"/>
                <w:color w:val="000000"/>
                <w:kern w:val="2"/>
                <w:sz w:val="21"/>
                <w:szCs w:val="21"/>
                <w:highlight w:val="none"/>
                <w:lang w:val="en-US" w:eastAsia="zh-CN"/>
              </w:rPr>
              <w:t>80</w:t>
            </w:r>
            <w:r>
              <w:rPr>
                <w:rFonts w:hint="eastAsia" w:ascii="宋体" w:hAnsi="宋体" w:eastAsia="宋体" w:cs="宋体"/>
                <w:color w:val="000000"/>
                <w:kern w:val="2"/>
                <w:sz w:val="21"/>
                <w:szCs w:val="21"/>
                <w:highlight w:val="none"/>
                <w:lang w:val="zh-CN"/>
              </w:rPr>
              <w:t>m²</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垃圾存放点</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各垃圾存放点位置、面积（m²）及数量（个）</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无垃圾存放点</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车位数</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地下车位数</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个（其中充电桩车位0个）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地面车位数</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20</w:t>
            </w:r>
            <w:r>
              <w:rPr>
                <w:rFonts w:hint="eastAsia" w:ascii="宋体" w:hAnsi="宋体" w:eastAsia="宋体" w:cs="宋体"/>
                <w:color w:val="000000"/>
                <w:kern w:val="2"/>
                <w:sz w:val="21"/>
                <w:szCs w:val="21"/>
                <w:highlight w:val="none"/>
                <w:lang w:val="zh-CN"/>
              </w:rPr>
              <w:t>个（其中充电桩车位0个）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车行/人行口</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车行口</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人行口</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设施设备（可另行附表）</w:t>
            </w: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电梯系统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客梯</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给排水系统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eastAsia="zh-CN"/>
              </w:rPr>
            </w:pPr>
            <w:r>
              <w:rPr>
                <w:rFonts w:hint="eastAsia" w:ascii="宋体" w:hAnsi="宋体" w:eastAsia="宋体" w:cs="宋体"/>
                <w:color w:val="000000"/>
                <w:kern w:val="2"/>
                <w:sz w:val="21"/>
                <w:szCs w:val="21"/>
                <w:highlight w:val="none"/>
                <w:lang w:val="zh-CN"/>
              </w:rPr>
              <w:t>潜水泵、排水设备各</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台</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消防系统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总控消防、消防设备</w:t>
            </w:r>
            <w:r>
              <w:rPr>
                <w:rFonts w:hint="eastAsia"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zh-CN"/>
              </w:rPr>
              <w:t>套</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安防系统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监控安防系统、1套</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照明系统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感应照明系统、1套</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供配电系统</w:t>
            </w:r>
          </w:p>
        </w:tc>
        <w:tc>
          <w:tcPr>
            <w:tcW w:w="188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高压箱1个、低压箱1个</w:t>
            </w:r>
          </w:p>
        </w:tc>
        <w:tc>
          <w:tcPr>
            <w:tcW w:w="143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”“3.3保洁服务”“3.</w:t>
            </w:r>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lang w:val="zh-CN"/>
              </w:rPr>
              <w:t>保安服务”</w:t>
            </w:r>
          </w:p>
        </w:tc>
      </w:tr>
    </w:tbl>
    <w:p>
      <w:pPr>
        <w:pStyle w:val="124"/>
        <w:snapToGrid w:val="0"/>
        <w:spacing w:line="360" w:lineRule="auto"/>
        <w:ind w:firstLine="422" w:firstLineChars="200"/>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（2）物业管理（室外）</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9"/>
        <w:gridCol w:w="3517"/>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名称</w:t>
            </w:r>
          </w:p>
        </w:tc>
        <w:tc>
          <w:tcPr>
            <w:tcW w:w="2065"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明细</w:t>
            </w:r>
          </w:p>
        </w:tc>
        <w:tc>
          <w:tcPr>
            <w:tcW w:w="1349" w:type="pct"/>
            <w:vAlign w:val="center"/>
          </w:tcPr>
          <w:p>
            <w:pPr>
              <w:pStyle w:val="124"/>
              <w:snapToGrid w:val="0"/>
              <w:spacing w:line="360" w:lineRule="auto"/>
              <w:ind w:firstLine="422"/>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室外面积</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3500</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绿化</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2000</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“3.4绿化服务”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广场</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1200</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路灯、草坪灯、音箱</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zh-CN"/>
              </w:rPr>
              <w:t>个路灯</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消防栓</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垃圾箱</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室外配电箱</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门前三包</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m²</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露台</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1个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监控</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49</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指示牌、显示屏</w:t>
            </w:r>
          </w:p>
        </w:tc>
        <w:tc>
          <w:tcPr>
            <w:tcW w:w="206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指示牌</w:t>
            </w:r>
            <w:r>
              <w:rPr>
                <w:rFonts w:hint="eastAsia" w:ascii="宋体" w:hAnsi="宋体" w:eastAsia="宋体" w:cs="宋体"/>
                <w:color w:val="000000"/>
                <w:kern w:val="2"/>
                <w:sz w:val="21"/>
                <w:szCs w:val="21"/>
                <w:highlight w:val="none"/>
                <w:lang w:val="en-US" w:eastAsia="zh-CN"/>
              </w:rPr>
              <w:t>41</w:t>
            </w:r>
            <w:r>
              <w:rPr>
                <w:rFonts w:hint="eastAsia" w:ascii="宋体" w:hAnsi="宋体" w:eastAsia="宋体" w:cs="宋体"/>
                <w:color w:val="000000"/>
                <w:kern w:val="2"/>
                <w:sz w:val="21"/>
                <w:szCs w:val="21"/>
                <w:highlight w:val="none"/>
                <w:lang w:val="zh-CN"/>
              </w:rPr>
              <w:t>个、显示屏</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p>
        </w:tc>
        <w:tc>
          <w:tcPr>
            <w:tcW w:w="1349"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bl>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【国家税务总局乐昌市税务局业务楼】</w:t>
      </w:r>
    </w:p>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（1）物业管理（建筑物）</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577"/>
        <w:gridCol w:w="2839"/>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80" w:type="pct"/>
            <w:gridSpan w:val="2"/>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名称</w:t>
            </w:r>
          </w:p>
        </w:tc>
        <w:tc>
          <w:tcPr>
            <w:tcW w:w="1667" w:type="pct"/>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明细</w:t>
            </w:r>
          </w:p>
        </w:tc>
        <w:tc>
          <w:tcPr>
            <w:tcW w:w="1651" w:type="pct"/>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80" w:type="pct"/>
            <w:gridSpan w:val="2"/>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建筑</w:t>
            </w:r>
            <w:r>
              <w:rPr>
                <w:rFonts w:hint="eastAsia" w:ascii="宋体" w:hAnsi="宋体" w:eastAsia="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zh-CN"/>
              </w:rPr>
              <w:t>名称</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国家税务总局乐昌市税务局廊田分局（广东省韶关市乐昌市廊田镇府前路</w:t>
            </w:r>
            <w:r>
              <w:rPr>
                <w:rFonts w:hint="eastAsia" w:ascii="宋体" w:hAnsi="宋体" w:eastAsia="宋体" w:cs="宋体"/>
                <w:color w:val="000000"/>
                <w:kern w:val="2"/>
                <w:sz w:val="21"/>
                <w:szCs w:val="21"/>
                <w:highlight w:val="none"/>
                <w:lang w:val="en-US" w:eastAsia="zh-CN"/>
              </w:rPr>
              <w:t>3号</w:t>
            </w:r>
            <w:r>
              <w:rPr>
                <w:rFonts w:hint="eastAsia" w:ascii="宋体" w:hAnsi="宋体" w:eastAsia="宋体" w:cs="宋体"/>
                <w:color w:val="000000"/>
                <w:kern w:val="2"/>
                <w:sz w:val="21"/>
                <w:szCs w:val="21"/>
                <w:highlight w:val="none"/>
                <w:lang w:val="zh-CN"/>
              </w:rPr>
              <w:t>）</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总面积</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建筑面积（m²）</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256</w:t>
            </w:r>
            <w:r>
              <w:rPr>
                <w:rFonts w:hint="eastAsia" w:ascii="宋体" w:hAnsi="宋体" w:eastAsia="宋体" w:cs="宋体"/>
                <w:color w:val="000000"/>
                <w:kern w:val="2"/>
                <w:sz w:val="21"/>
                <w:szCs w:val="21"/>
                <w:highlight w:val="none"/>
                <w:lang w:val="zh-CN"/>
              </w:rPr>
              <w:t>m²</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ind w:firstLine="420" w:firstLineChars="200"/>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需保洁面积（m²）</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cs="宋体"/>
                <w:color w:val="000000"/>
                <w:kern w:val="2"/>
                <w:sz w:val="21"/>
                <w:szCs w:val="21"/>
                <w:highlight w:val="none"/>
                <w:lang w:val="en-US" w:eastAsia="zh-CN"/>
              </w:rPr>
              <w:t>256</w:t>
            </w:r>
            <w:r>
              <w:rPr>
                <w:rFonts w:hint="eastAsia" w:ascii="宋体" w:hAnsi="宋体" w:eastAsia="宋体" w:cs="宋体"/>
                <w:color w:val="000000"/>
                <w:kern w:val="2"/>
                <w:sz w:val="21"/>
                <w:szCs w:val="21"/>
                <w:highlight w:val="none"/>
                <w:lang w:val="zh-CN"/>
              </w:rPr>
              <w:t>m²</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门窗</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门窗总数量（个）及总面积（m²）</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w:t>
            </w:r>
            <w:r>
              <w:rPr>
                <w:rFonts w:hint="eastAsia" w:ascii="宋体" w:hAnsi="宋体" w:eastAsia="宋体" w:cs="宋体"/>
                <w:color w:val="000000"/>
                <w:kern w:val="2"/>
                <w:sz w:val="21"/>
                <w:szCs w:val="21"/>
                <w:highlight w:val="none"/>
                <w:lang w:val="en-US" w:eastAsia="zh-CN"/>
              </w:rPr>
              <w:t>18</w:t>
            </w:r>
            <w:r>
              <w:rPr>
                <w:rFonts w:hint="eastAsia" w:ascii="宋体" w:hAnsi="宋体" w:eastAsia="宋体" w:cs="宋体"/>
                <w:color w:val="000000"/>
                <w:kern w:val="2"/>
                <w:sz w:val="21"/>
                <w:szCs w:val="21"/>
                <w:highlight w:val="none"/>
                <w:lang w:val="zh-CN"/>
              </w:rPr>
              <w:t>个；窗</w:t>
            </w:r>
            <w:r>
              <w:rPr>
                <w:rFonts w:hint="eastAsia" w:ascii="宋体" w:hAnsi="宋体" w:eastAsia="宋体" w:cs="宋体"/>
                <w:color w:val="000000"/>
                <w:kern w:val="2"/>
                <w:sz w:val="21"/>
                <w:szCs w:val="21"/>
                <w:highlight w:val="none"/>
                <w:lang w:val="en-US" w:eastAsia="zh-CN"/>
              </w:rPr>
              <w:t>33个，161</w:t>
            </w:r>
            <w:r>
              <w:rPr>
                <w:rFonts w:hint="eastAsia" w:ascii="宋体" w:hAnsi="宋体" w:eastAsia="宋体" w:cs="宋体"/>
                <w:color w:val="000000"/>
                <w:kern w:val="2"/>
                <w:sz w:val="21"/>
                <w:szCs w:val="21"/>
                <w:highlight w:val="none"/>
                <w:lang w:val="zh-CN"/>
              </w:rPr>
              <w:t>m²</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地面各材质及总面积（m²）</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瓷砖地面总面积</w:t>
            </w:r>
            <w:r>
              <w:rPr>
                <w:rFonts w:hint="eastAsia" w:ascii="宋体" w:hAnsi="宋体" w:eastAsia="宋体" w:cs="宋体"/>
                <w:color w:val="000000"/>
                <w:kern w:val="2"/>
                <w:sz w:val="21"/>
                <w:szCs w:val="21"/>
                <w:highlight w:val="none"/>
                <w:lang w:val="en-US" w:eastAsia="zh-CN"/>
              </w:rPr>
              <w:t>500</w:t>
            </w:r>
            <w:r>
              <w:rPr>
                <w:rFonts w:hint="eastAsia" w:ascii="宋体" w:hAnsi="宋体" w:eastAsia="宋体" w:cs="宋体"/>
                <w:color w:val="000000"/>
                <w:kern w:val="2"/>
                <w:sz w:val="21"/>
                <w:szCs w:val="21"/>
                <w:highlight w:val="none"/>
                <w:lang w:val="zh-CN"/>
              </w:rPr>
              <w:t>m²</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内墙饰面</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内墙饰面各材质及总面积（m²）</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乳胶漆内墙总面积</w:t>
            </w:r>
            <w:r>
              <w:rPr>
                <w:rFonts w:hint="eastAsia" w:ascii="宋体" w:hAnsi="宋体" w:eastAsia="宋体" w:cs="宋体"/>
                <w:color w:val="000000"/>
                <w:kern w:val="2"/>
                <w:sz w:val="21"/>
                <w:szCs w:val="21"/>
                <w:highlight w:val="none"/>
                <w:lang w:val="en-US" w:eastAsia="zh-CN"/>
              </w:rPr>
              <w:t>2600</w:t>
            </w:r>
            <w:r>
              <w:rPr>
                <w:rFonts w:hint="eastAsia" w:ascii="宋体" w:hAnsi="宋体" w:eastAsia="宋体" w:cs="宋体"/>
                <w:color w:val="000000"/>
                <w:kern w:val="2"/>
                <w:sz w:val="21"/>
                <w:szCs w:val="21"/>
                <w:highlight w:val="none"/>
                <w:lang w:val="zh-CN"/>
              </w:rPr>
              <w:t>m²</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顶面</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顶面各材质及总面积（m²）</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乳胶漆总面积</w:t>
            </w:r>
            <w:r>
              <w:rPr>
                <w:rFonts w:hint="eastAsia" w:ascii="宋体" w:hAnsi="宋体" w:eastAsia="宋体" w:cs="宋体"/>
                <w:color w:val="000000"/>
                <w:kern w:val="2"/>
                <w:sz w:val="21"/>
                <w:szCs w:val="21"/>
                <w:highlight w:val="none"/>
                <w:lang w:val="en-US" w:eastAsia="zh-CN"/>
              </w:rPr>
              <w:t>330</w:t>
            </w:r>
            <w:r>
              <w:rPr>
                <w:rFonts w:hint="eastAsia" w:ascii="宋体" w:hAnsi="宋体" w:eastAsia="宋体" w:cs="宋体"/>
                <w:color w:val="000000"/>
                <w:kern w:val="2"/>
                <w:sz w:val="21"/>
                <w:szCs w:val="21"/>
                <w:highlight w:val="none"/>
                <w:lang w:val="zh-CN"/>
              </w:rPr>
              <w:t>m²、铝板总面积</w:t>
            </w:r>
            <w:r>
              <w:rPr>
                <w:rFonts w:hint="eastAsia" w:ascii="宋体" w:hAnsi="宋体" w:eastAsia="宋体" w:cs="宋体"/>
                <w:color w:val="000000"/>
                <w:kern w:val="2"/>
                <w:sz w:val="21"/>
                <w:szCs w:val="21"/>
                <w:highlight w:val="none"/>
                <w:lang w:val="en-US" w:eastAsia="zh-CN"/>
              </w:rPr>
              <w:t>210</w:t>
            </w:r>
            <w:r>
              <w:rPr>
                <w:rFonts w:hint="eastAsia" w:ascii="宋体" w:hAnsi="宋体" w:eastAsia="宋体" w:cs="宋体"/>
                <w:color w:val="000000"/>
                <w:kern w:val="2"/>
                <w:sz w:val="21"/>
                <w:szCs w:val="21"/>
                <w:highlight w:val="none"/>
                <w:lang w:val="zh-CN"/>
              </w:rPr>
              <w:t>m²</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会议室</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室内设施说明</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会议桌</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张、会议椅</w:t>
            </w:r>
            <w:r>
              <w:rPr>
                <w:rFonts w:hint="eastAsia" w:ascii="宋体" w:hAnsi="宋体" w:eastAsia="宋体" w:cs="宋体"/>
                <w:color w:val="000000"/>
                <w:kern w:val="2"/>
                <w:sz w:val="21"/>
                <w:szCs w:val="21"/>
                <w:highlight w:val="none"/>
                <w:lang w:val="en-US" w:eastAsia="zh-CN"/>
              </w:rPr>
              <w:t>10</w:t>
            </w:r>
            <w:r>
              <w:rPr>
                <w:rFonts w:hint="eastAsia" w:ascii="宋体" w:hAnsi="宋体" w:eastAsia="宋体" w:cs="宋体"/>
                <w:color w:val="000000"/>
                <w:kern w:val="2"/>
                <w:sz w:val="21"/>
                <w:szCs w:val="21"/>
                <w:highlight w:val="none"/>
                <w:lang w:val="zh-CN"/>
              </w:rPr>
              <w:t>张、话筒</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个、投影仪</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会议室数量（个）及总面积（m²）</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个，</w:t>
            </w:r>
            <w:r>
              <w:rPr>
                <w:rFonts w:hint="eastAsia" w:ascii="宋体" w:hAnsi="宋体" w:eastAsia="宋体" w:cs="宋体"/>
                <w:color w:val="000000"/>
                <w:kern w:val="2"/>
                <w:sz w:val="21"/>
                <w:szCs w:val="21"/>
                <w:highlight w:val="none"/>
                <w:lang w:val="en-US" w:eastAsia="zh-CN"/>
              </w:rPr>
              <w:t>80</w:t>
            </w:r>
            <w:r>
              <w:rPr>
                <w:rFonts w:hint="eastAsia" w:ascii="宋体" w:hAnsi="宋体" w:eastAsia="宋体" w:cs="宋体"/>
                <w:color w:val="000000"/>
                <w:kern w:val="2"/>
                <w:sz w:val="21"/>
                <w:szCs w:val="21"/>
                <w:highlight w:val="none"/>
                <w:lang w:val="zh-CN"/>
              </w:rPr>
              <w:t>m²</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卫生间</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卫生间数量（个）及总面积（m²）</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6</w:t>
            </w:r>
            <w:r>
              <w:rPr>
                <w:rFonts w:hint="eastAsia" w:ascii="宋体" w:hAnsi="宋体" w:eastAsia="宋体" w:cs="宋体"/>
                <w:color w:val="000000"/>
                <w:kern w:val="2"/>
                <w:sz w:val="21"/>
                <w:szCs w:val="21"/>
                <w:highlight w:val="none"/>
                <w:lang w:val="zh-CN"/>
              </w:rPr>
              <w:t>个，</w:t>
            </w:r>
            <w:r>
              <w:rPr>
                <w:rFonts w:hint="eastAsia" w:ascii="宋体" w:hAnsi="宋体" w:eastAsia="宋体" w:cs="宋体"/>
                <w:color w:val="000000"/>
                <w:kern w:val="2"/>
                <w:sz w:val="21"/>
                <w:szCs w:val="21"/>
                <w:highlight w:val="none"/>
                <w:lang w:val="en-US" w:eastAsia="zh-CN"/>
              </w:rPr>
              <w:t>30</w:t>
            </w:r>
            <w:r>
              <w:rPr>
                <w:rFonts w:hint="eastAsia" w:ascii="宋体" w:hAnsi="宋体" w:eastAsia="宋体" w:cs="宋体"/>
                <w:color w:val="000000"/>
                <w:kern w:val="2"/>
                <w:sz w:val="21"/>
                <w:szCs w:val="21"/>
                <w:highlight w:val="none"/>
                <w:lang w:val="zh-CN"/>
              </w:rPr>
              <w:t>m²</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垃圾存放点</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各垃圾存放点位置、面积（m²）及数量（个）</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无垃圾存放点</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车位数</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地下车位数</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个（其中充电桩车位0个）</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地面车位数</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6</w:t>
            </w:r>
            <w:r>
              <w:rPr>
                <w:rFonts w:hint="eastAsia" w:ascii="宋体" w:hAnsi="宋体" w:eastAsia="宋体" w:cs="宋体"/>
                <w:color w:val="000000"/>
                <w:kern w:val="2"/>
                <w:sz w:val="21"/>
                <w:szCs w:val="21"/>
                <w:highlight w:val="none"/>
                <w:lang w:val="zh-CN"/>
              </w:rPr>
              <w:t>个（其中充电桩车位0个）</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车行/人行口</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车行口</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1个</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vAlign w:val="center"/>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人行口</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1个</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restar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设施设备（可另行附表）</w:t>
            </w: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电梯系统</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客梯</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给排水系统</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潜水泵、排水设备</w:t>
            </w:r>
            <w:r>
              <w:rPr>
                <w:rFonts w:hint="eastAsia" w:ascii="宋体" w:hAnsi="宋体" w:eastAsia="宋体" w:cs="宋体"/>
                <w:color w:val="000000"/>
                <w:kern w:val="2"/>
                <w:sz w:val="21"/>
                <w:szCs w:val="21"/>
                <w:highlight w:val="none"/>
                <w:lang w:val="en-US" w:eastAsia="zh-CN"/>
              </w:rPr>
              <w:t>各1</w:t>
            </w:r>
            <w:r>
              <w:rPr>
                <w:rFonts w:hint="eastAsia" w:ascii="宋体" w:hAnsi="宋体" w:eastAsia="宋体" w:cs="宋体"/>
                <w:color w:val="000000"/>
                <w:kern w:val="2"/>
                <w:sz w:val="21"/>
                <w:szCs w:val="21"/>
                <w:highlight w:val="none"/>
                <w:lang w:val="zh-CN"/>
              </w:rPr>
              <w:t>台</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消防系统</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总控消防、消防设备</w:t>
            </w: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lang w:val="zh-CN"/>
              </w:rPr>
              <w:t>套</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安防系统</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监控安防系统</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套</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照明系统</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感应照明系统、1套</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pct"/>
            <w:vMerge w:val="continue"/>
          </w:tcPr>
          <w:p>
            <w:pPr>
              <w:pStyle w:val="124"/>
              <w:snapToGrid w:val="0"/>
              <w:spacing w:line="360" w:lineRule="auto"/>
              <w:rPr>
                <w:rFonts w:hint="eastAsia" w:ascii="宋体" w:hAnsi="宋体" w:eastAsia="宋体" w:cs="宋体"/>
                <w:color w:val="000000"/>
                <w:kern w:val="2"/>
                <w:sz w:val="21"/>
                <w:szCs w:val="21"/>
                <w:highlight w:val="none"/>
                <w:lang w:val="zh-CN"/>
              </w:rPr>
            </w:pPr>
          </w:p>
        </w:tc>
        <w:tc>
          <w:tcPr>
            <w:tcW w:w="926"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供配电系统</w:t>
            </w:r>
          </w:p>
        </w:tc>
        <w:tc>
          <w:tcPr>
            <w:tcW w:w="1667"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高压箱1个、低压箱1个</w:t>
            </w:r>
          </w:p>
        </w:tc>
        <w:tc>
          <w:tcPr>
            <w:tcW w:w="1651"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bl>
    <w:p>
      <w:pPr>
        <w:pStyle w:val="124"/>
        <w:snapToGrid w:val="0"/>
        <w:spacing w:line="360" w:lineRule="auto"/>
        <w:ind w:firstLine="422" w:firstLineChars="200"/>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（2）物业管理（室外）</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2963"/>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名称</w:t>
            </w:r>
          </w:p>
        </w:tc>
        <w:tc>
          <w:tcPr>
            <w:tcW w:w="1740" w:type="pct"/>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明细</w:t>
            </w:r>
          </w:p>
        </w:tc>
        <w:tc>
          <w:tcPr>
            <w:tcW w:w="1674" w:type="pct"/>
            <w:vAlign w:val="center"/>
          </w:tcPr>
          <w:p>
            <w:pPr>
              <w:pStyle w:val="124"/>
              <w:snapToGrid w:val="0"/>
              <w:spacing w:line="360" w:lineRule="auto"/>
              <w:jc w:val="center"/>
              <w:rPr>
                <w:rFonts w:hint="eastAsia" w:ascii="宋体" w:hAnsi="宋体" w:eastAsia="宋体" w:cs="宋体"/>
                <w:b/>
                <w:color w:val="000000"/>
                <w:kern w:val="2"/>
                <w:sz w:val="21"/>
                <w:szCs w:val="21"/>
                <w:highlight w:val="none"/>
                <w:lang w:val="zh-CN"/>
              </w:rPr>
            </w:pPr>
            <w:r>
              <w:rPr>
                <w:rFonts w:hint="eastAsia" w:ascii="宋体" w:hAnsi="宋体" w:eastAsia="宋体" w:cs="宋体"/>
                <w:b/>
                <w:color w:val="000000"/>
                <w:kern w:val="2"/>
                <w:sz w:val="21"/>
                <w:szCs w:val="21"/>
                <w:highlight w:val="none"/>
                <w:lang w:val="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室外面积</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150</w:t>
            </w:r>
            <w:r>
              <w:rPr>
                <w:rFonts w:hint="eastAsia" w:ascii="宋体" w:hAnsi="宋体" w:eastAsia="宋体" w:cs="宋体"/>
                <w:color w:val="000000"/>
                <w:kern w:val="2"/>
                <w:sz w:val="21"/>
                <w:szCs w:val="21"/>
                <w:highlight w:val="none"/>
                <w:lang w:val="zh-CN"/>
              </w:rPr>
              <w:t>m²</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绿化</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200</w:t>
            </w:r>
            <w:r>
              <w:rPr>
                <w:rFonts w:hint="eastAsia" w:ascii="宋体" w:hAnsi="宋体" w:eastAsia="宋体" w:cs="宋体"/>
                <w:color w:val="000000"/>
                <w:kern w:val="2"/>
                <w:sz w:val="21"/>
                <w:szCs w:val="21"/>
                <w:highlight w:val="none"/>
                <w:lang w:val="zh-CN"/>
              </w:rPr>
              <w:t>m²</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“3.4绿化服务”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广场</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m²</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路灯、草坪灯、音箱</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zh-CN"/>
              </w:rPr>
              <w:t>个路灯</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消防栓</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zh-CN"/>
              </w:rPr>
              <w:t>个</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垃圾箱</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室外配电箱</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门前三包</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m²</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露台</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0</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监控</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85"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指示牌、显示屏</w:t>
            </w:r>
          </w:p>
        </w:tc>
        <w:tc>
          <w:tcPr>
            <w:tcW w:w="1740"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指示牌</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个、显示屏</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lang w:val="zh-CN"/>
              </w:rPr>
              <w:t>个</w:t>
            </w:r>
          </w:p>
        </w:tc>
        <w:tc>
          <w:tcPr>
            <w:tcW w:w="1674" w:type="pct"/>
            <w:vAlign w:val="center"/>
          </w:tcPr>
          <w:p>
            <w:pPr>
              <w:pStyle w:val="124"/>
              <w:snapToGrid w:val="0"/>
              <w:spacing w:line="360" w:lineRule="auto"/>
              <w:rPr>
                <w:rFonts w:hint="eastAsia" w:ascii="宋体" w:hAnsi="宋体" w:eastAsia="宋体" w:cs="宋体"/>
                <w:color w:val="000000"/>
                <w:kern w:val="2"/>
                <w:sz w:val="21"/>
                <w:szCs w:val="21"/>
                <w:highlight w:val="none"/>
                <w:lang w:val="zh-CN"/>
              </w:rPr>
            </w:pPr>
            <w:r>
              <w:rPr>
                <w:rFonts w:hint="eastAsia" w:ascii="宋体" w:hAnsi="宋体" w:eastAsia="宋体" w:cs="宋体"/>
                <w:color w:val="000000"/>
                <w:kern w:val="2"/>
                <w:sz w:val="21"/>
                <w:szCs w:val="21"/>
                <w:highlight w:val="none"/>
                <w:lang w:val="zh-CN"/>
              </w:rPr>
              <w:t>见“</w:t>
            </w:r>
            <w:r>
              <w:rPr>
                <w:rStyle w:val="36"/>
                <w:rFonts w:hint="eastAsia" w:ascii="宋体" w:hAnsi="宋体" w:eastAsia="宋体" w:cs="宋体"/>
                <w:b w:val="0"/>
                <w:bCs w:val="0"/>
                <w:spacing w:val="8"/>
                <w:sz w:val="21"/>
                <w:szCs w:val="21"/>
                <w:highlight w:val="none"/>
                <w:shd w:val="clear" w:color="auto" w:fill="FFFFFF"/>
              </w:rPr>
              <w:t>3.2水电设施设备日常维护服务</w:t>
            </w:r>
            <w:r>
              <w:rPr>
                <w:rFonts w:hint="eastAsia" w:ascii="宋体" w:hAnsi="宋体" w:eastAsia="宋体" w:cs="宋体"/>
                <w:color w:val="000000"/>
                <w:kern w:val="2"/>
                <w:sz w:val="21"/>
                <w:szCs w:val="21"/>
                <w:highlight w:val="none"/>
                <w:lang w:val="zh-CN"/>
              </w:rPr>
              <w:t>”“3.3保洁服务”</w:t>
            </w:r>
          </w:p>
        </w:tc>
      </w:tr>
    </w:tbl>
    <w:p>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（二）采购</w:t>
      </w:r>
      <w:r>
        <w:rPr>
          <w:rFonts w:hint="eastAsia" w:ascii="宋体" w:hAnsi="宋体" w:eastAsia="宋体" w:cs="宋体"/>
          <w:color w:val="auto"/>
          <w:sz w:val="21"/>
          <w:szCs w:val="21"/>
          <w:highlight w:val="none"/>
        </w:rPr>
        <w:t>项目需求</w:t>
      </w:r>
    </w:p>
    <w:p>
      <w:pPr>
        <w:numPr>
          <w:ilvl w:val="-1"/>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采购项目需求一览表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2"/>
        <w:gridCol w:w="867"/>
        <w:gridCol w:w="2293"/>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297" w:type="pct"/>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采购项目名称</w:t>
            </w:r>
          </w:p>
        </w:tc>
        <w:tc>
          <w:tcPr>
            <w:tcW w:w="509" w:type="pct"/>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346" w:type="pct"/>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主要技术规格</w:t>
            </w:r>
          </w:p>
        </w:tc>
        <w:tc>
          <w:tcPr>
            <w:tcW w:w="846" w:type="pct"/>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297" w:type="pct"/>
            <w:noWrap w:val="0"/>
            <w:vAlign w:val="center"/>
          </w:tcPr>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国家税务总局</w:t>
            </w:r>
            <w:r>
              <w:rPr>
                <w:rFonts w:hint="eastAsia" w:ascii="宋体" w:hAnsi="宋体" w:eastAsia="宋体" w:cs="宋体"/>
                <w:color w:val="auto"/>
                <w:sz w:val="21"/>
                <w:szCs w:val="21"/>
                <w:highlight w:val="none"/>
                <w:lang w:eastAsia="zh-CN"/>
              </w:rPr>
              <w:t>乐昌</w:t>
            </w:r>
            <w:r>
              <w:rPr>
                <w:rFonts w:hint="eastAsia" w:ascii="宋体" w:hAnsi="宋体" w:eastAsia="宋体" w:cs="宋体"/>
                <w:color w:val="auto"/>
                <w:sz w:val="21"/>
                <w:szCs w:val="21"/>
                <w:highlight w:val="none"/>
              </w:rPr>
              <w:t>市税务局</w:t>
            </w:r>
            <w:r>
              <w:rPr>
                <w:rFonts w:hint="eastAsia" w:ascii="宋体" w:hAnsi="宋体" w:eastAsia="宋体" w:cs="宋体"/>
                <w:color w:val="auto"/>
                <w:sz w:val="21"/>
                <w:szCs w:val="21"/>
                <w:highlight w:val="none"/>
                <w:lang w:val="en-US" w:eastAsia="zh-CN"/>
              </w:rPr>
              <w:t>2026年至2027年</w:t>
            </w:r>
            <w:r>
              <w:rPr>
                <w:rFonts w:hint="eastAsia" w:ascii="宋体" w:hAnsi="宋体" w:eastAsia="宋体" w:cs="宋体"/>
                <w:color w:val="auto"/>
                <w:sz w:val="21"/>
                <w:szCs w:val="21"/>
                <w:highlight w:val="none"/>
              </w:rPr>
              <w:t>物业管理服务采购项目</w:t>
            </w:r>
          </w:p>
        </w:tc>
        <w:tc>
          <w:tcPr>
            <w:tcW w:w="50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346"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详见本部分“采购项目技术要求”</w:t>
            </w:r>
          </w:p>
        </w:tc>
        <w:tc>
          <w:tcPr>
            <w:tcW w:w="846"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2600000</w:t>
            </w:r>
            <w:r>
              <w:rPr>
                <w:rFonts w:hint="eastAsia" w:ascii="宋体" w:hAnsi="宋体" w:eastAsia="宋体" w:cs="宋体"/>
                <w:color w:val="auto"/>
                <w:sz w:val="21"/>
                <w:szCs w:val="21"/>
                <w:highlight w:val="none"/>
              </w:rPr>
              <w:t>.00</w:t>
            </w:r>
          </w:p>
        </w:tc>
      </w:tr>
    </w:tbl>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采购项目需求清单表</w:t>
      </w:r>
    </w:p>
    <w:tbl>
      <w:tblPr>
        <w:tblStyle w:val="33"/>
        <w:tblpPr w:leftFromText="180" w:rightFromText="180" w:vertAnchor="text" w:tblpXSpec="center" w:tblpY="1"/>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029"/>
        <w:gridCol w:w="1355"/>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数量（人）</w:t>
            </w:r>
          </w:p>
        </w:tc>
        <w:tc>
          <w:tcPr>
            <w:tcW w:w="2612"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物业经理</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12" w:type="pct"/>
            <w:vMerge w:val="restar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详见本部分“</w:t>
            </w:r>
            <w:r>
              <w:rPr>
                <w:rFonts w:hint="eastAsia" w:ascii="宋体" w:hAnsi="宋体" w:eastAsia="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w:t>
            </w:r>
            <w:r>
              <w:rPr>
                <w:rStyle w:val="36"/>
                <w:rFonts w:hint="eastAsia" w:ascii="宋体" w:hAnsi="宋体" w:eastAsia="宋体" w:cs="宋体"/>
                <w:b w:val="0"/>
                <w:bCs w:val="0"/>
                <w:color w:val="auto"/>
                <w:spacing w:val="8"/>
                <w:sz w:val="21"/>
                <w:szCs w:val="21"/>
                <w:highlight w:val="none"/>
                <w:shd w:val="clear" w:color="auto" w:fill="FFFFFF"/>
              </w:rPr>
              <w:t>物业管理服务人员需求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保安主管</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612" w:type="pct"/>
            <w:vMerge w:val="continue"/>
            <w:noWrap w:val="0"/>
            <w:vAlign w:val="center"/>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保洁主管</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612" w:type="pct"/>
            <w:vMerge w:val="continue"/>
            <w:noWrap w:val="0"/>
            <w:vAlign w:val="center"/>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保洁员</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612" w:type="pct"/>
            <w:vMerge w:val="continue"/>
            <w:noWrap w:val="0"/>
            <w:vAlign w:val="center"/>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绿化工</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2" w:type="pct"/>
            <w:vMerge w:val="continue"/>
            <w:noWrap w:val="0"/>
            <w:vAlign w:val="center"/>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保安员</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612" w:type="pct"/>
            <w:vMerge w:val="continue"/>
            <w:noWrap w:val="0"/>
            <w:vAlign w:val="center"/>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会务员</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612" w:type="pct"/>
            <w:vMerge w:val="continue"/>
            <w:noWrap w:val="0"/>
            <w:vAlign w:val="center"/>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9"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191"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水电日常维护人员</w:t>
            </w:r>
          </w:p>
        </w:tc>
        <w:tc>
          <w:tcPr>
            <w:tcW w:w="795" w:type="pct"/>
            <w:noWrap w:val="0"/>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612" w:type="pct"/>
            <w:vMerge w:val="continue"/>
            <w:noWrap w:val="0"/>
            <w:vAlign w:val="center"/>
          </w:tcPr>
          <w:p>
            <w:pPr>
              <w:adjustRightInd w:val="0"/>
              <w:snapToGrid w:val="0"/>
              <w:spacing w:line="360" w:lineRule="auto"/>
              <w:rPr>
                <w:rFonts w:hint="eastAsia" w:ascii="宋体" w:hAnsi="宋体" w:eastAsia="宋体" w:cs="宋体"/>
                <w:color w:val="auto"/>
                <w:sz w:val="21"/>
                <w:szCs w:val="21"/>
                <w:highlight w:val="none"/>
              </w:rPr>
            </w:pPr>
          </w:p>
        </w:tc>
      </w:tr>
    </w:tbl>
    <w:p>
      <w:pPr>
        <w:autoSpaceDE w:val="0"/>
        <w:autoSpaceDN w:val="0"/>
        <w:spacing w:line="360" w:lineRule="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注：由于采购人机构改革或因工作需求调整办公地点和场所，采购人将在服务内容、服务面积对等的前提下调整服务费用（采购单位因政策变动，所采购的服务按变动后的实际人员进行支付服务费用），供应商自行考虑风险成本。 </w:t>
      </w:r>
    </w:p>
    <w:p>
      <w:pPr>
        <w:pStyle w:val="28"/>
        <w:shd w:val="clear" w:color="auto" w:fill="FFFFFF"/>
        <w:spacing w:beforeAutospacing="0" w:afterAutospacing="0" w:line="360" w:lineRule="auto"/>
        <w:jc w:val="both"/>
        <w:rPr>
          <w:rFonts w:hint="eastAsia" w:ascii="宋体" w:hAnsi="宋体" w:eastAsia="宋体" w:cs="宋体"/>
          <w:spacing w:val="8"/>
          <w:sz w:val="21"/>
          <w:szCs w:val="21"/>
          <w:highlight w:val="none"/>
        </w:rPr>
      </w:pPr>
      <w:r>
        <w:rPr>
          <w:rStyle w:val="36"/>
          <w:rFonts w:hint="eastAsia" w:ascii="宋体" w:hAnsi="宋体" w:eastAsia="宋体" w:cs="宋体"/>
          <w:spacing w:val="8"/>
          <w:sz w:val="21"/>
          <w:szCs w:val="21"/>
          <w:highlight w:val="none"/>
          <w:shd w:val="clear" w:color="auto" w:fill="FFFFFF"/>
        </w:rPr>
        <w:t>3.物业管理服务内容及标准</w:t>
      </w:r>
    </w:p>
    <w:p>
      <w:pPr>
        <w:pStyle w:val="28"/>
        <w:shd w:val="clear" w:color="auto" w:fill="FFFFFF"/>
        <w:spacing w:beforeAutospacing="0" w:afterAutospacing="0" w:line="360" w:lineRule="auto"/>
        <w:jc w:val="both"/>
        <w:rPr>
          <w:rFonts w:hint="eastAsia" w:ascii="宋体" w:hAnsi="宋体" w:eastAsia="宋体" w:cs="宋体"/>
          <w:spacing w:val="8"/>
          <w:sz w:val="21"/>
          <w:szCs w:val="21"/>
          <w:highlight w:val="none"/>
        </w:rPr>
      </w:pPr>
      <w:r>
        <w:rPr>
          <w:rStyle w:val="36"/>
          <w:rFonts w:hint="eastAsia" w:ascii="宋体" w:hAnsi="宋体" w:eastAsia="宋体" w:cs="宋体"/>
          <w:spacing w:val="8"/>
          <w:sz w:val="21"/>
          <w:szCs w:val="21"/>
          <w:highlight w:val="none"/>
          <w:shd w:val="clear" w:color="auto" w:fill="FFFFFF"/>
        </w:rPr>
        <w:t>3.1基本服务</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458"/>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序号</w:t>
            </w:r>
          </w:p>
        </w:tc>
        <w:tc>
          <w:tcPr>
            <w:tcW w:w="856"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3707"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目标与责任</w:t>
            </w: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1、为确保能提供优质服务，要求中标人具备物业管理服务经验，且服务模式符合采购人需求的物业管理公司。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2、结合采购人要求及物业服务实际，制定年度管理目标，明确责任分工，并制定配套实施方案。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服务人员要求</w:t>
            </w:r>
          </w:p>
        </w:tc>
        <w:tc>
          <w:tcPr>
            <w:tcW w:w="3707" w:type="pct"/>
          </w:tcPr>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中标人应根据采购人的行业、工作、形象及人员的特点和要求进行规范、精准、专业、文明服务。针对采购人各类专项工作和活动，中标人务必组织安排做到专员、专职、全力、全程保障和服务。所派遣到岗的物业技术人员具有对应专业岗位资质证书、执业证或上岗证。管理服务工作的实施，须以服从于采购人的工作需要为前提，以方便采购人为原则，影响正常办公的服务工作尽可能在采购人工作时间以外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2、中标人各类工作人员按岗位要求统一着装，佩戴相关证件，言行规范（会使用普通话），注意仪容仪表、自身及公众形象。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中标人配置的各类工作人员须按岗位要求参加岗前培训，在掌握本岗位的专业知识、专业技能、工作内容、工作流程、工作标准以及明确工作职能和责任，而且具备了适合本岗位的心理素质、身体素质后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4、在服务期间，中标人要组织在本物业服务场所的服务人员在专业培训机构进行每年不少于1次的专业岗位培训，以不断提高服务人员业务素质和业务能力。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保密和思想政治教育</w:t>
            </w:r>
          </w:p>
        </w:tc>
        <w:tc>
          <w:tcPr>
            <w:tcW w:w="3707" w:type="pct"/>
          </w:tcPr>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1、中标人务必与采购人签订保密协议，工作人员须遵守采购人有关规章制度、管理规定和双方签订的保密协议，不得泄漏采购人所有文件。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2、中标人要负责工作人员的职业道德教育、业务知识培训工作，其中：保密培训每</w:t>
            </w:r>
            <w:r>
              <w:rPr>
                <w:rFonts w:hint="eastAsia" w:ascii="宋体" w:hAnsi="宋体" w:eastAsia="宋体" w:cs="宋体"/>
                <w:color w:val="000000"/>
                <w:sz w:val="21"/>
                <w:szCs w:val="21"/>
                <w:highlight w:val="none"/>
                <w:lang w:eastAsia="zh-CN"/>
              </w:rPr>
              <w:t>季度至少开展</w:t>
            </w:r>
            <w:r>
              <w:rPr>
                <w:rFonts w:hint="eastAsia" w:ascii="宋体" w:hAnsi="宋体" w:eastAsia="宋体" w:cs="宋体"/>
                <w:color w:val="000000"/>
                <w:sz w:val="21"/>
                <w:szCs w:val="21"/>
                <w:highlight w:val="none"/>
                <w:lang w:val="en-US" w:eastAsia="zh-CN"/>
              </w:rPr>
              <w:t>1次，每次时长</w:t>
            </w:r>
            <w:r>
              <w:rPr>
                <w:rFonts w:hint="eastAsia" w:ascii="宋体" w:hAnsi="宋体" w:eastAsia="宋体" w:cs="宋体"/>
                <w:color w:val="000000"/>
                <w:sz w:val="21"/>
                <w:szCs w:val="21"/>
                <w:highlight w:val="none"/>
              </w:rPr>
              <w:t>不少于2小时。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3、如有违反或损害采购人利益的，采购人有拒绝中标人的工作人员在此工作的权利，并有权要求中标人更换物业管理人员，中标人应当在2天内予以更换。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档案管理</w:t>
            </w: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1、中标人</w:t>
            </w:r>
            <w:r>
              <w:rPr>
                <w:rFonts w:hint="eastAsia" w:ascii="宋体" w:hAnsi="宋体" w:eastAsia="宋体" w:cs="宋体"/>
                <w:color w:val="000000"/>
                <w:sz w:val="21"/>
                <w:szCs w:val="21"/>
                <w:highlight w:val="none"/>
              </w:rPr>
              <w:t>要建立物业管理资料的收集、分类整理、归档管理制度。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2、档案盒和记录齐全，包括但不限于：采购人建议与投诉等、保安服务、保洁服务、绿化服务、其他服务。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服务改进</w:t>
            </w: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1、采购人对岗位设置、人员选用与日常管理具有指导、检查、监督权及协调权。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2、中标人须按采购人要求和标书、合同约定开展，高效、保质、保量完成各（类）项物业管理、服务、保障工作，确保各办公场所正常、安全运行。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3、对不合格服务进行控制，对不合格服务原因进行分析，及时采取纠正措施，消除不合格原因，不合格不再发生。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重大活动后期保障</w:t>
            </w: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1、制定流程。配合采购人制定重大活动后期保障工作流程。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2、实施保障。按计划在关键区域和重大部位进行部署，确保任务顺利完成。对活动区域进行全面安全检查，发现并排除安全隐患。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应急保障预案</w:t>
            </w: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1、由于采购人单位性质特殊，有部分属于接待窗口单位。要求投标人具有一定的应急保障能力，具备应对一切有可能遇到的特殊、临时、紧急情况的能力。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2、采购人部分属于窗口单位，面对人民群众。现今社会事件增多，投标人应储备一定的临时抽调支援人员能力，如遇特殊情况可协助采购人现场主持工作。避免出现群体事件。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3、投标人应做好应急保障工作方案，积极协助采购人处置一切有可能遇到的特殊、临时、紧急情况。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4、要求投标人至少对本项目投入具有相关急救知识、能力并实操经验在2年或以上的保安员，确保物业区域内无安全责任事故发生，遇到危急突发事故时，能沉稳应对，有一定的抢救知识。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中标人须针对采购人物业具体情况制定防灾减灾应急预案，包括且不限于台风、暴雨、强对流天气等极端气候影响突发自然灾害，突发公共卫生事件，突发群体性公共安全事件等的应急处置办法。应急响应生效时，中标人需服从采购人总体指挥和要求，根据应急预案迅速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6、中标人负责做好辖区内防范各类传染病的各项防疫及应急工作，根据采购人对于传染病等防控工作需要，配合做好消杀工作。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7、投标人制定完善的消防应急预案，如若中标，履约期间需按照预案实施，防患于未然，所投入的全体保安员均为义务消防员，建立义务消防队，定期组织保安员消防安全学习教育、训练、演练。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服务方案及工作制度</w:t>
            </w: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1、制定工作制度，主要包括：人员录用制度、档案管理制度、物业管理服务制度、公共设施设备管理制度。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2、制定项目实施方案，主要包括：人员培训方案、人员稳定性方案、交接方案、保密制度等。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3、制定物业服务方案，主要包括：</w:t>
            </w:r>
            <w:r>
              <w:rPr>
                <w:rFonts w:hint="eastAsia" w:ascii="宋体" w:hAnsi="宋体" w:eastAsia="宋体" w:cs="宋体"/>
                <w:sz w:val="21"/>
                <w:szCs w:val="21"/>
                <w:highlight w:val="none"/>
                <w:lang w:val="zh-CN"/>
              </w:rPr>
              <w:t>物业公共安全、秩序管理、维护及服务；室外绿化养护；环境美化、清洁卫生服务、停车场管理、消防管理；大型活动或会议专项服务及采购人特定需要的其它特约服务等。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信报服务</w:t>
            </w: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1、来信及涉及法律效力信件、函件均由物业方通知采购方相关人员签收，不得擅自签收具体法律效力信件，否则责任由物业方负责。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2、报刊的收发要及时、准确，无错发漏发。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3、收发的各类重要刊物要认真做好登记，并及时通知相关人员签收。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4、做好信件刊物的管理工作，做到无信件丢失，无私拆信件邮件。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center"/>
              <w:rPr>
                <w:rFonts w:hint="eastAsia" w:ascii="宋体" w:hAnsi="宋体" w:eastAsia="宋体" w:cs="宋体"/>
                <w:sz w:val="21"/>
                <w:szCs w:val="21"/>
                <w:highlight w:val="none"/>
              </w:rPr>
            </w:pPr>
          </w:p>
        </w:tc>
        <w:tc>
          <w:tcPr>
            <w:tcW w:w="856" w:type="pct"/>
            <w:vMerge w:val="continue"/>
            <w:vAlign w:val="center"/>
          </w:tcPr>
          <w:p>
            <w:pPr>
              <w:spacing w:line="360" w:lineRule="auto"/>
              <w:jc w:val="center"/>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5、严格执行保密制度。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restart"/>
            <w:vAlign w:val="center"/>
          </w:tcPr>
          <w:p>
            <w:pPr>
              <w:spacing w:line="36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56"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服务热线及紧急维修</w:t>
            </w: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1、设置24小时服务热线。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pct"/>
            <w:vMerge w:val="continue"/>
            <w:vAlign w:val="center"/>
          </w:tcPr>
          <w:p>
            <w:pPr>
              <w:spacing w:line="360" w:lineRule="auto"/>
              <w:jc w:val="left"/>
              <w:rPr>
                <w:rFonts w:hint="eastAsia" w:ascii="宋体" w:hAnsi="宋体" w:eastAsia="宋体" w:cs="宋体"/>
                <w:sz w:val="21"/>
                <w:szCs w:val="21"/>
                <w:highlight w:val="none"/>
              </w:rPr>
            </w:pPr>
          </w:p>
        </w:tc>
        <w:tc>
          <w:tcPr>
            <w:tcW w:w="856" w:type="pct"/>
            <w:vMerge w:val="continue"/>
          </w:tcPr>
          <w:p>
            <w:pPr>
              <w:spacing w:line="360" w:lineRule="auto"/>
              <w:rPr>
                <w:rFonts w:hint="eastAsia" w:ascii="宋体" w:hAnsi="宋体" w:eastAsia="宋体" w:cs="宋体"/>
                <w:sz w:val="21"/>
                <w:szCs w:val="21"/>
                <w:highlight w:val="none"/>
              </w:rPr>
            </w:pPr>
          </w:p>
        </w:tc>
        <w:tc>
          <w:tcPr>
            <w:tcW w:w="3707" w:type="pct"/>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2、投标人应做好应急保障工作，积极协助采购人面对一切有可能遇到的特殊、临时、紧急情况，对于临时紧急情况，要求投标人应具备在</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分钟内（含）能调配周边资源调动至少</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人或以上的服务团队到达项目实施地（行政楼或业务楼）的支援能力。</w:t>
            </w:r>
          </w:p>
        </w:tc>
      </w:tr>
    </w:tbl>
    <w:p>
      <w:pPr>
        <w:pStyle w:val="28"/>
        <w:shd w:val="clear" w:color="auto" w:fill="FFFFFF"/>
        <w:spacing w:beforeAutospacing="0" w:afterAutospacing="0" w:line="360" w:lineRule="auto"/>
        <w:jc w:val="both"/>
        <w:rPr>
          <w:rFonts w:hint="eastAsia" w:ascii="宋体" w:hAnsi="宋体" w:eastAsia="宋体" w:cs="宋体"/>
          <w:spacing w:val="8"/>
          <w:sz w:val="21"/>
          <w:szCs w:val="21"/>
          <w:highlight w:val="none"/>
        </w:rPr>
      </w:pPr>
      <w:r>
        <w:rPr>
          <w:rStyle w:val="36"/>
          <w:rFonts w:hint="eastAsia" w:ascii="宋体" w:hAnsi="宋体" w:eastAsia="宋体" w:cs="宋体"/>
          <w:spacing w:val="8"/>
          <w:sz w:val="21"/>
          <w:szCs w:val="21"/>
          <w:highlight w:val="none"/>
          <w:shd w:val="clear" w:color="auto" w:fill="FFFFFF"/>
        </w:rPr>
        <w:t>3.2水电设施设备日常维护服务</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46"/>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52" w:type="pc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序号</w:t>
            </w:r>
          </w:p>
        </w:tc>
        <w:tc>
          <w:tcPr>
            <w:tcW w:w="849"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3697"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52"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49"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基本要求</w:t>
            </w:r>
          </w:p>
        </w:tc>
        <w:tc>
          <w:tcPr>
            <w:tcW w:w="369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1、重大节假日及恶劣天气前后， 组织系统巡检1次。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52" w:type="pct"/>
            <w:vMerge w:val="continue"/>
            <w:vAlign w:val="center"/>
          </w:tcPr>
          <w:p>
            <w:pPr>
              <w:spacing w:line="360" w:lineRule="auto"/>
              <w:jc w:val="center"/>
              <w:rPr>
                <w:rFonts w:hint="eastAsia" w:ascii="宋体" w:hAnsi="宋体" w:eastAsia="宋体" w:cs="宋体"/>
                <w:sz w:val="21"/>
                <w:szCs w:val="21"/>
                <w:highlight w:val="none"/>
              </w:rPr>
            </w:pPr>
          </w:p>
        </w:tc>
        <w:tc>
          <w:tcPr>
            <w:tcW w:w="849" w:type="pct"/>
            <w:vMerge w:val="continue"/>
            <w:vAlign w:val="center"/>
          </w:tcPr>
          <w:p>
            <w:pPr>
              <w:spacing w:line="360" w:lineRule="auto"/>
              <w:jc w:val="center"/>
              <w:rPr>
                <w:rFonts w:hint="eastAsia" w:ascii="宋体" w:hAnsi="宋体" w:eastAsia="宋体" w:cs="宋体"/>
                <w:sz w:val="21"/>
                <w:szCs w:val="21"/>
                <w:highlight w:val="none"/>
              </w:rPr>
            </w:pPr>
          </w:p>
        </w:tc>
        <w:tc>
          <w:tcPr>
            <w:tcW w:w="369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2、具备设施设备安全、稳定运行的环境和场所(含有限空间)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452"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49" w:type="pct"/>
            <w:vMerge w:val="restart"/>
            <w:vAlign w:val="center"/>
          </w:tcPr>
          <w:p>
            <w:pPr>
              <w:spacing w:line="360" w:lineRule="auto"/>
              <w:jc w:val="center"/>
              <w:rPr>
                <w:rFonts w:hint="eastAsia" w:ascii="宋体" w:hAnsi="宋体" w:eastAsia="宋体" w:cs="宋体"/>
                <w:sz w:val="21"/>
                <w:szCs w:val="21"/>
                <w:highlight w:val="none"/>
              </w:rPr>
            </w:pPr>
            <w:r>
              <w:rPr>
                <w:rStyle w:val="36"/>
                <w:rFonts w:hint="eastAsia" w:ascii="宋体" w:hAnsi="宋体" w:eastAsia="宋体" w:cs="宋体"/>
                <w:b w:val="0"/>
                <w:bCs w:val="0"/>
                <w:spacing w:val="8"/>
                <w:sz w:val="21"/>
                <w:szCs w:val="21"/>
                <w:highlight w:val="none"/>
                <w:shd w:val="clear" w:color="auto" w:fill="FFFFFF"/>
              </w:rPr>
              <w:t>水电设施设备日常维护</w:t>
            </w:r>
          </w:p>
        </w:tc>
        <w:tc>
          <w:tcPr>
            <w:tcW w:w="369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1、配有熟练、专职、具相应资格证的专业人员对物业各项设施进行养护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发现用水、用电安全隐患及时报告采购单位并协助处理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能按操作规程熟练操作、管理设施的正常运行，并按</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要求制定“设施维护、保养计划”和执行</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452" w:type="pct"/>
            <w:vMerge w:val="continue"/>
            <w:vAlign w:val="center"/>
          </w:tcPr>
          <w:p>
            <w:pPr>
              <w:spacing w:line="360" w:lineRule="auto"/>
              <w:jc w:val="center"/>
              <w:rPr>
                <w:rFonts w:hint="eastAsia" w:ascii="宋体" w:hAnsi="宋体" w:eastAsia="宋体" w:cs="宋体"/>
                <w:sz w:val="21"/>
                <w:szCs w:val="21"/>
                <w:highlight w:val="none"/>
              </w:rPr>
            </w:pPr>
          </w:p>
        </w:tc>
        <w:tc>
          <w:tcPr>
            <w:tcW w:w="849" w:type="pct"/>
            <w:vMerge w:val="continue"/>
            <w:vAlign w:val="center"/>
          </w:tcPr>
          <w:p>
            <w:pPr>
              <w:spacing w:line="360" w:lineRule="auto"/>
              <w:jc w:val="center"/>
              <w:rPr>
                <w:rFonts w:hint="eastAsia" w:ascii="宋体" w:hAnsi="宋体" w:eastAsia="宋体" w:cs="宋体"/>
                <w:sz w:val="21"/>
                <w:szCs w:val="21"/>
                <w:highlight w:val="none"/>
              </w:rPr>
            </w:pPr>
          </w:p>
        </w:tc>
        <w:tc>
          <w:tcPr>
            <w:tcW w:w="369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2、对物业设备设施的运行情况实行定期巡查、维护，包括设备设施实行定期巡查，做好设施运行及保养相关记录等</w:t>
            </w:r>
            <w:r>
              <w:rPr>
                <w:rFonts w:hint="eastAsia" w:ascii="宋体" w:hAnsi="宋体" w:eastAsia="宋体" w:cs="宋体"/>
                <w:sz w:val="21"/>
                <w:szCs w:val="21"/>
                <w:highlight w:val="none"/>
                <w:lang w:eastAsia="zh-CN"/>
              </w:rPr>
              <w:t>（设施设备维修所需购买的材料费用由采购人承担）</w:t>
            </w:r>
            <w:r>
              <w:rPr>
                <w:rFonts w:hint="eastAsia" w:ascii="宋体" w:hAnsi="宋体" w:eastAsia="宋体" w:cs="宋体"/>
                <w:sz w:val="21"/>
                <w:szCs w:val="21"/>
                <w:highlight w:val="none"/>
              </w:rPr>
              <w:t>。物业设施保修期满后，需专业公司维修保养的项目（电梯、高压维护、空调、水处理、消防系统</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），由采购人委托相关专业公司负责维修、维护</w:t>
            </w:r>
            <w:r>
              <w:rPr>
                <w:rFonts w:hint="eastAsia" w:ascii="宋体" w:hAnsi="宋体" w:eastAsia="宋体" w:cs="宋体"/>
                <w:sz w:val="21"/>
                <w:szCs w:val="21"/>
                <w:highlight w:val="none"/>
                <w:lang w:eastAsia="zh-CN"/>
              </w:rPr>
              <w:t>。</w:t>
            </w:r>
          </w:p>
        </w:tc>
      </w:tr>
    </w:tbl>
    <w:p>
      <w:pPr>
        <w:pStyle w:val="28"/>
        <w:shd w:val="clear" w:color="auto" w:fill="FFFFFF"/>
        <w:spacing w:beforeAutospacing="0" w:afterAutospacing="0" w:line="360" w:lineRule="auto"/>
        <w:jc w:val="both"/>
        <w:rPr>
          <w:rStyle w:val="36"/>
          <w:rFonts w:hint="eastAsia" w:ascii="宋体" w:hAnsi="宋体" w:eastAsia="宋体" w:cs="宋体"/>
          <w:spacing w:val="8"/>
          <w:sz w:val="21"/>
          <w:szCs w:val="21"/>
          <w:highlight w:val="none"/>
          <w:shd w:val="clear" w:color="auto" w:fill="FFFFFF"/>
        </w:rPr>
      </w:pPr>
    </w:p>
    <w:p>
      <w:pPr>
        <w:pStyle w:val="28"/>
        <w:shd w:val="clear" w:color="auto" w:fill="FFFFFF"/>
        <w:spacing w:beforeAutospacing="0" w:afterAutospacing="0" w:line="360" w:lineRule="auto"/>
        <w:jc w:val="both"/>
        <w:rPr>
          <w:rStyle w:val="36"/>
          <w:rFonts w:hint="eastAsia" w:ascii="宋体" w:hAnsi="宋体" w:eastAsia="宋体" w:cs="宋体"/>
          <w:spacing w:val="8"/>
          <w:sz w:val="21"/>
          <w:szCs w:val="21"/>
          <w:highlight w:val="none"/>
          <w:shd w:val="clear" w:color="auto" w:fill="FFFFFF"/>
        </w:rPr>
      </w:pPr>
      <w:r>
        <w:rPr>
          <w:rStyle w:val="36"/>
          <w:rFonts w:hint="eastAsia" w:ascii="宋体" w:hAnsi="宋体" w:eastAsia="宋体" w:cs="宋体"/>
          <w:spacing w:val="8"/>
          <w:sz w:val="21"/>
          <w:szCs w:val="21"/>
          <w:highlight w:val="none"/>
          <w:shd w:val="clear" w:color="auto" w:fill="FFFFFF"/>
        </w:rPr>
        <w:t>3.3保洁服务</w:t>
      </w:r>
    </w:p>
    <w:tbl>
      <w:tblPr>
        <w:tblStyle w:val="33"/>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16"/>
        <w:gridCol w:w="2567"/>
        <w:gridCol w:w="51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71"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45"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3083"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7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p>
        </w:tc>
        <w:tc>
          <w:tcPr>
            <w:tcW w:w="1545"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基本要求</w:t>
            </w: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1、建立保洁服务的工作制度及工作计划，并按照执行。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2、做好保洁服务工作记录，记录填写规范、保存完好。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3、作业时采取安全防护措施，防止对作业人员或他人造成伤害。相关耗材的环保、安全性等应当符合国家相关规定要求。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4、进入保密区域时，有采购人相关人员全程在场。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1" w:hRule="atLeast"/>
        </w:trPr>
        <w:tc>
          <w:tcPr>
            <w:tcW w:w="37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w:t>
            </w:r>
          </w:p>
        </w:tc>
        <w:tc>
          <w:tcPr>
            <w:tcW w:w="1545"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办公用房区域保洁</w:t>
            </w: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1、地面：地面无垃圾杂物、无泥沙、无污渍。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5"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2、地毯：定时对地毯进行吸尘保洁、清洗，地毯无灰尘、无垃圾、无污渍。定时对各类功能用房办公、会议家具、窗帘等进行清洗、养护，及时添加消耗品。严格遵守采购人的相关管理制度。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3、墙面：大理石、瓷片、喷涂等墙面无灰尘；干净、无污渍、无张贴。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4、楼道梯走廊：楼道梯间、走廊地面目视无杂物、污迹纸屑、无积水，每个单元楼梯级烟头不超过两个，走廊100M²之内烟头不超过一个。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5、楼道梯地面：无痰迹、无积尘、无污染。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6、楼道梯天花：无灰尘、无污渍、无手印、无蜘蛛网。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8"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7、电梯：轿箱四壁干净、无尘、无污迹、无手印。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8、电梯门轨槽、显示屏、按钮开关干净、无尘、无手印、槽内无沙粒。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6"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9、办公室：地面无污迹；墙面无灰尘；无蜘蛛网、整洁、无杂物。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10、办公室：桌椅、沙发、文件柜无灰尘、无污渍、空气清新。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11、办公室玻璃门镜面：玻璃表面无污迹、无手印、无水印。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12、卫生间地面：干净、无异味、无积水、无杂物、无烟头、纸屑、无污渍。保洁人员及时做到响应并到位，卫生间除定期清 洁处，还应根据观众情况巡回保洁。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13、卫生间墙面：瓷片、门、窗无灰尘，便器无黄色污渍，墙面、门无涂画。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14、卫生间设施完好、用品齐全；水喉光亮。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15、卫生间天花、灯具无尘无蜘蛛网；玻璃、镜面无灰尘、无污迹、无手印。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16、公共区域开关灯、指示灯、消防栓：无灰尘、无污迹。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17、烟灰筒、垃圾桶：目视内外壁干净、无粘附物、无污渍、无异味。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地下室</w:t>
            </w:r>
            <w:r>
              <w:rPr>
                <w:rFonts w:hint="eastAsia" w:ascii="宋体" w:hAnsi="宋体" w:eastAsia="宋体" w:cs="宋体"/>
                <w:sz w:val="21"/>
                <w:szCs w:val="21"/>
                <w:highlight w:val="none"/>
                <w:lang w:eastAsia="zh-CN"/>
              </w:rPr>
              <w:t>地面</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无垃圾、无杂物、无积水、无油迹</w:t>
            </w:r>
            <w:r>
              <w:rPr>
                <w:rFonts w:hint="eastAsia" w:ascii="宋体" w:hAnsi="宋体" w:eastAsia="宋体" w:cs="宋体"/>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19、地下室墙面：目视无污渍，无明显灰尘。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20、地下室、地下车库标识牌、消防栓、门窗防护栏等设施无污渍、无灰尘。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7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w:t>
            </w:r>
          </w:p>
        </w:tc>
        <w:tc>
          <w:tcPr>
            <w:tcW w:w="1545"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公共场地区域保洁</w:t>
            </w: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1、绿地无纸屑、无烟头、无石块等杂物。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2、排水明沟：无明显泥沙、树叶、污垢，每100M²烟头、纸屑在两个以下。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3、沙井、污雨水井：无垃圾、底部无沉淀物，内壁无粘附物，井盖无污迹。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4、广场地面无明显污渍、无垃圾、无烟头、果皮。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5、楼旁花台外表洁净、无污渍。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4"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6、玻璃无水印、无污渍、无灰尘。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9"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7、目视垃圾筒表面无污迹、无油迹、无粘附物、无异味。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2"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8、垃圾筒、果皮箱周围无积水。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4"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9、天台、雨蓬：目视天台、雨蓬无垃圾、杂物、排水畅通、无水印、无污渍。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5"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10、水沟无杂物、泥沙堆积和堵塞排水口。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6"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11、生活垃圾日产日清，定期进行卫生消毒灭杀。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5"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12、广告、宣传栏、标示牌：无灰尘、无污迹、干净、光亮。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2"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13、消防设备、器材表面无尘、无污迹。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4"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14、工作记录：相应《清洁工作巡检表》、《卫生间巡回保洁记录表》及《消杀记录表》等记录完整。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7"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15、非工作日每天安排两次对值班值守室进行保洁。时间安排在8:30和18:00。床铺干净整齐，房间物品整齐摆放。卫生间：面盆、浴盆、马桶（干净无毛发、无污垢）。镜子（光亮干净无水迹污迹）。墙面地面（无污渍，无杂物）。物品布放齐全,摆放有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7"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16、严格遵守采购人的相关管理制度。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37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w:t>
            </w:r>
          </w:p>
        </w:tc>
        <w:tc>
          <w:tcPr>
            <w:tcW w:w="1545"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垃圾处理</w:t>
            </w: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1、在指定位置摆放分类垃圾桶，并在显著处张贴垃圾分类标识。分类垃圾桶和垃圾分类标识根据所在城市的要求设置。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2、桶身表面干净无污渍，每日开展至少1次清洁作业。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3、垃圾中转区保持整洁，无明显异味，每日至少开展1次清洁作业。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4、每个工作日内要对楼层产生的垃圾，进行清理分类，并运至垃圾集中堆放点。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5、垃圾装袋，日产日清。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37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1545"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卫生消毒</w:t>
            </w: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1、办公用房区域、公共场所区域和周围环境预防性卫生消毒，消毒后及时通风，每周至少开展1次作业。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2、采取综合措施消灭老鼠、蟑螂，控制室内外蚊虫孳生，达到基本无蝇，每季度至少开展1次作业。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371" w:type="pct"/>
            <w:vMerge w:val="continue"/>
          </w:tcPr>
          <w:p>
            <w:pPr>
              <w:spacing w:line="360" w:lineRule="auto"/>
              <w:jc w:val="center"/>
              <w:rPr>
                <w:rFonts w:hint="eastAsia" w:ascii="宋体" w:hAnsi="宋体" w:eastAsia="宋体" w:cs="宋体"/>
                <w:sz w:val="21"/>
                <w:szCs w:val="21"/>
                <w:highlight w:val="none"/>
              </w:rPr>
            </w:pPr>
          </w:p>
        </w:tc>
        <w:tc>
          <w:tcPr>
            <w:tcW w:w="1545" w:type="pct"/>
            <w:vMerge w:val="continue"/>
          </w:tcPr>
          <w:p>
            <w:pPr>
              <w:spacing w:line="360" w:lineRule="auto"/>
              <w:jc w:val="center"/>
              <w:rPr>
                <w:rFonts w:hint="eastAsia" w:ascii="宋体" w:hAnsi="宋体" w:eastAsia="宋体" w:cs="宋体"/>
                <w:sz w:val="21"/>
                <w:szCs w:val="21"/>
                <w:highlight w:val="none"/>
              </w:rPr>
            </w:pPr>
          </w:p>
        </w:tc>
        <w:tc>
          <w:tcPr>
            <w:tcW w:w="3083"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3、发生公共卫生事件时，邀请专业单位开展消毒、检测等工作。</w:t>
            </w:r>
          </w:p>
        </w:tc>
      </w:tr>
    </w:tbl>
    <w:p>
      <w:pPr>
        <w:pStyle w:val="28"/>
        <w:shd w:val="clear" w:color="auto" w:fill="FFFFFF"/>
        <w:spacing w:beforeAutospacing="0" w:afterAutospacing="0" w:line="360" w:lineRule="auto"/>
        <w:jc w:val="both"/>
        <w:rPr>
          <w:rStyle w:val="36"/>
          <w:rFonts w:hint="eastAsia" w:ascii="宋体" w:hAnsi="宋体" w:eastAsia="宋体" w:cs="宋体"/>
          <w:spacing w:val="8"/>
          <w:sz w:val="21"/>
          <w:szCs w:val="21"/>
          <w:highlight w:val="none"/>
          <w:shd w:val="clear" w:color="auto" w:fill="FFFFFF"/>
        </w:rPr>
      </w:pPr>
      <w:r>
        <w:rPr>
          <w:rStyle w:val="36"/>
          <w:rFonts w:hint="eastAsia" w:ascii="宋体" w:hAnsi="宋体" w:eastAsia="宋体" w:cs="宋体"/>
          <w:spacing w:val="8"/>
          <w:sz w:val="21"/>
          <w:szCs w:val="21"/>
          <w:highlight w:val="none"/>
          <w:shd w:val="clear" w:color="auto" w:fill="FFFFFF"/>
        </w:rPr>
        <w:t>3.</w:t>
      </w:r>
      <w:r>
        <w:rPr>
          <w:rStyle w:val="36"/>
          <w:rFonts w:hint="eastAsia" w:ascii="宋体" w:hAnsi="宋体" w:eastAsia="宋体" w:cs="宋体"/>
          <w:spacing w:val="8"/>
          <w:sz w:val="21"/>
          <w:szCs w:val="21"/>
          <w:highlight w:val="none"/>
          <w:shd w:val="clear" w:color="auto" w:fill="FFFFFF"/>
          <w:lang w:val="en-US"/>
        </w:rPr>
        <w:t>3.1</w:t>
      </w:r>
      <w:r>
        <w:rPr>
          <w:rStyle w:val="36"/>
          <w:rFonts w:hint="eastAsia" w:ascii="宋体" w:hAnsi="宋体" w:eastAsia="宋体" w:cs="宋体"/>
          <w:spacing w:val="8"/>
          <w:sz w:val="21"/>
          <w:szCs w:val="21"/>
          <w:highlight w:val="none"/>
          <w:shd w:val="clear" w:color="auto" w:fill="FFFFFF"/>
        </w:rPr>
        <w:t>具体清洁要求</w:t>
      </w:r>
    </w:p>
    <w:tbl>
      <w:tblPr>
        <w:tblStyle w:val="33"/>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42"/>
        <w:gridCol w:w="2550"/>
        <w:gridCol w:w="51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87"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35"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材质</w:t>
            </w:r>
          </w:p>
        </w:tc>
        <w:tc>
          <w:tcPr>
            <w:tcW w:w="3077"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清洁要求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87"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35"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瓷砖地面</w:t>
            </w:r>
          </w:p>
        </w:tc>
        <w:tc>
          <w:tcPr>
            <w:tcW w:w="307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1、日常清洁：推尘，保持地面干净无杂物。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87" w:type="pct"/>
            <w:vMerge w:val="continue"/>
          </w:tcPr>
          <w:p>
            <w:pPr>
              <w:spacing w:line="360" w:lineRule="auto"/>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2、深度清洁：使用洗洁精或肥皂水清理。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87"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35"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石材地面</w:t>
            </w:r>
          </w:p>
        </w:tc>
        <w:tc>
          <w:tcPr>
            <w:tcW w:w="307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1、根据各区域的人流量及大理石的实际磨损程度制定大理石的晶面保养计划。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387"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2、启动晶面机，使用中性清洁剂清洁，避免使用强酸或强碱清洁剂，定期进行基础维护。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87"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35" w:type="pct"/>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地胶板地面</w:t>
            </w:r>
          </w:p>
        </w:tc>
        <w:tc>
          <w:tcPr>
            <w:tcW w:w="307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1、定期保养。使用中性清洁剂清洁，避免使用强酸或强碱清洁剂，定期进行基础维护。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387"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2、日常维护。使用湿润的拖把清洁，污染严重时局部清洁。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87"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35" w:type="pc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乳胶漆内墙</w:t>
            </w:r>
          </w:p>
        </w:tc>
        <w:tc>
          <w:tcPr>
            <w:tcW w:w="307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有污渍时用半干布擦拭。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87"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35" w:type="pc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石材内墙</w:t>
            </w:r>
          </w:p>
        </w:tc>
        <w:tc>
          <w:tcPr>
            <w:tcW w:w="3077"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有污渍时用半干布擦拭。</w:t>
            </w:r>
          </w:p>
        </w:tc>
      </w:tr>
    </w:tbl>
    <w:p>
      <w:pPr>
        <w:pStyle w:val="28"/>
        <w:shd w:val="clear" w:color="auto" w:fill="FFFFFF"/>
        <w:spacing w:beforeAutospacing="0" w:afterAutospacing="0" w:line="360" w:lineRule="auto"/>
        <w:jc w:val="both"/>
        <w:rPr>
          <w:rStyle w:val="36"/>
          <w:rFonts w:hint="eastAsia" w:ascii="宋体" w:hAnsi="宋体" w:eastAsia="宋体" w:cs="宋体"/>
          <w:spacing w:val="8"/>
          <w:sz w:val="21"/>
          <w:szCs w:val="21"/>
          <w:highlight w:val="none"/>
          <w:shd w:val="clear" w:color="auto" w:fill="FFFFFF"/>
        </w:rPr>
      </w:pPr>
      <w:r>
        <w:rPr>
          <w:rStyle w:val="36"/>
          <w:rFonts w:hint="eastAsia" w:ascii="宋体" w:hAnsi="宋体" w:eastAsia="宋体" w:cs="宋体"/>
          <w:spacing w:val="8"/>
          <w:sz w:val="21"/>
          <w:szCs w:val="21"/>
          <w:highlight w:val="none"/>
          <w:shd w:val="clear" w:color="auto" w:fill="FFFFFF"/>
        </w:rPr>
        <w:t>3.</w:t>
      </w:r>
      <w:r>
        <w:rPr>
          <w:rStyle w:val="36"/>
          <w:rFonts w:hint="eastAsia" w:ascii="宋体" w:hAnsi="宋体" w:eastAsia="宋体" w:cs="宋体"/>
          <w:spacing w:val="8"/>
          <w:sz w:val="21"/>
          <w:szCs w:val="21"/>
          <w:highlight w:val="none"/>
          <w:shd w:val="clear" w:color="auto" w:fill="FFFFFF"/>
          <w:lang w:val="en-US"/>
        </w:rPr>
        <w:t>4</w:t>
      </w:r>
      <w:r>
        <w:rPr>
          <w:rStyle w:val="36"/>
          <w:rFonts w:hint="eastAsia" w:ascii="宋体" w:hAnsi="宋体" w:eastAsia="宋体" w:cs="宋体"/>
          <w:spacing w:val="8"/>
          <w:sz w:val="21"/>
          <w:szCs w:val="21"/>
          <w:highlight w:val="none"/>
          <w:shd w:val="clear" w:color="auto" w:fill="FFFFFF"/>
        </w:rPr>
        <w:t>绿化服务</w:t>
      </w:r>
    </w:p>
    <w:tbl>
      <w:tblPr>
        <w:tblStyle w:val="33"/>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38"/>
        <w:gridCol w:w="2550"/>
        <w:gridCol w:w="5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84"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35"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3079"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84"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35"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基本要求</w:t>
            </w: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1、制定绿化服务的工作制度及工作计划，并按照执行。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84"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5"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2、做好绿化服务工作记录，填写规范。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84"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5"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3、作业时采取安全防护措施， 防止对作业人员或他人造成伤害。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84"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5"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4、相关耗材的环保、安全性应当符合规定要求。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84"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35"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室外绿化养护</w:t>
            </w: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1、严格按照采购人的绿化养护工作要求进行绿化养护，绿化进行科学养护，植物定时进行更换，清除体表灰尘，促进植株美观，确保植物处于良好的生长状态。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2、花草树木长势良好，无旱涝、缺水现象，及时做好病虫防治工作。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3、绿地无明显杂草、烟头、杂物、垃圾。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4、乔木、灌木：树形美观、无明显枯病树枝、无枯黄叶，正常开花。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5、绿篱：平齐、造型明显。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6、草坪：高度一致，并须控制在10厘米以内。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7、无死苗，绿篱、草坪完整无缺，出现死苗、缺苗，一周内补种。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8、作业时无漏洒现象，绿化垃圾当天内清理完毕。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9、绿化无垃圾、烟头等杂物。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10、新种树木有保护架，台风前做好树木保护措施，暴风雨过后12小时草地无明显积水，树木无倾斜，断枝、落叶在12小时内处理完毕。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11、绿化水管、阀门、水龙头保持完好，如有自然损坏及时报告维修。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12、制定和落实绿化养护工作计划，书面告知采购人，记录每次绿化养护工作，每月就落实情况与采购人确认。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13、绿化工作人员操作熟练、规范。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84" w:type="pct"/>
            <w:vMerge w:val="continue"/>
          </w:tcPr>
          <w:p>
            <w:pPr>
              <w:spacing w:line="360" w:lineRule="auto"/>
              <w:jc w:val="center"/>
              <w:rPr>
                <w:rFonts w:hint="eastAsia" w:ascii="宋体" w:hAnsi="宋体" w:eastAsia="宋体" w:cs="宋体"/>
                <w:sz w:val="21"/>
                <w:szCs w:val="21"/>
                <w:highlight w:val="none"/>
              </w:rPr>
            </w:pPr>
          </w:p>
        </w:tc>
        <w:tc>
          <w:tcPr>
            <w:tcW w:w="1535" w:type="pct"/>
            <w:vMerge w:val="continue"/>
          </w:tcPr>
          <w:p>
            <w:pPr>
              <w:spacing w:line="360" w:lineRule="auto"/>
              <w:jc w:val="center"/>
              <w:rPr>
                <w:rFonts w:hint="eastAsia" w:ascii="宋体" w:hAnsi="宋体" w:eastAsia="宋体" w:cs="宋体"/>
                <w:sz w:val="21"/>
                <w:szCs w:val="21"/>
                <w:highlight w:val="none"/>
              </w:rPr>
            </w:pPr>
          </w:p>
        </w:tc>
        <w:tc>
          <w:tcPr>
            <w:tcW w:w="3079"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14、对于采购人提出的合理意见及时落实或整改。</w:t>
            </w:r>
          </w:p>
        </w:tc>
      </w:tr>
    </w:tbl>
    <w:p>
      <w:pPr>
        <w:pStyle w:val="28"/>
        <w:shd w:val="clear" w:color="auto" w:fill="FFFFFF"/>
        <w:spacing w:beforeAutospacing="0" w:afterAutospacing="0" w:line="360" w:lineRule="auto"/>
        <w:jc w:val="both"/>
        <w:rPr>
          <w:rStyle w:val="36"/>
          <w:rFonts w:hint="eastAsia" w:ascii="宋体" w:hAnsi="宋体" w:eastAsia="宋体" w:cs="宋体"/>
          <w:spacing w:val="8"/>
          <w:sz w:val="21"/>
          <w:szCs w:val="21"/>
          <w:highlight w:val="none"/>
          <w:shd w:val="clear" w:color="auto" w:fill="FFFFFF"/>
        </w:rPr>
      </w:pPr>
      <w:r>
        <w:rPr>
          <w:rStyle w:val="36"/>
          <w:rFonts w:hint="eastAsia" w:ascii="宋体" w:hAnsi="宋体" w:eastAsia="宋体" w:cs="宋体"/>
          <w:spacing w:val="8"/>
          <w:sz w:val="21"/>
          <w:szCs w:val="21"/>
          <w:highlight w:val="none"/>
          <w:shd w:val="clear" w:color="auto" w:fill="FFFFFF"/>
        </w:rPr>
        <w:t>3.5保安服务</w:t>
      </w:r>
    </w:p>
    <w:tbl>
      <w:tblPr>
        <w:tblStyle w:val="33"/>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50"/>
        <w:gridCol w:w="2547"/>
        <w:gridCol w:w="510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91"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33"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3074"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33"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基本要求</w:t>
            </w: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1、建立保安服务相关制度，并按照执行。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2、对巡查、值守及异常情况等做好相关记录，填写规范，保存完好。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3、配备保安服务必要的器材。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33"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出入管理</w:t>
            </w: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1、办公楼 (区) 主出入口应当实行 24小时值班制。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2、设置门岗。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3、在出入口对外来人员及其携带大件物品、外来车辆进行询问和记录，并与相关部门取得联系，同意后方可进入。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4、大件物品搬出有相关部门开具的证明和清单，经核实后放行。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5、排查可疑人员，对于不出示证件、不按规定登记、不听劝阻而强行闯入者，及时劝离，必要时通知公安机关进行处理。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6、配合相关部门积极疏导上访人员，有效疏导如出入口人群集聚、车辆拥堵、货物堵塞道路等情况。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8、提供现场接待服务。</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①做好来访人员、车辆进出证件登记，及时通报。</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②严禁无关人员、可疑人员和危险物品进入办公楼(区)内。</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③物品摆放整齐有序、分类放置。</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④现场办理等待时间不超过5分钟，等待较长时间应当及时沟通。</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⑤对来访人员咨询、建议、求助等事项，及时处理或答复，处理和答复率100%。</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⑥接待服务工作时间应当覆盖采购人工作时间(上班时间：8:30-12:00，14:30-17:30)。</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⑦与被访人进行核实确认；告知被访人的办公室门牌号；告知访客注意事项(根据实际需要填写注意事项)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9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33"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值班巡查</w:t>
            </w: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1、实行每天不少于3班，每班不少于2名保安的全天24小时对物业辖区范围治安情况进行巡查和保卫监控。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2、正常上班时间上、</w:t>
            </w:r>
            <w:bookmarkStart w:id="233" w:name="_GoBack"/>
            <w:bookmarkEnd w:id="233"/>
            <w:r>
              <w:rPr>
                <w:rFonts w:hint="eastAsia" w:ascii="宋体" w:hAnsi="宋体" w:eastAsia="宋体" w:cs="宋体"/>
                <w:sz w:val="21"/>
                <w:szCs w:val="21"/>
                <w:highlight w:val="none"/>
              </w:rPr>
              <w:t>下午巡逻各不少于1次，非上班时间每2小时巡逻不少于1次，巡逻必须对所有巡更点进行签到。发现和查问进入办公区域的陌生人员，检查办公楼内重点部位及各层门、窗、设施设备、水电、消防等情况。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3、值班保安24小时密切注视监督视屏及各设备运行状态，每班至少进行一次各类信号检查，不得离岗。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33"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监控值守</w:t>
            </w: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1、监控室环境符合系统设备运行要求，定期进行检查和检测，确保系统功能正常。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2、监控设备24小时正常运行，监控室实行专人24小时值班制度。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3、监控记录画面清晰，视频监控无死角、无盲区。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4、值班期间遵守操作规程和保密制度，做好监控记录的保存工作。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5、监控记录保持完整，保存时间不应少于</w:t>
            </w:r>
            <w:r>
              <w:rPr>
                <w:rFonts w:hint="eastAsia" w:ascii="宋体" w:hAnsi="宋体" w:eastAsia="宋体" w:cs="宋体"/>
                <w:sz w:val="21"/>
                <w:szCs w:val="21"/>
                <w:highlight w:val="none"/>
                <w:lang w:val="en-US" w:eastAsia="zh-CN"/>
              </w:rPr>
              <w:t>180</w:t>
            </w:r>
            <w:r>
              <w:rPr>
                <w:rFonts w:hint="eastAsia" w:ascii="宋体" w:hAnsi="宋体" w:eastAsia="宋体" w:cs="宋体"/>
                <w:sz w:val="21"/>
                <w:szCs w:val="21"/>
                <w:highlight w:val="none"/>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6、无关人员进入监控室或查阅监控记录，经授权人批准并做好相关记录。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7、监控室收到火情等报警信号、其他异常情况信号后，及时报警并安排其他安保人员前往现场进行处理。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33"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车辆停放</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1、建立健全车辆管理制度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2、协助指引车辆遵守车辆停放和进出秩序；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3、严禁在办公楼的公用走道、楼梯间、安全出口处等公共区域停放车辆或充电。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4、非机动车定点有序停放。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5、发现车辆异常情况及时通知车主，并做好登记；发生交通事故、自然灾害等意外事故时及时赶赴现场疏导和协助处理，响应时间不超过3分钟。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6、有对进入物业区域的所有车辆，督促其遵守停放制度、纠正违章行驶、停放的职责，有阻止存在重大安全隐患的车辆进入物业区域的权利(如爆炸物品、剧毒、恶臭、易燃、易爆等化学物品)。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533"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消防安全管理</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1、建立消防安全责任制，确定各级消防安全责任人及其职责。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2、消防控制室实行24小时值班制度，每班不少于2人。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3、消火栓、应急照明、应急物资、消防及人员逃生通道、消防车通道可随时正常使用。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4、易燃易爆品设专区专人管理，做好相关记录。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5、定期组织消防安全宣传，每半年至少开展1次消防演练。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533"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突发事件处理</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1、制定突发事件安全责任书，明确突发事件责任人及应承担的安全责任。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2、建立应急突发事件处置队伍，明确各自的职责。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3、识别、分析各种潜在风险，针对不同风险类型制定相应解决方案，并配备应急物资。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4、每半年至少开展1次突发事件应急演练，并有相应记录。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5、发生意外事件时，及时采取应急措施，维护办公区域物业服务正常进行，保护人身财产安全。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6、办公区域物业服务应急预案终止实施后，积极采取措施，在尽可能短的时间内，消除事故带来的不良影响，妥善安置和慰问受害及受影响的人员和部门。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91"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1533" w:type="pct"/>
            <w:vMerge w:val="continue"/>
          </w:tcPr>
          <w:p>
            <w:pPr>
              <w:autoSpaceDE w:val="0"/>
              <w:autoSpaceDN w:val="0"/>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7、事故处理后，及时形成事故应急总结报告，完善应急救援工作方案。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91"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533"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大型活动秩序</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1、制定相应的活动秩序维护方案，合理安排人员，并对场所的安全隐患进行排查。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2、应当保障通道、出入口、停车场等区域畅通。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3、活动举办过程中，做好现场秩序的维护和突发事故的处置工作，确保活动正常进行。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91" w:type="pct"/>
            <w:vMerge w:val="continue"/>
          </w:tcPr>
          <w:p>
            <w:pPr>
              <w:spacing w:line="360" w:lineRule="auto"/>
              <w:jc w:val="center"/>
              <w:rPr>
                <w:rFonts w:hint="eastAsia" w:ascii="宋体" w:hAnsi="宋体" w:eastAsia="宋体" w:cs="宋体"/>
                <w:sz w:val="21"/>
                <w:szCs w:val="21"/>
                <w:highlight w:val="none"/>
              </w:rPr>
            </w:pPr>
          </w:p>
        </w:tc>
        <w:tc>
          <w:tcPr>
            <w:tcW w:w="1533" w:type="pct"/>
            <w:vMerge w:val="continue"/>
          </w:tcPr>
          <w:p>
            <w:pPr>
              <w:spacing w:line="360" w:lineRule="auto"/>
              <w:jc w:val="center"/>
              <w:rPr>
                <w:rFonts w:hint="eastAsia" w:ascii="宋体" w:hAnsi="宋体" w:eastAsia="宋体" w:cs="宋体"/>
                <w:sz w:val="21"/>
                <w:szCs w:val="21"/>
                <w:highlight w:val="none"/>
              </w:rPr>
            </w:pP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4、活动结束后及时做好清理工作，并对活动保障进行总结。</w:t>
            </w:r>
          </w:p>
        </w:tc>
      </w:tr>
    </w:tbl>
    <w:p>
      <w:pPr>
        <w:pStyle w:val="28"/>
        <w:shd w:val="clear" w:color="auto" w:fill="FFFFFF"/>
        <w:spacing w:beforeAutospacing="0" w:afterAutospacing="0" w:line="360" w:lineRule="auto"/>
        <w:jc w:val="both"/>
        <w:rPr>
          <w:rStyle w:val="36"/>
          <w:rFonts w:hint="eastAsia" w:ascii="宋体" w:hAnsi="宋体" w:eastAsia="宋体" w:cs="宋体"/>
          <w:spacing w:val="8"/>
          <w:sz w:val="21"/>
          <w:szCs w:val="21"/>
          <w:highlight w:val="none"/>
          <w:shd w:val="clear" w:color="auto" w:fill="FFFFFF"/>
        </w:rPr>
      </w:pPr>
      <w:r>
        <w:rPr>
          <w:rStyle w:val="36"/>
          <w:rFonts w:hint="eastAsia" w:ascii="宋体" w:hAnsi="宋体" w:eastAsia="宋体" w:cs="宋体"/>
          <w:spacing w:val="8"/>
          <w:sz w:val="21"/>
          <w:szCs w:val="21"/>
          <w:highlight w:val="none"/>
          <w:shd w:val="clear" w:color="auto" w:fill="FFFFFF"/>
        </w:rPr>
        <w:t>3.6会议服务</w:t>
      </w:r>
    </w:p>
    <w:tbl>
      <w:tblPr>
        <w:tblStyle w:val="33"/>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50"/>
        <w:gridCol w:w="2547"/>
        <w:gridCol w:w="510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6" w:hRule="atLeast"/>
        </w:trPr>
        <w:tc>
          <w:tcPr>
            <w:tcW w:w="391"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33"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3074"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33"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会议受理</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接受办公室会议安排，记录会议需求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33"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会前准备</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做好会议室的通风、室内温度调节、桌椅摆放、台牌摆放、茶水准备等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33"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引导服务</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引导人员引导手势规范，语言标准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33"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会中服务</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巡视会场，维护秩序和处置突发应急事件的工作，适当添加茶水。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91"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33"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会后整理</w:t>
            </w:r>
          </w:p>
        </w:tc>
        <w:tc>
          <w:tcPr>
            <w:tcW w:w="3074" w:type="pct"/>
            <w:vAlign w:val="center"/>
          </w:tcPr>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做好清洁，桌椅归回原位，摆放整齐。</w:t>
            </w:r>
          </w:p>
        </w:tc>
      </w:tr>
    </w:tbl>
    <w:p>
      <w:pPr>
        <w:pStyle w:val="28"/>
        <w:shd w:val="clear" w:color="auto" w:fill="FFFFFF"/>
        <w:spacing w:beforeAutospacing="0" w:afterAutospacing="0" w:line="360" w:lineRule="auto"/>
        <w:jc w:val="both"/>
        <w:rPr>
          <w:rStyle w:val="36"/>
          <w:rFonts w:hint="eastAsia" w:ascii="宋体" w:hAnsi="宋体" w:eastAsia="宋体" w:cs="宋体"/>
          <w:spacing w:val="8"/>
          <w:sz w:val="21"/>
          <w:szCs w:val="21"/>
          <w:highlight w:val="none"/>
          <w:shd w:val="clear" w:color="auto" w:fill="FFFFFF"/>
        </w:rPr>
      </w:pPr>
      <w:r>
        <w:rPr>
          <w:rStyle w:val="36"/>
          <w:rFonts w:hint="eastAsia" w:ascii="宋体" w:hAnsi="宋体" w:eastAsia="宋体" w:cs="宋体"/>
          <w:spacing w:val="8"/>
          <w:sz w:val="21"/>
          <w:szCs w:val="21"/>
          <w:highlight w:val="none"/>
          <w:shd w:val="clear" w:color="auto" w:fill="FFFFFF"/>
        </w:rPr>
        <w:t>4.供应商履行合同所需的设备</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61"/>
        <w:gridCol w:w="2939"/>
        <w:gridCol w:w="117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48"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04"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用途</w:t>
            </w:r>
          </w:p>
        </w:tc>
        <w:tc>
          <w:tcPr>
            <w:tcW w:w="1726"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作业设备名称</w:t>
            </w:r>
          </w:p>
        </w:tc>
        <w:tc>
          <w:tcPr>
            <w:tcW w:w="692"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528" w:type="pct"/>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48"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04"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基本服务</w:t>
            </w:r>
          </w:p>
        </w:tc>
        <w:tc>
          <w:tcPr>
            <w:tcW w:w="1726"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电脑</w:t>
            </w:r>
          </w:p>
        </w:tc>
        <w:tc>
          <w:tcPr>
            <w:tcW w:w="692"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28" w:type="pct"/>
            <w:vAlign w:val="center"/>
          </w:tcPr>
          <w:p>
            <w:pPr>
              <w:autoSpaceDE w:val="0"/>
              <w:autoSpaceDN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48" w:type="pct"/>
            <w:vAlign w:val="center"/>
          </w:tcPr>
          <w:p>
            <w:pPr>
              <w:autoSpaceDE w:val="0"/>
              <w:autoSpaceDN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504" w:type="pct"/>
            <w:vMerge w:val="continue"/>
            <w:vAlign w:val="center"/>
          </w:tcPr>
          <w:p>
            <w:pPr>
              <w:autoSpaceDE w:val="0"/>
              <w:autoSpaceDN w:val="0"/>
              <w:spacing w:line="360" w:lineRule="auto"/>
              <w:jc w:val="center"/>
              <w:rPr>
                <w:rFonts w:hint="eastAsia" w:ascii="宋体" w:hAnsi="宋体" w:eastAsia="宋体" w:cs="宋体"/>
                <w:sz w:val="21"/>
                <w:szCs w:val="21"/>
                <w:highlight w:val="none"/>
              </w:rPr>
            </w:pPr>
          </w:p>
        </w:tc>
        <w:tc>
          <w:tcPr>
            <w:tcW w:w="1726"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打印机</w:t>
            </w:r>
          </w:p>
        </w:tc>
        <w:tc>
          <w:tcPr>
            <w:tcW w:w="692" w:type="pct"/>
            <w:vAlign w:val="center"/>
          </w:tcPr>
          <w:p>
            <w:pPr>
              <w:autoSpaceDE w:val="0"/>
              <w:autoSpaceDN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8" w:type="pct"/>
            <w:vAlign w:val="center"/>
          </w:tcPr>
          <w:p>
            <w:pPr>
              <w:autoSpaceDE w:val="0"/>
              <w:autoSpaceDN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48" w:type="pct"/>
            <w:vAlign w:val="center"/>
          </w:tcPr>
          <w:p>
            <w:pPr>
              <w:autoSpaceDE w:val="0"/>
              <w:autoSpaceDN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504"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保洁服务</w:t>
            </w:r>
          </w:p>
        </w:tc>
        <w:tc>
          <w:tcPr>
            <w:tcW w:w="1726"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地面清扫机</w:t>
            </w:r>
          </w:p>
        </w:tc>
        <w:tc>
          <w:tcPr>
            <w:tcW w:w="692"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28"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48" w:type="pct"/>
            <w:vAlign w:val="center"/>
          </w:tcPr>
          <w:p>
            <w:pPr>
              <w:autoSpaceDE w:val="0"/>
              <w:autoSpaceDN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504"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绿化服务</w:t>
            </w:r>
          </w:p>
        </w:tc>
        <w:tc>
          <w:tcPr>
            <w:tcW w:w="1726"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绿化用机械</w:t>
            </w:r>
          </w:p>
        </w:tc>
        <w:tc>
          <w:tcPr>
            <w:tcW w:w="692"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28"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48" w:type="pct"/>
            <w:vMerge w:val="restart"/>
            <w:vAlign w:val="center"/>
          </w:tcPr>
          <w:p>
            <w:pPr>
              <w:autoSpaceDE w:val="0"/>
              <w:autoSpaceDN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504" w:type="pct"/>
            <w:vMerge w:val="restar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保安服务</w:t>
            </w:r>
          </w:p>
        </w:tc>
        <w:tc>
          <w:tcPr>
            <w:tcW w:w="1726"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成套保安器械</w:t>
            </w:r>
          </w:p>
        </w:tc>
        <w:tc>
          <w:tcPr>
            <w:tcW w:w="692" w:type="pct"/>
            <w:vAlign w:val="center"/>
          </w:tcPr>
          <w:p>
            <w:pPr>
              <w:autoSpaceDE w:val="0"/>
              <w:autoSpaceDN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528"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48" w:type="pct"/>
            <w:vMerge w:val="continue"/>
            <w:vAlign w:val="center"/>
          </w:tcPr>
          <w:p>
            <w:pPr>
              <w:autoSpaceDE w:val="0"/>
              <w:autoSpaceDN w:val="0"/>
              <w:spacing w:line="360" w:lineRule="auto"/>
              <w:jc w:val="center"/>
              <w:rPr>
                <w:rFonts w:hint="eastAsia" w:ascii="宋体" w:hAnsi="宋体" w:eastAsia="宋体" w:cs="宋体"/>
                <w:sz w:val="21"/>
                <w:szCs w:val="21"/>
                <w:highlight w:val="none"/>
              </w:rPr>
            </w:pPr>
          </w:p>
        </w:tc>
        <w:tc>
          <w:tcPr>
            <w:tcW w:w="1504" w:type="pct"/>
            <w:vMerge w:val="continue"/>
            <w:vAlign w:val="center"/>
          </w:tcPr>
          <w:p>
            <w:pPr>
              <w:autoSpaceDE w:val="0"/>
              <w:autoSpaceDN w:val="0"/>
              <w:spacing w:line="360" w:lineRule="auto"/>
              <w:jc w:val="center"/>
              <w:rPr>
                <w:rFonts w:hint="eastAsia" w:ascii="宋体" w:hAnsi="宋体" w:eastAsia="宋体" w:cs="宋体"/>
                <w:sz w:val="21"/>
                <w:szCs w:val="21"/>
                <w:highlight w:val="none"/>
              </w:rPr>
            </w:pPr>
          </w:p>
        </w:tc>
        <w:tc>
          <w:tcPr>
            <w:tcW w:w="1726"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对讲机</w:t>
            </w:r>
          </w:p>
        </w:tc>
        <w:tc>
          <w:tcPr>
            <w:tcW w:w="692"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528" w:type="pct"/>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r>
    </w:tbl>
    <w:p>
      <w:pPr>
        <w:pStyle w:val="28"/>
        <w:numPr>
          <w:ilvl w:val="0"/>
          <w:numId w:val="0"/>
        </w:numPr>
        <w:shd w:val="clear" w:color="auto" w:fill="FFFFFF"/>
        <w:spacing w:before="0" w:beforeAutospacing="0" w:after="0" w:afterAutospacing="0" w:line="360" w:lineRule="auto"/>
        <w:jc w:val="both"/>
        <w:rPr>
          <w:rStyle w:val="36"/>
          <w:rFonts w:hint="eastAsia" w:ascii="宋体" w:hAnsi="宋体" w:eastAsia="宋体" w:cs="宋体"/>
          <w:color w:val="auto"/>
          <w:spacing w:val="8"/>
          <w:sz w:val="21"/>
          <w:szCs w:val="21"/>
          <w:highlight w:val="none"/>
          <w:shd w:val="clear" w:color="auto" w:fill="FFFFFF"/>
        </w:rPr>
      </w:pPr>
      <w:r>
        <w:rPr>
          <w:rStyle w:val="36"/>
          <w:rFonts w:hint="eastAsia" w:ascii="宋体" w:hAnsi="宋体" w:eastAsia="宋体" w:cs="宋体"/>
          <w:color w:val="auto"/>
          <w:spacing w:val="8"/>
          <w:sz w:val="21"/>
          <w:szCs w:val="21"/>
          <w:highlight w:val="none"/>
          <w:shd w:val="clear" w:color="auto" w:fill="FFFFFF"/>
          <w:lang w:val="en-US" w:eastAsia="zh-CN"/>
        </w:rPr>
        <w:t>5.</w:t>
      </w:r>
      <w:r>
        <w:rPr>
          <w:rStyle w:val="36"/>
          <w:rFonts w:hint="eastAsia" w:ascii="宋体" w:hAnsi="宋体" w:eastAsia="宋体" w:cs="宋体"/>
          <w:color w:val="auto"/>
          <w:spacing w:val="8"/>
          <w:sz w:val="21"/>
          <w:szCs w:val="21"/>
          <w:highlight w:val="none"/>
          <w:shd w:val="clear" w:color="auto" w:fill="FFFFFF"/>
        </w:rPr>
        <w:t>物业管理服务人员需求</w:t>
      </w:r>
    </w:p>
    <w:tbl>
      <w:tblPr>
        <w:tblStyle w:val="3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075"/>
        <w:gridCol w:w="963"/>
        <w:gridCol w:w="985"/>
        <w:gridCol w:w="4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部门职能</w:t>
            </w:r>
          </w:p>
        </w:tc>
        <w:tc>
          <w:tcPr>
            <w:tcW w:w="632" w:type="pct"/>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w:t>
            </w:r>
          </w:p>
        </w:tc>
        <w:tc>
          <w:tcPr>
            <w:tcW w:w="566" w:type="pct"/>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同时在岗人数</w:t>
            </w:r>
          </w:p>
        </w:tc>
        <w:tc>
          <w:tcPr>
            <w:tcW w:w="579" w:type="pct"/>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岗位所需人数</w:t>
            </w:r>
          </w:p>
        </w:tc>
        <w:tc>
          <w:tcPr>
            <w:tcW w:w="2638" w:type="pct"/>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备注（岗位所需服务时长或时段、需具备的上岗资格证、人员学历、工作经验等要求）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服务中心</w:t>
            </w:r>
          </w:p>
        </w:tc>
        <w:tc>
          <w:tcPr>
            <w:tcW w:w="632"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经理</w:t>
            </w:r>
          </w:p>
        </w:tc>
        <w:tc>
          <w:tcPr>
            <w:tcW w:w="566"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9"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38" w:type="pct"/>
            <w:vAlign w:val="center"/>
          </w:tcPr>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8小时，合同期内在岗率</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p>
          <w:p>
            <w:pPr>
              <w:autoSpaceDE w:val="0"/>
              <w:autoSpaceDN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具有5年或以上办公物业项目经理管理经验（提供投标人加盖公章的个人工作履历）；</w:t>
            </w:r>
          </w:p>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（上岗时提供健康体检证明和无犯罪记录证明）。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restar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tc>
        <w:tc>
          <w:tcPr>
            <w:tcW w:w="632"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w:t>
            </w:r>
          </w:p>
        </w:tc>
        <w:tc>
          <w:tcPr>
            <w:tcW w:w="566"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9"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38" w:type="pct"/>
            <w:vAlign w:val="center"/>
          </w:tcPr>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8小时，合同期内在岗率100%；</w:t>
            </w:r>
          </w:p>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年或以上</w:t>
            </w:r>
            <w:r>
              <w:rPr>
                <w:rFonts w:hint="eastAsia" w:ascii="宋体" w:hAnsi="宋体" w:eastAsia="宋体" w:cs="宋体"/>
                <w:color w:val="auto"/>
                <w:sz w:val="21"/>
                <w:szCs w:val="21"/>
                <w:highlight w:val="none"/>
                <w:lang w:eastAsia="zh-CN"/>
              </w:rPr>
              <w:t>保洁</w:t>
            </w:r>
            <w:r>
              <w:rPr>
                <w:rFonts w:hint="eastAsia" w:ascii="宋体" w:hAnsi="宋体" w:eastAsia="宋体" w:cs="宋体"/>
                <w:color w:val="auto"/>
                <w:sz w:val="21"/>
                <w:szCs w:val="21"/>
                <w:highlight w:val="none"/>
              </w:rPr>
              <w:t>工作经验；</w:t>
            </w:r>
          </w:p>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周岁以下（上岗时提供健康体检证明）。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632"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保洁员</w:t>
            </w:r>
          </w:p>
        </w:tc>
        <w:tc>
          <w:tcPr>
            <w:tcW w:w="566"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79"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638" w:type="pct"/>
            <w:vAlign w:val="center"/>
          </w:tcPr>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8小时，合同期内在岗率100%；</w:t>
            </w:r>
          </w:p>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周岁以下（上岗时提供健康体检证明）。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绿化服务</w:t>
            </w:r>
          </w:p>
        </w:tc>
        <w:tc>
          <w:tcPr>
            <w:tcW w:w="632"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绿化工</w:t>
            </w:r>
          </w:p>
        </w:tc>
        <w:tc>
          <w:tcPr>
            <w:tcW w:w="566"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579"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638" w:type="pct"/>
            <w:vAlign w:val="center"/>
          </w:tcPr>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具有</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年或以上绿化养护服务工作经验</w:t>
            </w:r>
            <w:r>
              <w:rPr>
                <w:rFonts w:hint="eastAsia" w:ascii="宋体" w:hAnsi="宋体" w:eastAsia="宋体" w:cs="宋体"/>
                <w:color w:val="auto"/>
                <w:sz w:val="21"/>
                <w:szCs w:val="21"/>
                <w:highlight w:val="none"/>
              </w:rPr>
              <w:t>（上岗时提供健康体检证明）。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restar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w:t>
            </w:r>
          </w:p>
        </w:tc>
        <w:tc>
          <w:tcPr>
            <w:tcW w:w="632"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w:t>
            </w:r>
          </w:p>
        </w:tc>
        <w:tc>
          <w:tcPr>
            <w:tcW w:w="566"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9"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38" w:type="pct"/>
            <w:vAlign w:val="center"/>
          </w:tcPr>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8小时，合同期内在岗率100%；</w:t>
            </w:r>
          </w:p>
          <w:p>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具有3年或以上保安管理工作经验（提交投标人加盖公章的个人工作履历）</w:t>
            </w:r>
            <w:r>
              <w:rPr>
                <w:rFonts w:hint="eastAsia" w:ascii="宋体" w:hAnsi="宋体" w:eastAsia="宋体" w:cs="宋体"/>
                <w:color w:val="auto"/>
                <w:sz w:val="21"/>
                <w:szCs w:val="21"/>
                <w:highlight w:val="none"/>
                <w:lang w:eastAsia="zh-CN"/>
              </w:rPr>
              <w:t>；</w:t>
            </w:r>
          </w:p>
          <w:p>
            <w:pPr>
              <w:autoSpaceDE w:val="0"/>
              <w:autoSpaceDN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en-US" w:eastAsia="zh-Hans"/>
              </w:rPr>
              <w:t>保安员证</w:t>
            </w:r>
            <w:r>
              <w:rPr>
                <w:rFonts w:hint="eastAsia" w:ascii="宋体" w:hAnsi="宋体" w:eastAsia="宋体" w:cs="宋体"/>
                <w:color w:val="auto"/>
                <w:sz w:val="21"/>
                <w:szCs w:val="21"/>
                <w:highlight w:val="none"/>
                <w:lang w:val="en-US" w:eastAsia="zh-CN"/>
              </w:rPr>
              <w:t>；</w:t>
            </w:r>
          </w:p>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年龄50周岁以下（上岗时提供健康体检证明和无犯罪记录证明）。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632"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保安员</w:t>
            </w:r>
          </w:p>
        </w:tc>
        <w:tc>
          <w:tcPr>
            <w:tcW w:w="566"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579" w:type="pct"/>
            <w:vAlign w:val="center"/>
          </w:tcPr>
          <w:p>
            <w:pPr>
              <w:autoSpaceDE w:val="0"/>
              <w:autoSpaceDN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638" w:type="pct"/>
            <w:vAlign w:val="center"/>
          </w:tcPr>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8小时，合同期内在岗率100%；</w:t>
            </w:r>
          </w:p>
          <w:p>
            <w:pPr>
              <w:autoSpaceDE w:val="0"/>
              <w:autoSpaceDN w:val="0"/>
              <w:spacing w:line="360" w:lineRule="auto"/>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en-US" w:eastAsia="zh-Hans"/>
              </w:rPr>
              <w:t>保安员证</w:t>
            </w:r>
            <w:r>
              <w:rPr>
                <w:rFonts w:hint="eastAsia" w:ascii="宋体" w:hAnsi="宋体" w:eastAsia="宋体" w:cs="宋体"/>
                <w:color w:val="auto"/>
                <w:sz w:val="21"/>
                <w:szCs w:val="21"/>
                <w:highlight w:val="none"/>
                <w:lang w:val="en-US" w:eastAsia="zh-CN"/>
              </w:rPr>
              <w:t>；</w:t>
            </w:r>
          </w:p>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年龄55周岁以下（上岗时提供健康体检证明和无犯罪记录证明）。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会务服务</w:t>
            </w:r>
          </w:p>
        </w:tc>
        <w:tc>
          <w:tcPr>
            <w:tcW w:w="632"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会务</w:t>
            </w:r>
            <w:r>
              <w:rPr>
                <w:rFonts w:hint="eastAsia" w:ascii="宋体" w:hAnsi="宋体" w:eastAsia="宋体" w:cs="宋体"/>
                <w:color w:val="auto"/>
                <w:sz w:val="21"/>
                <w:szCs w:val="21"/>
                <w:highlight w:val="none"/>
                <w:lang w:eastAsia="zh-CN"/>
              </w:rPr>
              <w:t>员</w:t>
            </w:r>
          </w:p>
        </w:tc>
        <w:tc>
          <w:tcPr>
            <w:tcW w:w="566"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579"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638" w:type="pct"/>
            <w:vAlign w:val="center"/>
          </w:tcPr>
          <w:p>
            <w:pPr>
              <w:autoSpaceDE w:val="0"/>
              <w:autoSpaceDN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8小时，合同期内在岗率100%；</w:t>
            </w:r>
          </w:p>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年龄45周岁以下（上岗时提供健康体检证明和无犯罪记录证明）。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583"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水电日常</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服务</w:t>
            </w:r>
          </w:p>
        </w:tc>
        <w:tc>
          <w:tcPr>
            <w:tcW w:w="632" w:type="pct"/>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维护人员</w:t>
            </w:r>
          </w:p>
        </w:tc>
        <w:tc>
          <w:tcPr>
            <w:tcW w:w="566"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579" w:type="pct"/>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638" w:type="pct"/>
            <w:vAlign w:val="center"/>
          </w:tcPr>
          <w:p>
            <w:pPr>
              <w:autoSpaceDE w:val="0"/>
              <w:autoSpaceDN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8小时，合同期内在岗率</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%；具有特种作业操作证（</w:t>
            </w:r>
            <w:r>
              <w:rPr>
                <w:rFonts w:hint="eastAsia" w:ascii="宋体" w:hAnsi="宋体" w:eastAsia="宋体" w:cs="宋体"/>
                <w:color w:val="auto"/>
                <w:sz w:val="21"/>
                <w:szCs w:val="21"/>
                <w:highlight w:val="none"/>
                <w:lang w:val="en-US" w:eastAsia="zh-CN"/>
              </w:rPr>
              <w:t>低压</w:t>
            </w:r>
            <w:r>
              <w:rPr>
                <w:rFonts w:hint="eastAsia" w:ascii="宋体" w:hAnsi="宋体" w:eastAsia="宋体" w:cs="宋体"/>
                <w:color w:val="auto"/>
                <w:sz w:val="21"/>
                <w:szCs w:val="21"/>
                <w:highlight w:val="none"/>
              </w:rPr>
              <w:t>电工</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及人社部门颁发的</w:t>
            </w:r>
            <w:r>
              <w:rPr>
                <w:rFonts w:hint="eastAsia" w:ascii="宋体" w:hAnsi="宋体" w:eastAsia="宋体" w:cs="宋体"/>
                <w:sz w:val="21"/>
                <w:szCs w:val="21"/>
                <w:highlight w:val="none"/>
                <w:lang w:eastAsia="zh-CN"/>
              </w:rPr>
              <w:t>机电类</w:t>
            </w:r>
            <w:r>
              <w:rPr>
                <w:rFonts w:hint="eastAsia" w:ascii="宋体" w:hAnsi="宋体" w:eastAsia="宋体" w:cs="宋体"/>
                <w:color w:val="auto"/>
                <w:sz w:val="21"/>
                <w:szCs w:val="21"/>
                <w:highlight w:val="none"/>
                <w:lang w:val="en-US" w:eastAsia="zh-CN"/>
              </w:rPr>
              <w:t>中级或以上职称</w:t>
            </w:r>
            <w:r>
              <w:rPr>
                <w:rFonts w:hint="eastAsia" w:ascii="宋体" w:hAnsi="宋体" w:eastAsia="宋体" w:cs="宋体"/>
                <w:color w:val="auto"/>
                <w:sz w:val="21"/>
                <w:szCs w:val="21"/>
                <w:highlight w:val="none"/>
              </w:rPr>
              <w:t>（上岗时提供健康体检证明和无犯罪记录证明）。</w:t>
            </w:r>
          </w:p>
        </w:tc>
      </w:tr>
    </w:tbl>
    <w:p>
      <w:pPr>
        <w:pStyle w:val="28"/>
        <w:shd w:val="clear" w:color="auto" w:fill="FFFFFF"/>
        <w:spacing w:beforeAutospacing="0" w:afterAutospacing="0" w:line="360" w:lineRule="auto"/>
        <w:jc w:val="both"/>
        <w:rPr>
          <w:rStyle w:val="36"/>
          <w:rFonts w:hint="eastAsia" w:ascii="宋体" w:hAnsi="宋体" w:eastAsia="宋体" w:cs="宋体"/>
          <w:spacing w:val="8"/>
          <w:sz w:val="21"/>
          <w:szCs w:val="21"/>
          <w:highlight w:val="none"/>
          <w:shd w:val="clear" w:color="auto" w:fill="FFFFFF"/>
        </w:rPr>
      </w:pPr>
    </w:p>
    <w:p>
      <w:pPr>
        <w:pStyle w:val="28"/>
        <w:shd w:val="clear" w:color="auto" w:fill="FFFFFF"/>
        <w:spacing w:beforeAutospacing="0" w:afterAutospacing="0" w:line="360" w:lineRule="auto"/>
        <w:jc w:val="both"/>
        <w:rPr>
          <w:rFonts w:hint="eastAsia" w:ascii="宋体" w:hAnsi="宋体" w:eastAsia="宋体" w:cs="宋体"/>
          <w:spacing w:val="8"/>
          <w:sz w:val="21"/>
          <w:szCs w:val="21"/>
          <w:highlight w:val="none"/>
        </w:rPr>
      </w:pPr>
      <w:r>
        <w:rPr>
          <w:rStyle w:val="36"/>
          <w:rFonts w:hint="eastAsia" w:ascii="宋体" w:hAnsi="宋体" w:eastAsia="宋体" w:cs="宋体"/>
          <w:spacing w:val="8"/>
          <w:sz w:val="21"/>
          <w:szCs w:val="21"/>
          <w:highlight w:val="none"/>
          <w:shd w:val="clear" w:color="auto" w:fill="FFFFFF"/>
        </w:rPr>
        <w:t>6.商务要求</w:t>
      </w:r>
    </w:p>
    <w:p>
      <w:pPr>
        <w:pStyle w:val="28"/>
        <w:shd w:val="clear" w:color="auto" w:fill="FFFFFF"/>
        <w:spacing w:beforeAutospacing="0" w:afterAutospacing="0" w:line="360" w:lineRule="auto"/>
        <w:jc w:val="both"/>
        <w:rPr>
          <w:rFonts w:hint="eastAsia" w:ascii="宋体" w:hAnsi="宋体" w:eastAsia="宋体" w:cs="宋体"/>
          <w:spacing w:val="8"/>
          <w:sz w:val="21"/>
          <w:szCs w:val="21"/>
          <w:highlight w:val="none"/>
        </w:rPr>
      </w:pPr>
      <w:r>
        <w:rPr>
          <w:rStyle w:val="36"/>
          <w:rFonts w:hint="eastAsia" w:ascii="宋体" w:hAnsi="宋体" w:eastAsia="宋体" w:cs="宋体"/>
          <w:spacing w:val="8"/>
          <w:sz w:val="21"/>
          <w:szCs w:val="21"/>
          <w:highlight w:val="none"/>
          <w:shd w:val="clear" w:color="auto" w:fill="FFFFFF"/>
        </w:rPr>
        <w:t>6.1实施期限</w:t>
      </w:r>
    </w:p>
    <w:p>
      <w:pPr>
        <w:autoSpaceDE w:val="0"/>
        <w:autoSpaceDN w:val="0"/>
        <w:spacing w:line="360" w:lineRule="auto"/>
        <w:outlineLvl w:val="2"/>
        <w:rPr>
          <w:rFonts w:hint="eastAsia" w:ascii="宋体" w:hAnsi="宋体" w:eastAsia="宋体" w:cs="宋体"/>
          <w:spacing w:val="8"/>
          <w:kern w:val="0"/>
          <w:sz w:val="21"/>
          <w:szCs w:val="21"/>
          <w:highlight w:val="none"/>
          <w:shd w:val="clear" w:color="auto" w:fill="FFFFFF"/>
        </w:rPr>
      </w:pPr>
      <w:r>
        <w:rPr>
          <w:rFonts w:hint="eastAsia" w:ascii="宋体" w:hAnsi="宋体" w:eastAsia="宋体" w:cs="宋体"/>
          <w:spacing w:val="8"/>
          <w:kern w:val="0"/>
          <w:sz w:val="21"/>
          <w:szCs w:val="21"/>
          <w:highlight w:val="none"/>
          <w:shd w:val="clear" w:color="auto" w:fill="FFFFFF"/>
        </w:rPr>
        <w:t>（1）实施期限：24个月（202</w:t>
      </w:r>
      <w:r>
        <w:rPr>
          <w:rFonts w:hint="eastAsia" w:ascii="宋体" w:hAnsi="宋体" w:eastAsia="宋体" w:cs="宋体"/>
          <w:spacing w:val="8"/>
          <w:kern w:val="0"/>
          <w:sz w:val="21"/>
          <w:szCs w:val="21"/>
          <w:highlight w:val="none"/>
          <w:shd w:val="clear" w:color="auto" w:fill="FFFFFF"/>
          <w:lang w:val="en-US" w:eastAsia="zh-CN"/>
        </w:rPr>
        <w:t>6</w:t>
      </w:r>
      <w:r>
        <w:rPr>
          <w:rFonts w:hint="eastAsia" w:ascii="宋体" w:hAnsi="宋体" w:eastAsia="宋体" w:cs="宋体"/>
          <w:spacing w:val="8"/>
          <w:kern w:val="0"/>
          <w:sz w:val="21"/>
          <w:szCs w:val="21"/>
          <w:highlight w:val="none"/>
          <w:shd w:val="clear" w:color="auto" w:fill="FFFFFF"/>
        </w:rPr>
        <w:t>年</w:t>
      </w:r>
      <w:r>
        <w:rPr>
          <w:rFonts w:hint="eastAsia" w:ascii="宋体" w:hAnsi="宋体" w:eastAsia="宋体" w:cs="宋体"/>
          <w:spacing w:val="8"/>
          <w:kern w:val="0"/>
          <w:sz w:val="21"/>
          <w:szCs w:val="21"/>
          <w:highlight w:val="none"/>
          <w:shd w:val="clear" w:color="auto" w:fill="FFFFFF"/>
          <w:lang w:val="en-US" w:eastAsia="zh-CN"/>
        </w:rPr>
        <w:t>1</w:t>
      </w:r>
      <w:r>
        <w:rPr>
          <w:rFonts w:hint="eastAsia" w:ascii="宋体" w:hAnsi="宋体" w:eastAsia="宋体" w:cs="宋体"/>
          <w:spacing w:val="8"/>
          <w:kern w:val="0"/>
          <w:sz w:val="21"/>
          <w:szCs w:val="21"/>
          <w:highlight w:val="none"/>
          <w:shd w:val="clear" w:color="auto" w:fill="FFFFFF"/>
        </w:rPr>
        <w:t>月</w:t>
      </w:r>
      <w:r>
        <w:rPr>
          <w:rFonts w:hint="eastAsia" w:ascii="宋体" w:hAnsi="宋体" w:eastAsia="宋体" w:cs="宋体"/>
          <w:spacing w:val="8"/>
          <w:kern w:val="0"/>
          <w:sz w:val="21"/>
          <w:szCs w:val="21"/>
          <w:highlight w:val="none"/>
          <w:shd w:val="clear" w:color="auto" w:fill="FFFFFF"/>
          <w:lang w:val="en-US" w:eastAsia="zh-CN"/>
        </w:rPr>
        <w:t>1</w:t>
      </w:r>
      <w:r>
        <w:rPr>
          <w:rFonts w:hint="eastAsia" w:ascii="宋体" w:hAnsi="宋体" w:eastAsia="宋体" w:cs="宋体"/>
          <w:spacing w:val="8"/>
          <w:kern w:val="0"/>
          <w:sz w:val="21"/>
          <w:szCs w:val="21"/>
          <w:highlight w:val="none"/>
          <w:shd w:val="clear" w:color="auto" w:fill="FFFFFF"/>
        </w:rPr>
        <w:t>日至202</w:t>
      </w:r>
      <w:r>
        <w:rPr>
          <w:rFonts w:hint="eastAsia" w:ascii="宋体" w:hAnsi="宋体" w:eastAsia="宋体" w:cs="宋体"/>
          <w:spacing w:val="8"/>
          <w:kern w:val="0"/>
          <w:sz w:val="21"/>
          <w:szCs w:val="21"/>
          <w:highlight w:val="none"/>
          <w:shd w:val="clear" w:color="auto" w:fill="FFFFFF"/>
          <w:lang w:val="en-US" w:eastAsia="zh-CN"/>
        </w:rPr>
        <w:t>7</w:t>
      </w:r>
      <w:r>
        <w:rPr>
          <w:rFonts w:hint="eastAsia" w:ascii="宋体" w:hAnsi="宋体" w:eastAsia="宋体" w:cs="宋体"/>
          <w:spacing w:val="8"/>
          <w:kern w:val="0"/>
          <w:sz w:val="21"/>
          <w:szCs w:val="21"/>
          <w:highlight w:val="none"/>
          <w:shd w:val="clear" w:color="auto" w:fill="FFFFFF"/>
        </w:rPr>
        <w:t>年</w:t>
      </w:r>
      <w:r>
        <w:rPr>
          <w:rFonts w:hint="eastAsia" w:ascii="宋体" w:hAnsi="宋体" w:eastAsia="宋体" w:cs="宋体"/>
          <w:spacing w:val="8"/>
          <w:kern w:val="0"/>
          <w:sz w:val="21"/>
          <w:szCs w:val="21"/>
          <w:highlight w:val="none"/>
          <w:shd w:val="clear" w:color="auto" w:fill="FFFFFF"/>
          <w:lang w:val="en-US" w:eastAsia="zh-CN"/>
        </w:rPr>
        <w:t>12</w:t>
      </w:r>
      <w:r>
        <w:rPr>
          <w:rFonts w:hint="eastAsia" w:ascii="宋体" w:hAnsi="宋体" w:eastAsia="宋体" w:cs="宋体"/>
          <w:spacing w:val="8"/>
          <w:kern w:val="0"/>
          <w:sz w:val="21"/>
          <w:szCs w:val="21"/>
          <w:highlight w:val="none"/>
          <w:shd w:val="clear" w:color="auto" w:fill="FFFFFF"/>
        </w:rPr>
        <w:t>月</w:t>
      </w:r>
      <w:r>
        <w:rPr>
          <w:rFonts w:hint="eastAsia" w:ascii="宋体" w:hAnsi="宋体" w:eastAsia="宋体" w:cs="宋体"/>
          <w:spacing w:val="8"/>
          <w:kern w:val="0"/>
          <w:sz w:val="21"/>
          <w:szCs w:val="21"/>
          <w:highlight w:val="none"/>
          <w:shd w:val="clear" w:color="auto" w:fill="FFFFFF"/>
          <w:lang w:val="en-US" w:eastAsia="zh-CN"/>
        </w:rPr>
        <w:t>31</w:t>
      </w:r>
      <w:r>
        <w:rPr>
          <w:rFonts w:hint="eastAsia" w:ascii="宋体" w:hAnsi="宋体" w:eastAsia="宋体" w:cs="宋体"/>
          <w:spacing w:val="8"/>
          <w:kern w:val="0"/>
          <w:sz w:val="21"/>
          <w:szCs w:val="21"/>
          <w:highlight w:val="none"/>
          <w:shd w:val="clear" w:color="auto" w:fill="FFFFFF"/>
        </w:rPr>
        <w:t>日止）。</w:t>
      </w:r>
    </w:p>
    <w:p>
      <w:pPr>
        <w:autoSpaceDE w:val="0"/>
        <w:autoSpaceDN w:val="0"/>
        <w:spacing w:line="360" w:lineRule="auto"/>
        <w:outlineLvl w:val="2"/>
        <w:rPr>
          <w:rFonts w:hint="eastAsia" w:ascii="宋体" w:hAnsi="宋体" w:eastAsia="宋体" w:cs="宋体"/>
          <w:spacing w:val="8"/>
          <w:sz w:val="21"/>
          <w:szCs w:val="21"/>
          <w:highlight w:val="none"/>
        </w:rPr>
      </w:pPr>
      <w:r>
        <w:rPr>
          <w:rFonts w:hint="eastAsia" w:ascii="宋体" w:hAnsi="宋体" w:eastAsia="宋体" w:cs="宋体"/>
          <w:spacing w:val="8"/>
          <w:kern w:val="0"/>
          <w:sz w:val="21"/>
          <w:szCs w:val="21"/>
          <w:highlight w:val="none"/>
          <w:shd w:val="clear" w:color="auto" w:fill="FFFFFF"/>
        </w:rPr>
        <w:t>（2）合同履行期限：202</w:t>
      </w:r>
      <w:r>
        <w:rPr>
          <w:rFonts w:hint="eastAsia" w:ascii="宋体" w:hAnsi="宋体" w:eastAsia="宋体" w:cs="宋体"/>
          <w:spacing w:val="8"/>
          <w:kern w:val="0"/>
          <w:sz w:val="21"/>
          <w:szCs w:val="21"/>
          <w:highlight w:val="none"/>
          <w:shd w:val="clear" w:color="auto" w:fill="FFFFFF"/>
          <w:lang w:val="en-US" w:eastAsia="zh-CN"/>
        </w:rPr>
        <w:t>6</w:t>
      </w:r>
      <w:r>
        <w:rPr>
          <w:rFonts w:hint="eastAsia" w:ascii="宋体" w:hAnsi="宋体" w:eastAsia="宋体" w:cs="宋体"/>
          <w:spacing w:val="8"/>
          <w:kern w:val="0"/>
          <w:sz w:val="21"/>
          <w:szCs w:val="21"/>
          <w:highlight w:val="none"/>
          <w:shd w:val="clear" w:color="auto" w:fill="FFFFFF"/>
        </w:rPr>
        <w:t>年</w:t>
      </w:r>
      <w:r>
        <w:rPr>
          <w:rFonts w:hint="eastAsia" w:ascii="宋体" w:hAnsi="宋体" w:eastAsia="宋体" w:cs="宋体"/>
          <w:spacing w:val="8"/>
          <w:kern w:val="0"/>
          <w:sz w:val="21"/>
          <w:szCs w:val="21"/>
          <w:highlight w:val="none"/>
          <w:shd w:val="clear" w:color="auto" w:fill="FFFFFF"/>
          <w:lang w:val="en-US" w:eastAsia="zh-CN"/>
        </w:rPr>
        <w:t>1</w:t>
      </w:r>
      <w:r>
        <w:rPr>
          <w:rFonts w:hint="eastAsia" w:ascii="宋体" w:hAnsi="宋体" w:eastAsia="宋体" w:cs="宋体"/>
          <w:spacing w:val="8"/>
          <w:kern w:val="0"/>
          <w:sz w:val="21"/>
          <w:szCs w:val="21"/>
          <w:highlight w:val="none"/>
          <w:shd w:val="clear" w:color="auto" w:fill="FFFFFF"/>
        </w:rPr>
        <w:t>月</w:t>
      </w:r>
      <w:r>
        <w:rPr>
          <w:rFonts w:hint="eastAsia" w:ascii="宋体" w:hAnsi="宋体" w:eastAsia="宋体" w:cs="宋体"/>
          <w:spacing w:val="8"/>
          <w:kern w:val="0"/>
          <w:sz w:val="21"/>
          <w:szCs w:val="21"/>
          <w:highlight w:val="none"/>
          <w:shd w:val="clear" w:color="auto" w:fill="FFFFFF"/>
          <w:lang w:val="en-US" w:eastAsia="zh-CN"/>
        </w:rPr>
        <w:t>1</w:t>
      </w:r>
      <w:r>
        <w:rPr>
          <w:rFonts w:hint="eastAsia" w:ascii="宋体" w:hAnsi="宋体" w:eastAsia="宋体" w:cs="宋体"/>
          <w:spacing w:val="8"/>
          <w:kern w:val="0"/>
          <w:sz w:val="21"/>
          <w:szCs w:val="21"/>
          <w:highlight w:val="none"/>
          <w:shd w:val="clear" w:color="auto" w:fill="FFFFFF"/>
        </w:rPr>
        <w:t>日至202</w:t>
      </w:r>
      <w:r>
        <w:rPr>
          <w:rFonts w:hint="eastAsia" w:ascii="宋体" w:hAnsi="宋体" w:eastAsia="宋体" w:cs="宋体"/>
          <w:spacing w:val="8"/>
          <w:kern w:val="0"/>
          <w:sz w:val="21"/>
          <w:szCs w:val="21"/>
          <w:highlight w:val="none"/>
          <w:shd w:val="clear" w:color="auto" w:fill="FFFFFF"/>
          <w:lang w:val="en-US" w:eastAsia="zh-CN"/>
        </w:rPr>
        <w:t>7</w:t>
      </w:r>
      <w:r>
        <w:rPr>
          <w:rFonts w:hint="eastAsia" w:ascii="宋体" w:hAnsi="宋体" w:eastAsia="宋体" w:cs="宋体"/>
          <w:spacing w:val="8"/>
          <w:kern w:val="0"/>
          <w:sz w:val="21"/>
          <w:szCs w:val="21"/>
          <w:highlight w:val="none"/>
          <w:shd w:val="clear" w:color="auto" w:fill="FFFFFF"/>
        </w:rPr>
        <w:t>年</w:t>
      </w:r>
      <w:r>
        <w:rPr>
          <w:rFonts w:hint="eastAsia" w:ascii="宋体" w:hAnsi="宋体" w:eastAsia="宋体" w:cs="宋体"/>
          <w:spacing w:val="8"/>
          <w:kern w:val="0"/>
          <w:sz w:val="21"/>
          <w:szCs w:val="21"/>
          <w:highlight w:val="none"/>
          <w:shd w:val="clear" w:color="auto" w:fill="FFFFFF"/>
          <w:lang w:val="en-US" w:eastAsia="zh-CN"/>
        </w:rPr>
        <w:t>12</w:t>
      </w:r>
      <w:r>
        <w:rPr>
          <w:rFonts w:hint="eastAsia" w:ascii="宋体" w:hAnsi="宋体" w:eastAsia="宋体" w:cs="宋体"/>
          <w:spacing w:val="8"/>
          <w:kern w:val="0"/>
          <w:sz w:val="21"/>
          <w:szCs w:val="21"/>
          <w:highlight w:val="none"/>
          <w:shd w:val="clear" w:color="auto" w:fill="FFFFFF"/>
        </w:rPr>
        <w:t>月</w:t>
      </w:r>
      <w:r>
        <w:rPr>
          <w:rFonts w:hint="eastAsia" w:ascii="宋体" w:hAnsi="宋体" w:eastAsia="宋体" w:cs="宋体"/>
          <w:spacing w:val="8"/>
          <w:kern w:val="0"/>
          <w:sz w:val="21"/>
          <w:szCs w:val="21"/>
          <w:highlight w:val="none"/>
          <w:shd w:val="clear" w:color="auto" w:fill="FFFFFF"/>
          <w:lang w:val="en-US" w:eastAsia="zh-CN"/>
        </w:rPr>
        <w:t>31</w:t>
      </w:r>
      <w:r>
        <w:rPr>
          <w:rFonts w:hint="eastAsia" w:ascii="宋体" w:hAnsi="宋体" w:eastAsia="宋体" w:cs="宋体"/>
          <w:spacing w:val="8"/>
          <w:kern w:val="0"/>
          <w:sz w:val="21"/>
          <w:szCs w:val="21"/>
          <w:highlight w:val="none"/>
          <w:shd w:val="clear" w:color="auto" w:fill="FFFFFF"/>
        </w:rPr>
        <w:t>日止。</w:t>
      </w:r>
    </w:p>
    <w:p>
      <w:pPr>
        <w:pStyle w:val="28"/>
        <w:shd w:val="clear" w:color="auto" w:fill="FFFFFF"/>
        <w:spacing w:beforeAutospacing="0" w:afterAutospacing="0" w:line="360" w:lineRule="auto"/>
        <w:jc w:val="both"/>
        <w:rPr>
          <w:rFonts w:hint="eastAsia" w:ascii="宋体" w:hAnsi="宋体" w:eastAsia="宋体" w:cs="宋体"/>
          <w:spacing w:val="8"/>
          <w:sz w:val="21"/>
          <w:szCs w:val="21"/>
          <w:highlight w:val="none"/>
        </w:rPr>
      </w:pPr>
      <w:r>
        <w:rPr>
          <w:rStyle w:val="36"/>
          <w:rFonts w:hint="eastAsia" w:ascii="宋体" w:hAnsi="宋体" w:eastAsia="宋体" w:cs="宋体"/>
          <w:spacing w:val="8"/>
          <w:sz w:val="21"/>
          <w:szCs w:val="21"/>
          <w:highlight w:val="none"/>
          <w:shd w:val="clear" w:color="auto" w:fill="FFFFFF"/>
        </w:rPr>
        <w:t>6.2付款方式</w:t>
      </w:r>
    </w:p>
    <w:p>
      <w:pPr>
        <w:pStyle w:val="28"/>
        <w:shd w:val="clear" w:color="auto" w:fill="FFFFFF"/>
        <w:spacing w:beforeAutospacing="0" w:afterAutospacing="0" w:line="360" w:lineRule="auto"/>
        <w:ind w:firstLine="452" w:firstLineChars="200"/>
        <w:jc w:val="both"/>
        <w:rPr>
          <w:rFonts w:hint="eastAsia" w:ascii="宋体" w:hAnsi="宋体" w:eastAsia="宋体" w:cs="宋体"/>
          <w:spacing w:val="8"/>
          <w:sz w:val="21"/>
          <w:szCs w:val="21"/>
          <w:highlight w:val="none"/>
          <w:shd w:val="clear" w:color="auto" w:fill="FFFFFF"/>
        </w:rPr>
      </w:pPr>
      <w:r>
        <w:rPr>
          <w:rFonts w:hint="eastAsia" w:ascii="宋体" w:hAnsi="宋体" w:eastAsia="宋体" w:cs="宋体"/>
          <w:spacing w:val="8"/>
          <w:sz w:val="21"/>
          <w:szCs w:val="21"/>
          <w:highlight w:val="none"/>
          <w:shd w:val="clear" w:color="auto" w:fill="FFFFFF"/>
        </w:rPr>
        <w:t>采购人按中标价分24个月平均计算，每期支付合同款项时，中标人</w:t>
      </w:r>
      <w:r>
        <w:rPr>
          <w:rFonts w:hint="eastAsia" w:ascii="宋体" w:hAnsi="宋体" w:eastAsia="宋体" w:cs="宋体"/>
          <w:spacing w:val="8"/>
          <w:sz w:val="21"/>
          <w:szCs w:val="21"/>
          <w:highlight w:val="none"/>
          <w:shd w:val="clear" w:color="auto" w:fill="FFFFFF"/>
          <w:lang w:eastAsia="zh-CN"/>
        </w:rPr>
        <w:t>于次月</w:t>
      </w:r>
      <w:r>
        <w:rPr>
          <w:rFonts w:hint="eastAsia" w:ascii="宋体" w:hAnsi="宋体" w:eastAsia="宋体" w:cs="宋体"/>
          <w:spacing w:val="8"/>
          <w:sz w:val="21"/>
          <w:szCs w:val="21"/>
          <w:highlight w:val="none"/>
          <w:shd w:val="clear" w:color="auto" w:fill="FFFFFF"/>
          <w:lang w:val="en-US" w:eastAsia="zh-CN"/>
        </w:rPr>
        <w:t>25日</w:t>
      </w:r>
      <w:r>
        <w:rPr>
          <w:rFonts w:hint="eastAsia" w:ascii="宋体" w:hAnsi="宋体" w:eastAsia="宋体" w:cs="宋体"/>
          <w:spacing w:val="8"/>
          <w:sz w:val="21"/>
          <w:szCs w:val="21"/>
          <w:highlight w:val="none"/>
          <w:shd w:val="clear" w:color="auto" w:fill="FFFFFF"/>
        </w:rPr>
        <w:t>前向采购人提供与当期支付款项金额等值的中华人民共和国大陆地区合法有效发票，中标人迟延提供的，采购人有权相应顺延付款时间且不视为违约。中标人每期开具的物业管理服务费发票金额应扣除前期的考核扣、罚的相关金额。如中标人提供服务不足一个月的，以每月服务费除以该月天数后按日计算物业管理服务费。采购人收到中标人开具的发票后，10个工作日内支付服务费,支付方式：银行转账。</w:t>
      </w:r>
    </w:p>
    <w:p>
      <w:pPr>
        <w:pStyle w:val="28"/>
        <w:shd w:val="clear" w:color="auto" w:fill="FFFFFF"/>
        <w:spacing w:beforeAutospacing="0" w:afterAutospacing="0" w:line="360" w:lineRule="auto"/>
        <w:jc w:val="both"/>
        <w:rPr>
          <w:rFonts w:hint="eastAsia" w:ascii="宋体" w:hAnsi="宋体" w:eastAsia="宋体" w:cs="宋体"/>
          <w:spacing w:val="8"/>
          <w:sz w:val="21"/>
          <w:szCs w:val="21"/>
          <w:highlight w:val="none"/>
        </w:rPr>
      </w:pPr>
      <w:r>
        <w:rPr>
          <w:rStyle w:val="36"/>
          <w:rFonts w:hint="eastAsia" w:ascii="宋体" w:hAnsi="宋体" w:eastAsia="宋体" w:cs="宋体"/>
          <w:spacing w:val="8"/>
          <w:sz w:val="21"/>
          <w:szCs w:val="21"/>
          <w:highlight w:val="none"/>
          <w:shd w:val="clear" w:color="auto" w:fill="FFFFFF"/>
        </w:rPr>
        <w:t>6.3验收标准与要求</w:t>
      </w:r>
    </w:p>
    <w:p>
      <w:pPr>
        <w:autoSpaceDE w:val="0"/>
        <w:autoSpaceDN w:val="0"/>
        <w:spacing w:line="360" w:lineRule="auto"/>
        <w:outlineLvl w:val="2"/>
        <w:rPr>
          <w:rFonts w:hint="eastAsia" w:ascii="宋体" w:hAnsi="宋体" w:eastAsia="宋体" w:cs="宋体"/>
          <w:spacing w:val="8"/>
          <w:kern w:val="0"/>
          <w:sz w:val="21"/>
          <w:szCs w:val="21"/>
          <w:highlight w:val="none"/>
          <w:shd w:val="clear" w:color="auto" w:fill="FFFFFF"/>
        </w:rPr>
      </w:pPr>
      <w:r>
        <w:rPr>
          <w:rFonts w:hint="eastAsia" w:ascii="宋体" w:hAnsi="宋体" w:eastAsia="宋体" w:cs="宋体"/>
          <w:spacing w:val="8"/>
          <w:kern w:val="0"/>
          <w:sz w:val="21"/>
          <w:szCs w:val="21"/>
          <w:highlight w:val="none"/>
          <w:shd w:val="clear" w:color="auto" w:fill="FFFFFF"/>
        </w:rPr>
        <w:t>（1）服务应达到《全国物业管理示范大厦标准》和《</w:t>
      </w:r>
      <w:r>
        <w:rPr>
          <w:rFonts w:hint="eastAsia" w:asciiTheme="majorEastAsia" w:hAnsiTheme="majorEastAsia" w:eastAsiaTheme="majorEastAsia" w:cstheme="majorEastAsia"/>
          <w:i w:val="0"/>
          <w:iCs w:val="0"/>
          <w:caps w:val="0"/>
          <w:color w:val="000000"/>
          <w:spacing w:val="8"/>
          <w:sz w:val="21"/>
          <w:szCs w:val="21"/>
          <w:highlight w:val="none"/>
        </w:rPr>
        <w:t>DB44/T2698-2025党政机关办公区物业管理服务</w:t>
      </w:r>
      <w:r>
        <w:rPr>
          <w:rFonts w:hint="eastAsia" w:ascii="宋体" w:hAnsi="宋体" w:eastAsia="宋体" w:cs="宋体"/>
          <w:spacing w:val="8"/>
          <w:kern w:val="0"/>
          <w:sz w:val="21"/>
          <w:szCs w:val="21"/>
          <w:highlight w:val="none"/>
          <w:shd w:val="clear" w:color="auto" w:fill="FFFFFF"/>
        </w:rPr>
        <w:t>标准》的有关规定执行，服务需达到如下目标：</w:t>
      </w:r>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7"/>
        <w:gridCol w:w="5097"/>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b/>
                <w:bCs/>
                <w:color w:val="000000"/>
                <w:kern w:val="2"/>
                <w:sz w:val="21"/>
                <w:szCs w:val="21"/>
                <w:highlight w:val="none"/>
                <w:lang w:eastAsia="zh-CN"/>
              </w:rPr>
            </w:pPr>
            <w:r>
              <w:rPr>
                <w:rFonts w:hint="eastAsia" w:ascii="宋体" w:hAnsi="宋体" w:eastAsia="宋体" w:cs="宋体"/>
                <w:b/>
                <w:bCs/>
                <w:color w:val="000000"/>
                <w:kern w:val="2"/>
                <w:sz w:val="21"/>
                <w:szCs w:val="21"/>
                <w:highlight w:val="none"/>
                <w:lang w:eastAsia="zh-CN"/>
              </w:rPr>
              <w:t>序号</w:t>
            </w:r>
          </w:p>
        </w:tc>
        <w:tc>
          <w:tcPr>
            <w:tcW w:w="3067" w:type="pct"/>
            <w:vAlign w:val="center"/>
          </w:tcPr>
          <w:p>
            <w:pPr>
              <w:pStyle w:val="56"/>
              <w:tabs>
                <w:tab w:val="left" w:pos="639"/>
              </w:tabs>
              <w:kinsoku w:val="0"/>
              <w:overflowPunct w:val="0"/>
              <w:adjustRightInd w:val="0"/>
              <w:snapToGrid w:val="0"/>
              <w:spacing w:line="360" w:lineRule="auto"/>
              <w:jc w:val="center"/>
              <w:rPr>
                <w:rFonts w:hint="eastAsia" w:ascii="宋体" w:hAnsi="宋体" w:eastAsia="宋体" w:cs="宋体"/>
                <w:b/>
                <w:bCs/>
                <w:color w:val="000000"/>
                <w:kern w:val="2"/>
                <w:sz w:val="21"/>
                <w:szCs w:val="21"/>
                <w:highlight w:val="none"/>
                <w:lang w:eastAsia="zh-CN"/>
              </w:rPr>
            </w:pPr>
            <w:r>
              <w:rPr>
                <w:rFonts w:hint="eastAsia" w:ascii="宋体" w:hAnsi="宋体" w:eastAsia="宋体" w:cs="宋体"/>
                <w:b/>
                <w:bCs/>
                <w:color w:val="000000"/>
                <w:kern w:val="2"/>
                <w:sz w:val="21"/>
                <w:szCs w:val="21"/>
                <w:highlight w:val="none"/>
                <w:lang w:eastAsia="zh-CN"/>
              </w:rPr>
              <w:t>项</w:t>
            </w:r>
            <w:r>
              <w:rPr>
                <w:rFonts w:hint="eastAsia" w:ascii="宋体" w:hAnsi="宋体" w:eastAsia="宋体" w:cs="宋体"/>
                <w:b/>
                <w:bCs/>
                <w:color w:val="000000"/>
                <w:kern w:val="2"/>
                <w:sz w:val="21"/>
                <w:szCs w:val="21"/>
                <w:highlight w:val="none"/>
                <w:lang w:eastAsia="zh-CN"/>
              </w:rPr>
              <w:tab/>
            </w:r>
            <w:r>
              <w:rPr>
                <w:rFonts w:hint="eastAsia" w:ascii="宋体" w:hAnsi="宋体" w:eastAsia="宋体" w:cs="宋体"/>
                <w:b/>
                <w:bCs/>
                <w:color w:val="000000"/>
                <w:kern w:val="2"/>
                <w:sz w:val="21"/>
                <w:szCs w:val="21"/>
                <w:highlight w:val="none"/>
                <w:lang w:eastAsia="zh-CN"/>
              </w:rPr>
              <w:t>目</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b/>
                <w:bCs/>
                <w:color w:val="000000"/>
                <w:kern w:val="2"/>
                <w:sz w:val="21"/>
                <w:szCs w:val="21"/>
                <w:highlight w:val="none"/>
                <w:lang w:eastAsia="zh-CN"/>
              </w:rPr>
            </w:pPr>
            <w:r>
              <w:rPr>
                <w:rFonts w:hint="eastAsia" w:ascii="宋体" w:hAnsi="宋体" w:eastAsia="宋体" w:cs="宋体"/>
                <w:b/>
                <w:bCs/>
                <w:color w:val="000000"/>
                <w:kern w:val="2"/>
                <w:sz w:val="21"/>
                <w:szCs w:val="21"/>
                <w:highlight w:val="none"/>
                <w:lang w:eastAsia="zh-CN"/>
              </w:rPr>
              <w:t>目   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清洁、保洁满意率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hAnsi="宋体" w:eastAsia="宋体" w:cs="宋体"/>
                <w:color w:val="000000"/>
                <w:kern w:val="2"/>
                <w:sz w:val="21"/>
                <w:szCs w:val="21"/>
                <w:highlight w:val="none"/>
                <w:lang w:val="en-US" w:eastAsia="zh-CN"/>
              </w:rPr>
              <w:t>100</w:t>
            </w:r>
            <w:r>
              <w:rPr>
                <w:rFonts w:hint="eastAsia" w:ascii="宋体" w:hAnsi="宋体" w:eastAsia="宋体" w:cs="宋体"/>
                <w:color w:val="000000"/>
                <w:kern w:val="2"/>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2</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化粪池、雨水井、污水井完好率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3</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排水管、明暗沟保洁完好率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4</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安保合格率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hAnsi="宋体" w:eastAsia="宋体" w:cs="宋体"/>
                <w:color w:val="000000"/>
                <w:kern w:val="2"/>
                <w:sz w:val="21"/>
                <w:szCs w:val="21"/>
                <w:highlight w:val="none"/>
                <w:lang w:val="en-US" w:eastAsia="zh-CN"/>
              </w:rPr>
              <w:t>100</w:t>
            </w:r>
            <w:r>
              <w:rPr>
                <w:rFonts w:hint="eastAsia" w:ascii="宋体" w:hAnsi="宋体" w:eastAsia="宋体" w:cs="宋体"/>
                <w:color w:val="000000"/>
                <w:kern w:val="2"/>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5</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巡查公共设施完好率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hAnsi="宋体" w:eastAsia="宋体" w:cs="宋体"/>
                <w:color w:val="000000"/>
                <w:kern w:val="2"/>
                <w:sz w:val="21"/>
                <w:szCs w:val="21"/>
                <w:highlight w:val="none"/>
                <w:lang w:val="en-US" w:eastAsia="zh-CN"/>
              </w:rPr>
              <w:t>100</w:t>
            </w:r>
            <w:r>
              <w:rPr>
                <w:rFonts w:hint="eastAsia" w:ascii="宋体" w:hAnsi="宋体" w:eastAsia="宋体" w:cs="宋体"/>
                <w:color w:val="000000"/>
                <w:kern w:val="2"/>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6</w:t>
            </w:r>
          </w:p>
        </w:tc>
        <w:tc>
          <w:tcPr>
            <w:tcW w:w="3067" w:type="pct"/>
            <w:vAlign w:val="center"/>
          </w:tcPr>
          <w:p>
            <w:pPr>
              <w:pStyle w:val="56"/>
              <w:kinsoku w:val="0"/>
              <w:overflowPunct w:val="0"/>
              <w:adjustRightInd w:val="0"/>
              <w:snapToGrid w:val="0"/>
              <w:spacing w:line="360" w:lineRule="auto"/>
              <w:ind w:firstLine="210" w:firstLineChars="100"/>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确保日常应急通道畅通，巡查应急照明率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7</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大楼治安案件的发生率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8</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刑事责任</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9</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杜绝火灾事故责任</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10</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投诉处理率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11</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人员专业培训合格率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12</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服务及时率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hAnsi="宋体" w:eastAsia="宋体" w:cs="宋体"/>
                <w:color w:val="000000"/>
                <w:kern w:val="2"/>
                <w:sz w:val="21"/>
                <w:szCs w:val="21"/>
                <w:highlight w:val="none"/>
                <w:lang w:val="en-US" w:eastAsia="zh-CN"/>
              </w:rPr>
              <w:t>100</w:t>
            </w:r>
            <w:r>
              <w:rPr>
                <w:rFonts w:hint="eastAsia" w:ascii="宋体" w:hAnsi="宋体" w:eastAsia="宋体" w:cs="宋体"/>
                <w:color w:val="000000"/>
                <w:kern w:val="2"/>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4"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13</w:t>
            </w:r>
          </w:p>
        </w:tc>
        <w:tc>
          <w:tcPr>
            <w:tcW w:w="3067"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绿化完好率</w:t>
            </w:r>
          </w:p>
        </w:tc>
        <w:tc>
          <w:tcPr>
            <w:tcW w:w="1368" w:type="pct"/>
            <w:vAlign w:val="center"/>
          </w:tcPr>
          <w:p>
            <w:pPr>
              <w:pStyle w:val="56"/>
              <w:kinsoku w:val="0"/>
              <w:overflowPunct w:val="0"/>
              <w:adjustRightInd w:val="0"/>
              <w:snapToGrid w:val="0"/>
              <w:spacing w:line="360"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eastAsia="zh-CN"/>
              </w:rPr>
              <w:t>100%</w:t>
            </w:r>
          </w:p>
        </w:tc>
      </w:tr>
    </w:tbl>
    <w:p>
      <w:pPr>
        <w:autoSpaceDE w:val="0"/>
        <w:autoSpaceDN w:val="0"/>
        <w:spacing w:line="360" w:lineRule="auto"/>
        <w:outlineLvl w:val="2"/>
        <w:rPr>
          <w:rFonts w:hint="eastAsia" w:ascii="宋体" w:hAnsi="宋体" w:eastAsia="宋体" w:cs="宋体"/>
          <w:spacing w:val="8"/>
          <w:kern w:val="0"/>
          <w:sz w:val="21"/>
          <w:szCs w:val="21"/>
          <w:highlight w:val="none"/>
          <w:shd w:val="clear" w:color="auto" w:fill="FFFFFF"/>
        </w:rPr>
      </w:pPr>
      <w:r>
        <w:rPr>
          <w:rFonts w:hint="eastAsia" w:ascii="宋体" w:hAnsi="宋体" w:eastAsia="宋体" w:cs="宋体"/>
          <w:spacing w:val="8"/>
          <w:kern w:val="0"/>
          <w:sz w:val="21"/>
          <w:szCs w:val="21"/>
          <w:highlight w:val="none"/>
          <w:shd w:val="clear" w:color="auto" w:fill="FFFFFF"/>
        </w:rPr>
        <w:t>（2）物业管理每月评分标准（以下标准根据管理实效，适时调整改进)</w:t>
      </w:r>
    </w:p>
    <w:p>
      <w:pPr>
        <w:autoSpaceDE w:val="0"/>
        <w:autoSpaceDN w:val="0"/>
        <w:spacing w:line="360" w:lineRule="auto"/>
        <w:ind w:firstLine="452" w:firstLineChars="200"/>
        <w:outlineLvl w:val="2"/>
        <w:rPr>
          <w:rFonts w:hint="eastAsia" w:ascii="宋体" w:hAnsi="宋体" w:eastAsia="宋体" w:cs="宋体"/>
          <w:spacing w:val="8"/>
          <w:kern w:val="0"/>
          <w:sz w:val="21"/>
          <w:szCs w:val="21"/>
          <w:highlight w:val="none"/>
          <w:shd w:val="clear" w:color="auto" w:fill="FFFFFF"/>
        </w:rPr>
      </w:pPr>
      <w:r>
        <w:rPr>
          <w:rFonts w:hint="eastAsia" w:ascii="宋体" w:hAnsi="宋体" w:eastAsia="宋体" w:cs="宋体"/>
          <w:spacing w:val="8"/>
          <w:kern w:val="0"/>
          <w:sz w:val="21"/>
          <w:szCs w:val="21"/>
          <w:highlight w:val="none"/>
          <w:shd w:val="clear" w:color="auto" w:fill="FFFFFF"/>
        </w:rPr>
        <w:t>①评定标准：每月考评由采购方根据各服务场所反馈意见给予服务评价，总分100分</w:t>
      </w:r>
      <w:r>
        <w:rPr>
          <w:rFonts w:hint="eastAsia" w:ascii="宋体" w:hAnsi="宋体" w:eastAsia="宋体" w:cs="宋体"/>
          <w:spacing w:val="8"/>
          <w:kern w:val="0"/>
          <w:sz w:val="21"/>
          <w:szCs w:val="21"/>
          <w:highlight w:val="none"/>
          <w:shd w:val="clear" w:color="auto" w:fill="FFFFFF"/>
          <w:lang w:val="en-US" w:eastAsia="zh-CN"/>
        </w:rPr>
        <w:t>,90分及以上为达标</w:t>
      </w:r>
      <w:r>
        <w:rPr>
          <w:rFonts w:hint="eastAsia" w:ascii="宋体" w:hAnsi="宋体" w:eastAsia="宋体" w:cs="宋体"/>
          <w:spacing w:val="8"/>
          <w:kern w:val="0"/>
          <w:sz w:val="21"/>
          <w:szCs w:val="21"/>
          <w:highlight w:val="none"/>
          <w:shd w:val="clear" w:color="auto" w:fill="FFFFFF"/>
        </w:rPr>
        <w:t>。</w:t>
      </w:r>
    </w:p>
    <w:p>
      <w:pPr>
        <w:autoSpaceDE w:val="0"/>
        <w:autoSpaceDN w:val="0"/>
        <w:spacing w:line="360" w:lineRule="auto"/>
        <w:ind w:firstLine="452" w:firstLineChars="200"/>
        <w:outlineLvl w:val="2"/>
        <w:rPr>
          <w:rFonts w:hint="eastAsia" w:ascii="宋体" w:hAnsi="宋体" w:eastAsia="宋体" w:cs="宋体"/>
          <w:spacing w:val="8"/>
          <w:kern w:val="0"/>
          <w:sz w:val="21"/>
          <w:szCs w:val="21"/>
          <w:highlight w:val="none"/>
          <w:shd w:val="clear" w:color="auto" w:fill="FFFFFF"/>
        </w:rPr>
      </w:pPr>
      <w:r>
        <w:rPr>
          <w:rFonts w:hint="eastAsia" w:ascii="宋体" w:hAnsi="宋体" w:eastAsia="宋体" w:cs="宋体"/>
          <w:spacing w:val="8"/>
          <w:kern w:val="0"/>
          <w:sz w:val="21"/>
          <w:szCs w:val="21"/>
          <w:highlight w:val="none"/>
          <w:shd w:val="clear" w:color="auto" w:fill="FFFFFF"/>
        </w:rPr>
        <w:t>②评定考核管理：每月考评结果与中标供应商的实收服务费关联，考核评分达到90分及以上，则全额支付服务费用；低于90分，高于80分，则支付月平均服务费用的95%；低于80分，则支付月平均服务费用的90%，</w:t>
      </w:r>
      <w:r>
        <w:rPr>
          <w:rFonts w:hint="eastAsia" w:ascii="宋体" w:hAnsi="宋体" w:eastAsia="宋体" w:cs="宋体"/>
          <w:sz w:val="21"/>
          <w:szCs w:val="21"/>
          <w:highlight w:val="none"/>
          <w:lang w:eastAsia="zh-CN"/>
        </w:rPr>
        <w:t>因</w:t>
      </w:r>
      <w:r>
        <w:rPr>
          <w:rFonts w:hint="eastAsia" w:ascii="宋体" w:hAnsi="宋体" w:eastAsia="宋体" w:cs="宋体"/>
          <w:sz w:val="21"/>
          <w:szCs w:val="21"/>
          <w:highlight w:val="none"/>
        </w:rPr>
        <w:t>1个月内连续3（人）次出现违反采购人管理规定情况</w:t>
      </w:r>
      <w:r>
        <w:rPr>
          <w:rFonts w:hint="eastAsia" w:ascii="宋体" w:hAnsi="宋体" w:eastAsia="宋体" w:cs="宋体"/>
          <w:sz w:val="21"/>
          <w:szCs w:val="21"/>
          <w:highlight w:val="none"/>
          <w:lang w:eastAsia="zh-CN"/>
        </w:rPr>
        <w:t>，或者</w:t>
      </w:r>
      <w:r>
        <w:rPr>
          <w:rFonts w:hint="eastAsia" w:ascii="宋体" w:hAnsi="宋体" w:eastAsia="宋体" w:cs="宋体"/>
          <w:sz w:val="21"/>
          <w:szCs w:val="21"/>
          <w:highlight w:val="none"/>
        </w:rPr>
        <w:t>中标人在服务期内</w:t>
      </w:r>
      <w:r>
        <w:rPr>
          <w:rFonts w:hint="eastAsia" w:ascii="宋体" w:hAnsi="宋体" w:eastAsia="宋体" w:cs="宋体"/>
          <w:color w:val="auto"/>
          <w:szCs w:val="21"/>
          <w:highlight w:val="none"/>
          <w:lang w:eastAsia="zh-CN"/>
        </w:rPr>
        <w:t>连续（或累计）</w:t>
      </w:r>
      <w:r>
        <w:rPr>
          <w:rFonts w:hint="eastAsia" w:ascii="宋体" w:hAnsi="宋体" w:eastAsia="宋体" w:cs="宋体"/>
          <w:sz w:val="21"/>
          <w:szCs w:val="21"/>
          <w:highlight w:val="none"/>
        </w:rPr>
        <w:t>2次及以上物业服务综合考核未达标，采购人可以单方面终止合同，并追究相关违约责任</w:t>
      </w:r>
      <w:r>
        <w:rPr>
          <w:rFonts w:hint="eastAsia" w:ascii="宋体" w:hAnsi="宋体" w:eastAsia="宋体" w:cs="宋体"/>
          <w:sz w:val="21"/>
          <w:szCs w:val="21"/>
          <w:highlight w:val="none"/>
          <w:lang w:eastAsia="zh-CN"/>
        </w:rPr>
        <w:t>。</w:t>
      </w:r>
    </w:p>
    <w:p>
      <w:pPr>
        <w:autoSpaceDE w:val="0"/>
        <w:autoSpaceDN w:val="0"/>
        <w:spacing w:line="360" w:lineRule="auto"/>
        <w:ind w:firstLine="452" w:firstLineChars="200"/>
        <w:outlineLvl w:val="2"/>
        <w:rPr>
          <w:rFonts w:hint="eastAsia" w:ascii="宋体" w:hAnsi="宋体" w:eastAsia="宋体" w:cs="宋体"/>
          <w:spacing w:val="8"/>
          <w:kern w:val="0"/>
          <w:sz w:val="21"/>
          <w:szCs w:val="21"/>
          <w:highlight w:val="none"/>
          <w:shd w:val="clear" w:color="auto" w:fill="FFFFFF"/>
        </w:rPr>
      </w:pPr>
      <w:r>
        <w:rPr>
          <w:rFonts w:hint="eastAsia" w:ascii="宋体" w:hAnsi="宋体" w:eastAsia="宋体" w:cs="宋体"/>
          <w:spacing w:val="8"/>
          <w:kern w:val="0"/>
          <w:sz w:val="21"/>
          <w:szCs w:val="21"/>
          <w:highlight w:val="none"/>
          <w:shd w:val="clear" w:color="auto" w:fill="FFFFFF"/>
        </w:rPr>
        <w:t>③考评内容：</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1"/>
        <w:gridCol w:w="803"/>
        <w:gridCol w:w="4511"/>
        <w:gridCol w:w="821"/>
        <w:gridCol w:w="1040"/>
        <w:gridCol w:w="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0" w:type="auto"/>
            <w:tcMar>
              <w:top w:w="15" w:type="dxa"/>
              <w:left w:w="15" w:type="dxa"/>
              <w:right w:w="15" w:type="dxa"/>
            </w:tcMar>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类别</w:t>
            </w:r>
          </w:p>
        </w:tc>
        <w:tc>
          <w:tcPr>
            <w:tcW w:w="0" w:type="auto"/>
            <w:tcMar>
              <w:top w:w="15" w:type="dxa"/>
              <w:left w:w="15" w:type="dxa"/>
              <w:right w:w="15" w:type="dxa"/>
            </w:tcMar>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w:t>
            </w:r>
          </w:p>
        </w:tc>
        <w:tc>
          <w:tcPr>
            <w:tcW w:w="4511" w:type="dxa"/>
            <w:tcMar>
              <w:top w:w="15" w:type="dxa"/>
              <w:left w:w="15" w:type="dxa"/>
              <w:right w:w="15" w:type="dxa"/>
            </w:tcMar>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标准内容</w:t>
            </w:r>
          </w:p>
        </w:tc>
        <w:tc>
          <w:tcPr>
            <w:tcW w:w="821" w:type="dxa"/>
            <w:tcMar>
              <w:top w:w="15" w:type="dxa"/>
              <w:left w:w="15" w:type="dxa"/>
              <w:right w:w="15" w:type="dxa"/>
            </w:tcMar>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规定</w:t>
            </w:r>
          </w:p>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c>
          <w:tcPr>
            <w:tcW w:w="1040" w:type="dxa"/>
            <w:tcMar>
              <w:top w:w="15" w:type="dxa"/>
              <w:left w:w="15" w:type="dxa"/>
              <w:right w:w="15" w:type="dxa"/>
            </w:tcMar>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w:t>
            </w:r>
          </w:p>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标准</w:t>
            </w:r>
          </w:p>
        </w:tc>
        <w:tc>
          <w:tcPr>
            <w:tcW w:w="424" w:type="dxa"/>
            <w:tcMar>
              <w:top w:w="15" w:type="dxa"/>
              <w:left w:w="15" w:type="dxa"/>
              <w:right w:w="15" w:type="dxa"/>
            </w:tcMar>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0" w:type="auto"/>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综合管理评价</w:t>
            </w:r>
          </w:p>
        </w:tc>
        <w:tc>
          <w:tcPr>
            <w:tcW w:w="0" w:type="auto"/>
            <w:vMerge w:val="restart"/>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工作巡查</w:t>
            </w: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1、定期进行管理处服务的监督和检查工作，每月月底对各部门工作进行一次全检查，制定各部门每月的工作计划及培训计划。</w:t>
            </w:r>
          </w:p>
        </w:tc>
        <w:tc>
          <w:tcPr>
            <w:tcW w:w="821"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22分</w:t>
            </w:r>
          </w:p>
        </w:tc>
        <w:tc>
          <w:tcPr>
            <w:tcW w:w="1040"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每发现一处不符合扣2分。</w:t>
            </w: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spacing w:line="360" w:lineRule="auto"/>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《工作日志》、《月检记录表》记录完整。</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vMerge w:val="restart"/>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员工着装与精神面貌</w:t>
            </w: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1、员工穿着统一制服、佩戴工牌。</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spacing w:line="360" w:lineRule="auto"/>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2、工作程序规范，举止文明、大方，精神状况良好，使用文明用语。</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顾客投诉处理</w:t>
            </w: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接到有效投诉按规定受理和协调顾客投诉，有完整《顾客投诉记录》。</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vMerge w:val="restart"/>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员工入职和培训计划实施情况</w:t>
            </w: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1、员工资料，员工入职培训、在岗培训记录完善。</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spacing w:line="360" w:lineRule="auto"/>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2、物业主管每月需做上月工作总结及下月工作计划。</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spacing w:line="360" w:lineRule="auto"/>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3、各项服务按照每月工作计划实施并严格遵守采购人的相关管理制度。</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vMerge w:val="restart"/>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总体工作评价</w:t>
            </w: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1、及时、高效的落实采购人合理意见和协助采购人开展和物业管理工作相关的其他工作</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spacing w:line="360" w:lineRule="auto"/>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2、团队整体服从采购人的监管及工作安排</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spacing w:line="360" w:lineRule="auto"/>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3、团队整体工作表现积极、主动：善于主动发现问题、解决问题并积极、不断的提升物业服务质量和团队管理水平。</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0" w:type="auto"/>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保安管理</w:t>
            </w:r>
          </w:p>
        </w:tc>
        <w:tc>
          <w:tcPr>
            <w:tcW w:w="5314" w:type="dxa"/>
            <w:gridSpan w:val="2"/>
            <w:tcMar>
              <w:top w:w="15" w:type="dxa"/>
              <w:left w:w="15" w:type="dxa"/>
              <w:right w:w="15" w:type="dxa"/>
            </w:tcMar>
            <w:vAlign w:val="center"/>
          </w:tcPr>
          <w:p>
            <w:pPr>
              <w:numPr>
                <w:ilvl w:val="0"/>
                <w:numId w:val="7"/>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做好门禁的管理，严格执行物品出入管理及来人来访管理制度，《来访登记表》、《车辆进出管理》、《停车场管理》及《物品出入放行条》记录完整，车辆进出有登记，停放有序，使用文明用语，严格遵守采购人的相关管理制度。</w:t>
            </w:r>
          </w:p>
        </w:tc>
        <w:tc>
          <w:tcPr>
            <w:tcW w:w="821"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1040"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每发现一处不符合扣1分。</w:t>
            </w: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numPr>
                <w:ilvl w:val="0"/>
                <w:numId w:val="8"/>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做好每天巡查及每周、每月检查，按要求设置巡逻签到点，正常上班时间上、下午巡逻各不少于1次，非上班时间每2小时巡逻不少于1次，并做好《保安巡逻交接班记录表》及《巡逻签到表》记录，不得代他人填写记录，不得进行事前填写或事后积累补填记录等。</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numPr>
                <w:ilvl w:val="0"/>
                <w:numId w:val="8"/>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坚守岗位，在工作时间不得睡觉或做其他与工作无关的事情。</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4、值班保安24小时密切注视监督视屏及各设备运行状态，每班至少进行一次各类信号检查，不得离岗。</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5、按规定进行交接班，《保安交接班记录表》记录完整。</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6、日常进行巡查，盘查可疑人员，各岗位建立互动，以保障公共设施不遭破坏，对安全设施设备进行检查维护，确保完整好用，发现隐患及时上报整改，确保无安全责任事故。</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7、做好重大活动、会议、检查的接待保卫工作。</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8、建立各级安全警戒方案，确保采购人安全稳定，圆满完成采购人交代的其他任务</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9、危及人身安全处有明显标识和具体的防范措施。</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10、按规定每月对保安员进行一次综合考评。</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0" w:type="auto"/>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保洁、会务服务</w:t>
            </w:r>
          </w:p>
        </w:tc>
        <w:tc>
          <w:tcPr>
            <w:tcW w:w="0" w:type="auto"/>
            <w:vMerge w:val="restart"/>
            <w:tcMar>
              <w:top w:w="15" w:type="dxa"/>
              <w:left w:w="15" w:type="dxa"/>
              <w:right w:w="15" w:type="dxa"/>
            </w:tcMar>
            <w:vAlign w:val="center"/>
          </w:tcPr>
          <w:p>
            <w:pPr>
              <w:tabs>
                <w:tab w:val="left" w:pos="314"/>
              </w:tabs>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室内公共区域</w:t>
            </w: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1、地面：地面无垃圾杂物、无泥沙、无污渍。</w:t>
            </w:r>
          </w:p>
        </w:tc>
        <w:tc>
          <w:tcPr>
            <w:tcW w:w="821"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1040"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每发现一处不符合扣1分。</w:t>
            </w: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tabs>
                <w:tab w:val="left" w:pos="314"/>
              </w:tabs>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2地毯：定时对地毯进行吸尘保洁、清洗，地毯无灰尘、无垃圾、无污渍。定时对各类功能用房办公、会议家具、窗帘等进行清洗、养护，及时添加消耗品。严格遵守采购人的相关管理制度。</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3、墙面：大理石、瓷片、喷涂等墙面无灰尘；干净、无污渍、无张贴。</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4、楼道梯走廊：楼道梯间、走廊地面目视无杂物、污迹纸屑、无积水，每个单元楼梯级烟头不超过两个，走廊100M²之内烟头不超过一个。</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5、楼道梯地面：无痰迹、无积尘、无污染。</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6、楼道梯天花：无灰尘、无污渍、无手印、无蜘蛛网。</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7、电梯：轿箱四壁干净、无尘、无污迹、无手印。</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8、电梯门轨槽、显示屏、按钮开关干净、无尘、无手印、槽内无沙粒。</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9、办公室：地面无污迹；墙面无灰尘；无蜘蛛网、整洁、无杂物。</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10、办公室：桌椅、沙发、文件柜无灰尘、无污渍、空气清新。</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11、办公室玻璃门镜面：玻璃表面无污迹、无手印、无水印。</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12、卫生间地面：干净、无异味、无积水、无杂物、无烟头、纸屑、无污渍。保洁人员及时做到响应并到位，卫生间除定期清</w:t>
            </w:r>
            <w:r>
              <w:rPr>
                <w:rFonts w:hint="eastAsia" w:ascii="宋体" w:hAnsi="宋体" w:eastAsia="宋体" w:cs="宋体"/>
                <w:sz w:val="21"/>
                <w:szCs w:val="21"/>
                <w:highlight w:val="none"/>
                <w:lang w:eastAsia="zh-CN"/>
              </w:rPr>
              <w:t>洁外</w:t>
            </w:r>
            <w:r>
              <w:rPr>
                <w:rFonts w:hint="eastAsia" w:ascii="宋体" w:hAnsi="宋体" w:eastAsia="宋体" w:cs="宋体"/>
                <w:sz w:val="21"/>
                <w:szCs w:val="21"/>
                <w:highlight w:val="none"/>
              </w:rPr>
              <w:t>，还应根据观众情况巡回保洁。</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13、卫生间墙面：瓷片、门、窗无灰尘，便器无黄色污渍，墙面、门无涂画。</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14、卫生间设施完好、用品齐全；水喉光亮。</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15、卫生间天花、灯具无尘无蜘蛛网；玻璃、镜面无灰尘、无污迹、无手印。</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16、公共区域开关灯、指示灯、消防栓：无灰尘、无污迹。</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17、烟灰筒、垃圾桶：目视内外壁干净、无粘附物、无污渍、无异味。</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、地下室</w:t>
            </w:r>
            <w:r>
              <w:rPr>
                <w:rFonts w:hint="eastAsia" w:ascii="宋体" w:hAnsi="宋体" w:eastAsia="宋体" w:cs="宋体"/>
                <w:sz w:val="21"/>
                <w:szCs w:val="21"/>
                <w:highlight w:val="none"/>
                <w:lang w:eastAsia="zh-CN"/>
              </w:rPr>
              <w:t>地面</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无垃圾、无杂物、无积水、无油迹</w:t>
            </w:r>
            <w:r>
              <w:rPr>
                <w:rFonts w:hint="eastAsia" w:ascii="宋体" w:hAnsi="宋体" w:eastAsia="宋体" w:cs="宋体"/>
                <w:sz w:val="21"/>
                <w:szCs w:val="21"/>
                <w:highlight w:val="none"/>
              </w:rPr>
              <w:t>。</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、地下</w:t>
            </w:r>
            <w:r>
              <w:rPr>
                <w:rFonts w:hint="eastAsia" w:ascii="宋体" w:hAnsi="宋体" w:eastAsia="宋体" w:cs="宋体"/>
                <w:sz w:val="21"/>
                <w:szCs w:val="21"/>
                <w:highlight w:val="none"/>
                <w:lang w:eastAsia="zh-CN"/>
              </w:rPr>
              <w:t>室</w:t>
            </w:r>
            <w:r>
              <w:rPr>
                <w:rFonts w:hint="eastAsia" w:ascii="宋体" w:hAnsi="宋体" w:eastAsia="宋体" w:cs="宋体"/>
                <w:sz w:val="21"/>
                <w:szCs w:val="21"/>
                <w:highlight w:val="none"/>
              </w:rPr>
              <w:t>墙面：目视无污渍，无明显灰尘。</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p>
        </w:tc>
        <w:tc>
          <w:tcPr>
            <w:tcW w:w="424"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20、地下室、地下车库标识牌、消防栓、门窗防护栏等设施无污渍、无灰尘。</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restart"/>
            <w:tcMar>
              <w:top w:w="15" w:type="dxa"/>
              <w:left w:w="15" w:type="dxa"/>
              <w:right w:w="15" w:type="dxa"/>
            </w:tcMar>
            <w:vAlign w:val="center"/>
          </w:tcPr>
          <w:p>
            <w:pPr>
              <w:tabs>
                <w:tab w:val="left" w:pos="413"/>
              </w:tabs>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室外</w:t>
            </w:r>
          </w:p>
          <w:p>
            <w:pPr>
              <w:tabs>
                <w:tab w:val="left" w:pos="413"/>
              </w:tabs>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公共区域</w:t>
            </w: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1、绿地无纸屑、无烟头、无石块等杂物。</w:t>
            </w:r>
          </w:p>
        </w:tc>
        <w:tc>
          <w:tcPr>
            <w:tcW w:w="821"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1040"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每发现一处不符合扣1分。</w:t>
            </w: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2、排水明沟：无明显泥沙、树叶、污垢，每100M²烟头、纸屑在两个以下。</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3、沙井、污雨水井：无垃圾、底部无沉淀物，内壁无粘附物，井盖无污迹。</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4、广场地面无明显污渍、无垃圾、无烟头、果皮。</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5、楼旁花台外表洁净、无污渍。</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6、玻璃无水印、无污渍、无灰尘。</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7、目视垃圾筒表面无污迹、无油迹、无粘附物、无异味；</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8、垃圾筒、果皮箱周围无积水。</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9、天台、雨蓬：目视天台、雨蓬无垃圾、杂物、排水畅通、无水印、无污渍；</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10、水沟无杂物、泥沙堆积和堵塞排水口。</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11、生活垃圾日产日清，定期进行卫生消毒灭杀。</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12、广告、宣传栏、标示牌：无灰尘、无污迹、干净、光亮。</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13、消防设备、器材表面无尘、无污迹。</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14、工作记录：相应《清洁工作巡检表》、《卫生间巡回保洁记录表》及《消杀记录表》等记录完整。</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15、严格遵守采购人的相关管理制度。</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值班值守室保洁</w:t>
            </w: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1、非工作日每天安排两次对值班值守室进行保洁。时间安排在8:30和18:00。</w:t>
            </w:r>
          </w:p>
        </w:tc>
        <w:tc>
          <w:tcPr>
            <w:tcW w:w="821"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9 分</w:t>
            </w:r>
          </w:p>
        </w:tc>
        <w:tc>
          <w:tcPr>
            <w:tcW w:w="1040"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每发现一处不符合扣1.5分。</w:t>
            </w: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2、床铺干净整齐，房间物品整齐摆放。</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3、卫生间：面盆、浴盆、马桶（干净无毛发、无污垢）。</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4、镜子（光亮干净无水迹污迹）。</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5、墙面地面（无污渍，无杂物）。</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6、物品布放齐全,摆放有序。</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会务服务</w:t>
            </w: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1.会前做好会议室的通风、室内温度调节、桌椅摆放、台牌摆放、茶水准备</w:t>
            </w:r>
          </w:p>
        </w:tc>
        <w:tc>
          <w:tcPr>
            <w:tcW w:w="821"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1040"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每发现一处不符合扣2.5分</w:t>
            </w: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rPr>
              <w:t>2.会中巡视会场，维护秩序和处置突发应急事件的工作，适当添加茶水。</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3.会后做好清洁，桌椅归回原位，摆放整齐。</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4511" w:type="dxa"/>
            <w:tcMar>
              <w:top w:w="15" w:type="dxa"/>
              <w:left w:w="15" w:type="dxa"/>
              <w:right w:w="15" w:type="dxa"/>
            </w:tcMar>
            <w:vAlign w:val="center"/>
          </w:tcPr>
          <w:p>
            <w:pPr>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4.做好日常的接待工作。</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0" w:type="auto"/>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室外绿化养护服务</w:t>
            </w: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1、严格按照采购人的绿化养护工作要求进行绿化养护，绿化进行科学养护，植物定时进行更换，清除体表灰尘，促进植株美观，确保植物处于良好的生长状态。</w:t>
            </w:r>
          </w:p>
        </w:tc>
        <w:tc>
          <w:tcPr>
            <w:tcW w:w="821"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14分</w:t>
            </w:r>
          </w:p>
        </w:tc>
        <w:tc>
          <w:tcPr>
            <w:tcW w:w="1040" w:type="dxa"/>
            <w:vMerge w:val="restart"/>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每发现一处不符合扣1分。</w:t>
            </w: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2、花草树木长势良好，无旱涝、缺水现象，及时做好病虫防治工作。</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3、绿地无明显杂草、烟头、杂物、垃圾。</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4、乔木、灌木：树形美观、无明显枯病树枝、无枯黄叶，正常开花。</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5、绿篱：平齐、造型明显。</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6、草坪：高度一致，并须控制在10厘米以内。</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7、无死苗，绿篱、草坪完整无缺，出现死苗、缺苗，一周内补种。</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8、作业时无漏洒现象，绿化垃圾当天内清理完毕。</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9、绿化无垃圾、烟头等杂物。</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10、新种树木有保护架，台风前做好树木保护措施，暴风雨过后12小时草地无明显积水，树木无倾斜，断枝、落叶在12小时内处理完毕。</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0" w:type="auto"/>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tcMar>
              <w:top w:w="15" w:type="dxa"/>
              <w:left w:w="15" w:type="dxa"/>
              <w:right w:w="15" w:type="dxa"/>
            </w:tcMar>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11、绿化水管、阀门、水龙头保持完好，如有自然损坏及时报告维修。</w:t>
            </w:r>
          </w:p>
        </w:tc>
        <w:tc>
          <w:tcPr>
            <w:tcW w:w="821"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Mar>
              <w:top w:w="15" w:type="dxa"/>
              <w:left w:w="15" w:type="dxa"/>
              <w:right w:w="15" w:type="dxa"/>
            </w:tcMar>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Mar>
              <w:top w:w="15" w:type="dxa"/>
              <w:left w:w="15" w:type="dxa"/>
              <w:right w:w="15" w:type="dxa"/>
            </w:tcMar>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0" w:type="auto"/>
            <w:vMerge w:val="continue"/>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12、制定和落实绿化养护工作计划，书面告知采购人，记录每次绿化养护工作，每月就落实情况与采购人确认。</w:t>
            </w:r>
          </w:p>
        </w:tc>
        <w:tc>
          <w:tcPr>
            <w:tcW w:w="821" w:type="dxa"/>
            <w:vMerge w:val="continue"/>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0" w:type="auto"/>
            <w:vMerge w:val="continue"/>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13、绿化工作人员操作熟练、规范。</w:t>
            </w:r>
          </w:p>
        </w:tc>
        <w:tc>
          <w:tcPr>
            <w:tcW w:w="821" w:type="dxa"/>
            <w:vMerge w:val="continue"/>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0" w:type="auto"/>
            <w:vMerge w:val="continue"/>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highlight w:val="none"/>
              </w:rPr>
            </w:pPr>
          </w:p>
        </w:tc>
        <w:tc>
          <w:tcPr>
            <w:tcW w:w="5314" w:type="dxa"/>
            <w:gridSpan w:val="2"/>
            <w:vAlign w:val="center"/>
          </w:tcPr>
          <w:p>
            <w:pPr>
              <w:pStyle w:val="125"/>
              <w:kinsoku w:val="0"/>
              <w:overflowPunct w:val="0"/>
              <w:autoSpaceDE w:val="0"/>
              <w:autoSpaceDN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14、对于采购人提出的合理意见及时落实或整改。</w:t>
            </w:r>
          </w:p>
        </w:tc>
        <w:tc>
          <w:tcPr>
            <w:tcW w:w="821" w:type="dxa"/>
            <w:vMerge w:val="continue"/>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1040" w:type="dxa"/>
            <w:vMerge w:val="continue"/>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sz w:val="21"/>
                <w:szCs w:val="21"/>
                <w:highlight w:val="none"/>
              </w:rPr>
            </w:pPr>
          </w:p>
        </w:tc>
        <w:tc>
          <w:tcPr>
            <w:tcW w:w="424" w:type="dxa"/>
          </w:tcPr>
          <w:p>
            <w:pPr>
              <w:kinsoku w:val="0"/>
              <w:overflowPunct w:val="0"/>
              <w:autoSpaceDE w:val="0"/>
              <w:autoSpaceDN w:val="0"/>
              <w:adjustRightInd w:val="0"/>
              <w:snapToGrid w:val="0"/>
              <w:spacing w:line="360" w:lineRule="auto"/>
              <w:rPr>
                <w:rFonts w:hint="eastAsia" w:ascii="宋体" w:hAnsi="宋体" w:eastAsia="宋体" w:cs="宋体"/>
                <w:sz w:val="21"/>
                <w:szCs w:val="21"/>
                <w:highlight w:val="none"/>
              </w:rPr>
            </w:pPr>
          </w:p>
        </w:tc>
      </w:tr>
    </w:tbl>
    <w:p>
      <w:pPr>
        <w:pStyle w:val="28"/>
        <w:shd w:val="clear" w:color="auto" w:fill="FFFFFF"/>
        <w:spacing w:beforeAutospacing="0" w:afterAutospacing="0" w:line="360" w:lineRule="auto"/>
        <w:ind w:firstLine="420" w:firstLineChars="200"/>
        <w:jc w:val="both"/>
        <w:rPr>
          <w:rFonts w:hint="eastAsia" w:ascii="宋体" w:hAnsi="宋体" w:eastAsia="宋体" w:cs="宋体"/>
          <w:sz w:val="21"/>
          <w:szCs w:val="21"/>
          <w:highlight w:val="none"/>
        </w:rPr>
      </w:pPr>
    </w:p>
    <w:p>
      <w:pPr>
        <w:pStyle w:val="125"/>
        <w:snapToGrid w:val="0"/>
        <w:spacing w:line="360" w:lineRule="auto"/>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lang w:val="en-US" w:eastAsia="zh-CN"/>
        </w:rPr>
        <w:t>三</w:t>
      </w:r>
      <w:r>
        <w:rPr>
          <w:rFonts w:hint="eastAsia" w:ascii="宋体" w:hAnsi="宋体" w:eastAsia="宋体" w:cs="宋体"/>
          <w:b/>
          <w:bCs/>
          <w:color w:val="000000"/>
          <w:kern w:val="2"/>
          <w:sz w:val="21"/>
          <w:szCs w:val="21"/>
          <w:highlight w:val="none"/>
        </w:rPr>
        <w:t>、采购项目技术要求</w:t>
      </w:r>
    </w:p>
    <w:p>
      <w:pPr>
        <w:pStyle w:val="5"/>
        <w:keepNext w:val="0"/>
        <w:keepLines w:val="0"/>
        <w:spacing w:before="0" w:after="0" w:line="360" w:lineRule="auto"/>
        <w:ind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（一）采购项目总体服务要求</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1、投标人需就本项第2、3、4条所述情况和人员配置进行书面承诺，如中标则在项目实施时完全按照采购文件的要求及配置进行安排（投标时提供承诺，可参照“投标文件格式”中《承诺函》格式）。</w:t>
      </w:r>
    </w:p>
    <w:p>
      <w:pPr>
        <w:autoSpaceDE w:val="0"/>
        <w:autoSpaceDN w:val="0"/>
        <w:spacing w:line="360" w:lineRule="auto"/>
        <w:ind w:firstLine="422" w:firstLineChars="200"/>
        <w:outlineLvl w:val="2"/>
        <w:rPr>
          <w:rFonts w:hint="eastAsia" w:ascii="宋体" w:hAnsi="宋体" w:eastAsia="宋体" w:cs="宋体"/>
          <w:b/>
          <w:color w:val="000000"/>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b/>
          <w:color w:val="000000"/>
          <w:sz w:val="21"/>
          <w:szCs w:val="21"/>
          <w:highlight w:val="none"/>
        </w:rPr>
        <w:t>2、投标人</w:t>
      </w:r>
      <w:r>
        <w:rPr>
          <w:rFonts w:hint="eastAsia" w:ascii="宋体" w:hAnsi="宋体" w:eastAsia="宋体" w:cs="宋体"/>
          <w:b/>
          <w:color w:val="000000"/>
          <w:sz w:val="21"/>
          <w:szCs w:val="21"/>
          <w:highlight w:val="none"/>
          <w:lang w:val="en-US" w:eastAsia="zh-CN"/>
        </w:rPr>
        <w:t>为本项目配备的</w:t>
      </w:r>
      <w:r>
        <w:rPr>
          <w:rFonts w:hint="eastAsia" w:ascii="宋体" w:hAnsi="宋体" w:eastAsia="宋体" w:cs="宋体"/>
          <w:b/>
          <w:color w:val="000000"/>
          <w:sz w:val="21"/>
          <w:szCs w:val="21"/>
          <w:highlight w:val="none"/>
        </w:rPr>
        <w:t>全部工作人员须符合</w:t>
      </w:r>
      <w:r>
        <w:rPr>
          <w:rFonts w:hint="eastAsia" w:ascii="宋体" w:hAnsi="宋体" w:eastAsia="宋体" w:cs="宋体"/>
          <w:b/>
          <w:color w:val="000000"/>
          <w:sz w:val="21"/>
          <w:szCs w:val="21"/>
          <w:highlight w:val="none"/>
          <w:lang w:val="en-US" w:eastAsia="zh-CN"/>
        </w:rPr>
        <w:t>国家规定的相关</w:t>
      </w:r>
      <w:r>
        <w:rPr>
          <w:rFonts w:hint="eastAsia" w:ascii="宋体" w:hAnsi="宋体" w:eastAsia="宋体" w:cs="宋体"/>
          <w:b/>
          <w:color w:val="000000"/>
          <w:sz w:val="21"/>
          <w:szCs w:val="21"/>
          <w:highlight w:val="none"/>
        </w:rPr>
        <w:t>用工标准</w:t>
      </w:r>
      <w:r>
        <w:rPr>
          <w:rFonts w:hint="eastAsia" w:ascii="宋体" w:hAnsi="宋体" w:eastAsia="宋体" w:cs="宋体"/>
          <w:b/>
          <w:color w:val="000000"/>
          <w:sz w:val="21"/>
          <w:szCs w:val="21"/>
          <w:highlight w:val="none"/>
          <w:lang w:val="en-US" w:eastAsia="zh-CN"/>
        </w:rPr>
        <w:t>及</w:t>
      </w:r>
      <w:r>
        <w:rPr>
          <w:rFonts w:hint="eastAsia" w:ascii="宋体" w:hAnsi="宋体" w:eastAsia="宋体" w:cs="宋体"/>
          <w:b/>
          <w:color w:val="000000"/>
          <w:sz w:val="21"/>
          <w:szCs w:val="21"/>
          <w:highlight w:val="none"/>
        </w:rPr>
        <w:t>要求，</w:t>
      </w:r>
      <w:r>
        <w:rPr>
          <w:rFonts w:hint="eastAsia" w:ascii="宋体" w:hAnsi="宋体" w:eastAsia="宋体" w:cs="宋体"/>
          <w:b/>
          <w:color w:val="000000"/>
          <w:sz w:val="21"/>
          <w:szCs w:val="21"/>
          <w:highlight w:val="none"/>
          <w:lang w:val="en-US" w:eastAsia="zh-CN"/>
        </w:rPr>
        <w:t>保证</w:t>
      </w:r>
      <w:r>
        <w:rPr>
          <w:rFonts w:hint="eastAsia" w:ascii="宋体" w:hAnsi="宋体" w:eastAsia="宋体" w:cs="宋体"/>
          <w:b/>
          <w:color w:val="000000"/>
          <w:sz w:val="21"/>
          <w:szCs w:val="21"/>
          <w:highlight w:val="none"/>
        </w:rPr>
        <w:t>与该项目所有人员签订劳动合同；按政府相关规定购买相应的社会保险（包括养老保险、医疗保险、工伤保险、失业保险与生育保险）、劳动保险；在签订合同</w:t>
      </w:r>
      <w:r>
        <w:rPr>
          <w:rFonts w:hint="eastAsia" w:ascii="宋体" w:hAnsi="宋体" w:eastAsia="宋体" w:cs="宋体"/>
          <w:b/>
          <w:color w:val="000000"/>
          <w:sz w:val="21"/>
          <w:szCs w:val="21"/>
          <w:highlight w:val="none"/>
          <w:lang w:val="en-US" w:eastAsia="zh-CN"/>
        </w:rPr>
        <w:t>后</w:t>
      </w:r>
      <w:r>
        <w:rPr>
          <w:rFonts w:hint="eastAsia" w:ascii="宋体" w:hAnsi="宋体" w:eastAsia="宋体" w:cs="宋体"/>
          <w:b/>
          <w:color w:val="000000"/>
          <w:sz w:val="21"/>
          <w:szCs w:val="21"/>
          <w:highlight w:val="none"/>
        </w:rPr>
        <w:t>两个月内按照采购人的要求向采购人提供相关人员的劳动合同、社保证明、医保证明、健康证明、身份证证明（投标时提供承诺，可参照“投标文件格式”中《承诺函》格式）。</w:t>
      </w:r>
    </w:p>
    <w:p>
      <w:pPr>
        <w:autoSpaceDE w:val="0"/>
        <w:autoSpaceDN w:val="0"/>
        <w:spacing w:line="360" w:lineRule="auto"/>
        <w:ind w:firstLine="422" w:firstLineChars="200"/>
        <w:outlineLvl w:val="2"/>
        <w:rPr>
          <w:rFonts w:hint="eastAsia" w:ascii="宋体" w:hAnsi="宋体" w:eastAsia="宋体" w:cs="宋体"/>
          <w:b/>
          <w:color w:val="000000"/>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b/>
          <w:color w:val="000000"/>
          <w:sz w:val="21"/>
          <w:szCs w:val="21"/>
          <w:highlight w:val="none"/>
        </w:rPr>
        <w:t>3、中标人的工作人员须遵守采购人有关规章制度和管理规定，按服务标准规范操作，不得泄漏采购人有关的机密文件。如有违反或损害采购人利益，或未能按服务标准规范操作，或违反了采购文件、合同约定和相关管理规定，或收到相关人员三次以上投诉，经查证属实，采购人有</w:t>
      </w:r>
      <w:r>
        <w:rPr>
          <w:rFonts w:hint="eastAsia" w:ascii="宋体" w:hAnsi="宋体" w:eastAsia="宋体" w:cs="宋体"/>
          <w:b/>
          <w:color w:val="000000"/>
          <w:sz w:val="21"/>
          <w:szCs w:val="21"/>
          <w:highlight w:val="none"/>
          <w:lang w:eastAsia="zh-CN"/>
        </w:rPr>
        <w:t>权</w:t>
      </w:r>
      <w:r>
        <w:rPr>
          <w:rFonts w:hint="eastAsia" w:ascii="宋体" w:hAnsi="宋体" w:eastAsia="宋体" w:cs="宋体"/>
          <w:b/>
          <w:color w:val="000000"/>
          <w:sz w:val="21"/>
          <w:szCs w:val="21"/>
          <w:highlight w:val="none"/>
        </w:rPr>
        <w:t>拒绝中标人的相关工作人员</w:t>
      </w:r>
      <w:r>
        <w:rPr>
          <w:rFonts w:hint="eastAsia" w:ascii="宋体" w:hAnsi="宋体" w:eastAsia="宋体" w:cs="宋体"/>
          <w:b/>
          <w:color w:val="000000"/>
          <w:sz w:val="21"/>
          <w:szCs w:val="21"/>
          <w:highlight w:val="none"/>
          <w:lang w:val="en-US" w:eastAsia="zh-CN"/>
        </w:rPr>
        <w:t>继续服务，并</w:t>
      </w:r>
      <w:r>
        <w:rPr>
          <w:rFonts w:hint="eastAsia" w:ascii="宋体" w:hAnsi="宋体" w:eastAsia="宋体" w:cs="宋体"/>
          <w:b/>
          <w:color w:val="000000"/>
          <w:sz w:val="21"/>
          <w:szCs w:val="21"/>
          <w:highlight w:val="none"/>
        </w:rPr>
        <w:t>要求</w:t>
      </w:r>
      <w:r>
        <w:rPr>
          <w:rFonts w:hint="eastAsia" w:ascii="宋体" w:hAnsi="宋体" w:eastAsia="宋体" w:cs="宋体"/>
          <w:b/>
          <w:color w:val="000000"/>
          <w:sz w:val="21"/>
          <w:szCs w:val="21"/>
          <w:highlight w:val="none"/>
          <w:lang w:val="en-US" w:eastAsia="zh-CN"/>
        </w:rPr>
        <w:t>中标人在</w:t>
      </w:r>
      <w:r>
        <w:rPr>
          <w:rFonts w:hint="eastAsia" w:ascii="宋体" w:hAnsi="宋体" w:eastAsia="宋体" w:cs="宋体"/>
          <w:b/>
          <w:color w:val="000000"/>
          <w:sz w:val="21"/>
          <w:szCs w:val="21"/>
          <w:highlight w:val="none"/>
        </w:rPr>
        <w:t>3天内予以</w:t>
      </w:r>
      <w:r>
        <w:rPr>
          <w:rFonts w:hint="eastAsia" w:ascii="宋体" w:hAnsi="宋体" w:eastAsia="宋体" w:cs="宋体"/>
          <w:b/>
          <w:color w:val="000000"/>
          <w:sz w:val="21"/>
          <w:szCs w:val="21"/>
          <w:highlight w:val="none"/>
          <w:lang w:val="en-US" w:eastAsia="zh-CN"/>
        </w:rPr>
        <w:t>更换服务</w:t>
      </w:r>
      <w:r>
        <w:rPr>
          <w:rFonts w:hint="eastAsia" w:ascii="宋体" w:hAnsi="宋体" w:eastAsia="宋体" w:cs="宋体"/>
          <w:b/>
          <w:color w:val="000000"/>
          <w:sz w:val="21"/>
          <w:szCs w:val="21"/>
          <w:highlight w:val="none"/>
        </w:rPr>
        <w:t>人员，</w:t>
      </w:r>
      <w:r>
        <w:rPr>
          <w:rFonts w:hint="eastAsia" w:ascii="宋体" w:hAnsi="宋体" w:eastAsia="宋体" w:cs="宋体"/>
          <w:b/>
          <w:color w:val="000000"/>
          <w:sz w:val="21"/>
          <w:szCs w:val="21"/>
          <w:highlight w:val="none"/>
          <w:lang w:val="en-US" w:eastAsia="zh-CN"/>
        </w:rPr>
        <w:t>同时</w:t>
      </w:r>
      <w:r>
        <w:rPr>
          <w:rFonts w:hint="eastAsia" w:ascii="宋体" w:hAnsi="宋体" w:eastAsia="宋体" w:cs="宋体"/>
          <w:b/>
          <w:color w:val="000000"/>
          <w:sz w:val="21"/>
          <w:szCs w:val="21"/>
          <w:highlight w:val="none"/>
        </w:rPr>
        <w:t xml:space="preserve">采购人有权按采购文件和合同相关规定予以扣分、罚款等处理，并（投标时提供承诺，可参照“投标文件格式”中《承诺函》格式）。 </w:t>
      </w:r>
    </w:p>
    <w:p>
      <w:pPr>
        <w:autoSpaceDE w:val="0"/>
        <w:autoSpaceDN w:val="0"/>
        <w:spacing w:line="360" w:lineRule="auto"/>
        <w:ind w:firstLine="422" w:firstLineChars="200"/>
        <w:outlineLvl w:val="2"/>
        <w:rPr>
          <w:rFonts w:hint="eastAsia" w:ascii="宋体" w:hAnsi="宋体" w:eastAsia="宋体" w:cs="宋体"/>
          <w:b/>
          <w:color w:val="000000"/>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b/>
          <w:color w:val="000000"/>
          <w:sz w:val="21"/>
          <w:szCs w:val="21"/>
          <w:highlight w:val="none"/>
        </w:rPr>
        <w:t>4、中标人须承诺提供装备和配置满足服务工作需求、符合采购人要求足够数量的作业</w:t>
      </w:r>
      <w:r>
        <w:rPr>
          <w:rFonts w:hint="eastAsia" w:ascii="宋体" w:hAnsi="宋体" w:eastAsia="宋体" w:cs="宋体"/>
          <w:b/>
          <w:color w:val="000000"/>
          <w:sz w:val="21"/>
          <w:szCs w:val="21"/>
          <w:highlight w:val="none"/>
          <w:lang w:eastAsia="zh-CN"/>
        </w:rPr>
        <w:t>器</w:t>
      </w:r>
      <w:r>
        <w:rPr>
          <w:rFonts w:hint="eastAsia" w:ascii="宋体" w:hAnsi="宋体" w:eastAsia="宋体" w:cs="宋体"/>
          <w:b/>
          <w:color w:val="000000"/>
          <w:sz w:val="21"/>
          <w:szCs w:val="21"/>
          <w:highlight w:val="none"/>
        </w:rPr>
        <w:t>具、物品、物料、劳保用品等，其包括工作人员的制服（防寒服）、鞋帽等劳动、劳保日常必备的各种用具用品；电脑、打（复）印机</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成套保安器械</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对讲机（当班在岗保安需每人1部）；</w:t>
      </w:r>
      <w:r>
        <w:rPr>
          <w:rFonts w:hint="eastAsia" w:ascii="宋体" w:hAnsi="宋体" w:eastAsia="宋体" w:cs="宋体"/>
          <w:b/>
          <w:color w:val="000000"/>
          <w:sz w:val="21"/>
          <w:szCs w:val="21"/>
          <w:highlight w:val="none"/>
          <w:lang w:eastAsia="zh-CN"/>
        </w:rPr>
        <w:t>保洁用地面清扫机、</w:t>
      </w:r>
      <w:r>
        <w:rPr>
          <w:rFonts w:hint="eastAsia" w:ascii="宋体" w:hAnsi="宋体" w:eastAsia="宋体" w:cs="宋体"/>
          <w:b/>
          <w:color w:val="000000"/>
          <w:sz w:val="21"/>
          <w:szCs w:val="21"/>
          <w:highlight w:val="none"/>
        </w:rPr>
        <w:t xml:space="preserve">卫生清洁工具、毛巾等日常用品；绿化用机械等器具（投标时提供承诺，可参照“投标文件格式”中《承诺函》格式）。 </w:t>
      </w:r>
    </w:p>
    <w:p>
      <w:pPr>
        <w:autoSpaceDE w:val="0"/>
        <w:autoSpaceDN w:val="0"/>
        <w:spacing w:line="360" w:lineRule="auto"/>
        <w:ind w:firstLine="420" w:firstLineChars="200"/>
        <w:rPr>
          <w:rFonts w:hint="eastAsia" w:ascii="宋体" w:hAnsi="宋体" w:eastAsia="宋体" w:cs="宋体"/>
          <w:color w:val="FF0000"/>
          <w:sz w:val="21"/>
          <w:szCs w:val="21"/>
          <w:highlight w:val="none"/>
        </w:rPr>
      </w:pPr>
      <w:r>
        <w:rPr>
          <w:rFonts w:hint="eastAsia" w:ascii="宋体" w:hAnsi="宋体" w:eastAsia="宋体" w:cs="宋体"/>
          <w:color w:val="000000"/>
          <w:sz w:val="21"/>
          <w:szCs w:val="21"/>
          <w:highlight w:val="none"/>
        </w:rPr>
        <w:t>5、中标人需对在岗员工每年培训时间不少于24小时；定期接受采购人关于服务工作满意度的测评，若测评不满意，采购人保留提出更改服务单位的权利。</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本项目服务期限内，采购人因工作需求调整办公场所，中标人应全力配合搬迁工作，在采购人总体组织下，制定实施措施和方案，承担协调采购人各部门需求、跟随引导运输车辆、指派工程人员协助拆卸及安装部分设施设备、协助楼内短距离搬运家具等物品、加派保安人员确保安全等工作。</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7、采购人除按合同规定支付物业管理服务费和合用明确规定的相关费用外，物业管理各项费用开支均由中标人自行承担。</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8、中标人需确保在管理服务期内辖区内无以下事故发生：</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（1）被盗等治安事件；</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（2）纵火、爆炸、投毒等恶性事（案）件；</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（3）外事纠纷、泄密等事（案）件；</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（4）消防责任事故；</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（5）机械设备、操作责任事故等；</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9、中标人负责协助协调处理采购人关于街道、公安、消防、城管、通讯、传媒、供电、供水、煤气、环保、市政等相关外联互动工作，维护采购人正常工作秩序，保证采购人的各项工作顺利进行。</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10、中标人须按采购人要求和</w:t>
      </w:r>
      <w:r>
        <w:rPr>
          <w:rFonts w:hint="eastAsia" w:ascii="宋体" w:hAnsi="宋体" w:eastAsia="宋体" w:cs="宋体"/>
          <w:color w:val="000000"/>
          <w:sz w:val="21"/>
          <w:szCs w:val="21"/>
          <w:highlight w:val="none"/>
          <w:lang w:val="en-US" w:eastAsia="zh-CN"/>
        </w:rPr>
        <w:t>投</w:t>
      </w:r>
      <w:r>
        <w:rPr>
          <w:rFonts w:hint="eastAsia" w:ascii="宋体" w:hAnsi="宋体" w:eastAsia="宋体" w:cs="宋体"/>
          <w:color w:val="000000"/>
          <w:sz w:val="21"/>
          <w:szCs w:val="21"/>
          <w:highlight w:val="none"/>
        </w:rPr>
        <w:t>标</w:t>
      </w:r>
      <w:r>
        <w:rPr>
          <w:rFonts w:hint="eastAsia" w:ascii="宋体" w:hAnsi="宋体" w:eastAsia="宋体" w:cs="宋体"/>
          <w:color w:val="000000"/>
          <w:sz w:val="21"/>
          <w:szCs w:val="21"/>
          <w:highlight w:val="none"/>
          <w:lang w:val="en-US" w:eastAsia="zh-CN"/>
        </w:rPr>
        <w:t>文件</w:t>
      </w:r>
      <w:r>
        <w:rPr>
          <w:rFonts w:hint="eastAsia" w:ascii="宋体" w:hAnsi="宋体" w:eastAsia="宋体" w:cs="宋体"/>
          <w:color w:val="000000"/>
          <w:sz w:val="21"/>
          <w:szCs w:val="21"/>
          <w:highlight w:val="none"/>
        </w:rPr>
        <w:t>、合同约定开展，高效、保质、保量完成各（类）项物业管理、服务、保障工作，确保各办公场所正常、安全运行。根据有关规定和采购人需求，</w:t>
      </w:r>
      <w:r>
        <w:rPr>
          <w:rFonts w:hint="eastAsia" w:ascii="宋体" w:hAnsi="宋体" w:eastAsia="宋体" w:cs="宋体"/>
          <w:sz w:val="21"/>
          <w:szCs w:val="21"/>
          <w:highlight w:val="none"/>
        </w:rPr>
        <w:t>中标人应建立项目服务质量管理体系，包括但不限于质量目标、质量指标、岗位责任、问题处理计划、质量评价、整改完善等内容，并建立奖惩制度</w:t>
      </w:r>
      <w:r>
        <w:rPr>
          <w:rFonts w:hint="eastAsia" w:ascii="宋体" w:hAnsi="宋体" w:eastAsia="宋体" w:cs="宋体"/>
          <w:color w:val="000000"/>
          <w:sz w:val="21"/>
          <w:szCs w:val="21"/>
          <w:highlight w:val="none"/>
        </w:rPr>
        <w:t>，且经采购人认可后方能实施。</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11、中标人管理服务不允许外包。办公大楼保安和保洁、大理石墙面、地面、外墙干挂保洁等管理服务项目未经过采购人同意，均不得外委。</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12、节能减排</w:t>
      </w:r>
      <w:r>
        <w:rPr>
          <w:rFonts w:hint="eastAsia" w:ascii="宋体" w:hAnsi="宋体" w:eastAsia="宋体" w:cs="宋体"/>
          <w:color w:val="000000"/>
          <w:sz w:val="21"/>
          <w:szCs w:val="21"/>
          <w:highlight w:val="none"/>
          <w:lang w:eastAsia="zh-CN"/>
        </w:rPr>
        <w:t>管理</w:t>
      </w:r>
      <w:r>
        <w:rPr>
          <w:rFonts w:hint="eastAsia" w:ascii="宋体" w:hAnsi="宋体" w:eastAsia="宋体" w:cs="宋体"/>
          <w:color w:val="000000"/>
          <w:sz w:val="21"/>
          <w:szCs w:val="21"/>
          <w:highlight w:val="none"/>
        </w:rPr>
        <w:t>要求</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中标人要对采购人的耗能设备进行全方位的了解和分析，制定切实可行的节能减排的工作方案，采取行之有效的措施开展节能降耗的相关工作。</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）配合管理部门进行能耗统计和分析，根据实际情况提出符合本物业的改进措施和建议。</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注意设施设备的日常使用巡视，避免设备“带病”运行，增大能源消耗；通过科学有效的手段杜绝能源浪费，减少各种费用支出，使能源消耗运行平衡。</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中标人要配合采购人后勤管理部门宣传节能降耗的重要意义，以增强广大干部职工的节能意识。</w:t>
      </w:r>
    </w:p>
    <w:p>
      <w:pPr>
        <w:autoSpaceDE w:val="0"/>
        <w:autoSpaceDN w:val="0"/>
        <w:spacing w:line="360" w:lineRule="auto"/>
        <w:ind w:firstLine="420" w:firstLineChars="200"/>
        <w:outlineLvl w:val="2"/>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采购人后勤管理部门对中标人节能减排工作进行监督，如某一时段能耗消耗或用水量较往年同期有 较大幅度增长，而又不能确定原因，中标人应配合采购人后勤管理部门调查原因。</w:t>
      </w:r>
    </w:p>
    <w:p>
      <w:pPr>
        <w:ind w:firstLine="420" w:firstLineChars="200"/>
        <w:rPr>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中标人要每日在采购人非工作时间，开展节能巡视，及时关闭非必要的电灯，电扇、空调等用电设施，确保公共区域及办公场所非工作时间没有长明灯、长流水等现象。</w:t>
      </w:r>
    </w:p>
    <w:p>
      <w:pPr>
        <w:autoSpaceDE w:val="0"/>
        <w:autoSpaceDN w:val="0"/>
        <w:spacing w:line="360" w:lineRule="auto"/>
        <w:ind w:firstLine="420" w:firstLineChars="200"/>
        <w:outlineLvl w:val="2"/>
        <w:rPr>
          <w:rFonts w:hint="eastAsia" w:ascii="宋体" w:hAnsi="宋体" w:eastAsia="宋体" w:cs="宋体"/>
          <w:sz w:val="21"/>
          <w:szCs w:val="21"/>
          <w:highlight w:val="none"/>
        </w:rPr>
      </w:pP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（二）采购项目服务内容及具体标准要求：</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安全防范管理服务需求：</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负责国家税务总局</w:t>
      </w:r>
      <w:r>
        <w:rPr>
          <w:rFonts w:hint="eastAsia" w:ascii="宋体" w:hAnsi="宋体" w:eastAsia="宋体" w:cs="宋体"/>
          <w:sz w:val="21"/>
          <w:szCs w:val="21"/>
          <w:highlight w:val="none"/>
          <w:lang w:eastAsia="zh-CN"/>
        </w:rPr>
        <w:t>乐昌市</w:t>
      </w:r>
      <w:r>
        <w:rPr>
          <w:rFonts w:hint="eastAsia" w:ascii="宋体" w:hAnsi="宋体" w:eastAsia="宋体" w:cs="宋体"/>
          <w:sz w:val="21"/>
          <w:szCs w:val="21"/>
          <w:highlight w:val="none"/>
        </w:rPr>
        <w:t>税务局行政楼、业务楼安全保卫、维护秩序和处置突发应急事件的工作，制定完善的安全保卫应急方案。</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（1）加强对出入口和周边环境的监控，严防外来人员从车库及外围直接进入办公楼，密切监视可疑人员出入动态。</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（2）熟练并灵活运用监视控制系统，充分发挥本办公楼的技防优势，实行24小时全天候对重点部位、监控点进行监视及录像工作。</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（3）做好与周边区域消防、公安、街道、卫生、城管、通讯、信息等单位的沟通、协调、联动。</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值班室、监控室、车场管理等岗位保安员上岗时，须坚守岗位，坚持原则，认真负责，保持威严可敬的仪表仪容，严格执行队列行走标准，文明执勤，礼貌执勤；不做与工作无关的其它事情，树立良好形象和道德风范；保安人员不得裸露纹身、一律不准留长发、长胡子、大包头，蓄发不得露于帽檐外。</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保安员穿着整齐,整洁,无皱折现象。领带佩带整齐,衬衣的第一颗钮扣扣好。袖口扣好。帽子正确佩带,帽沿朝前。下班时间可着工作服,不得敞怀赤膊。在岗期间不得勾肩搭背，东倒西歪，不背手、袖手或将手插入衣袋，严禁睡岗以及看书、看报、玩手机等一切与工作无关的事情，禁止讨论涉及业主单位内部工作事宜。</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（6）安全秩序管理</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要求：提供安全防范管理服务，并协助</w:t>
      </w:r>
      <w:r>
        <w:rPr>
          <w:rFonts w:hint="eastAsia" w:ascii="宋体" w:hAnsi="宋体" w:eastAsia="宋体" w:cs="宋体"/>
          <w:sz w:val="21"/>
          <w:szCs w:val="21"/>
          <w:highlight w:val="none"/>
          <w:lang w:eastAsia="zh-CN"/>
        </w:rPr>
        <w:t>市</w:t>
      </w:r>
      <w:r>
        <w:rPr>
          <w:rFonts w:hint="eastAsia" w:ascii="宋体" w:hAnsi="宋体" w:eastAsia="宋体" w:cs="宋体"/>
          <w:sz w:val="21"/>
          <w:szCs w:val="21"/>
          <w:highlight w:val="none"/>
        </w:rPr>
        <w:t>税务局和公安行政管理机关维护各物业区域内的公共秩序，包括秩序维护、安全监控、物业巡视、门岗执勤。</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标准：</w:t>
      </w:r>
    </w:p>
    <w:p>
      <w:pPr>
        <w:pStyle w:val="126"/>
        <w:tabs>
          <w:tab w:val="left" w:pos="1433"/>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a.物业区域内实行24小时保安值班巡逻制。</w:t>
      </w:r>
    </w:p>
    <w:p>
      <w:pPr>
        <w:pStyle w:val="126"/>
        <w:tabs>
          <w:tab w:val="left" w:pos="1433"/>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b.为保障各场馆物业的安全，根据物业周边的环境情况，实施定编足额的配置编排。</w:t>
      </w:r>
    </w:p>
    <w:p>
      <w:pPr>
        <w:pStyle w:val="126"/>
        <w:tabs>
          <w:tab w:val="left" w:pos="1433"/>
        </w:tabs>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c.发现</w:t>
      </w:r>
      <w:r>
        <w:rPr>
          <w:rFonts w:hint="eastAsia" w:ascii="宋体" w:hAnsi="宋体" w:eastAsia="宋体" w:cs="宋体"/>
          <w:sz w:val="21"/>
          <w:szCs w:val="21"/>
          <w:highlight w:val="none"/>
          <w:lang w:eastAsia="zh-CN"/>
        </w:rPr>
        <w:t>市</w:t>
      </w:r>
      <w:r>
        <w:rPr>
          <w:rFonts w:hint="eastAsia" w:ascii="宋体" w:hAnsi="宋体" w:eastAsia="宋体" w:cs="宋体"/>
          <w:sz w:val="21"/>
          <w:szCs w:val="21"/>
          <w:highlight w:val="none"/>
        </w:rPr>
        <w:t>税务局配置的安全智能系统，在运行过程中出现故障时，及时告知，由</w:t>
      </w:r>
      <w:r>
        <w:rPr>
          <w:rFonts w:hint="eastAsia" w:ascii="宋体" w:hAnsi="宋体" w:eastAsia="宋体" w:cs="宋体"/>
          <w:sz w:val="21"/>
          <w:szCs w:val="21"/>
          <w:highlight w:val="none"/>
          <w:lang w:eastAsia="zh-CN"/>
        </w:rPr>
        <w:t>市</w:t>
      </w:r>
      <w:r>
        <w:rPr>
          <w:rFonts w:hint="eastAsia" w:ascii="宋体" w:hAnsi="宋体" w:eastAsia="宋体" w:cs="宋体"/>
          <w:sz w:val="21"/>
          <w:szCs w:val="21"/>
          <w:highlight w:val="none"/>
        </w:rPr>
        <w:t>税务局进行维修。</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d.如物业区域内发生治安安全事件，应及时报告</w:t>
      </w:r>
      <w:r>
        <w:rPr>
          <w:rFonts w:hint="eastAsia" w:ascii="宋体" w:hAnsi="宋体" w:eastAsia="宋体" w:cs="宋体"/>
          <w:sz w:val="21"/>
          <w:szCs w:val="21"/>
          <w:highlight w:val="none"/>
          <w:lang w:eastAsia="zh-CN"/>
        </w:rPr>
        <w:t>市</w:t>
      </w:r>
      <w:r>
        <w:rPr>
          <w:rFonts w:hint="eastAsia" w:ascii="宋体" w:hAnsi="宋体" w:eastAsia="宋体" w:cs="宋体"/>
          <w:sz w:val="21"/>
          <w:szCs w:val="21"/>
          <w:highlight w:val="none"/>
        </w:rPr>
        <w:t>税务局，并配合</w:t>
      </w:r>
      <w:r>
        <w:rPr>
          <w:rFonts w:hint="eastAsia" w:ascii="宋体" w:hAnsi="宋体" w:eastAsia="宋体" w:cs="宋体"/>
          <w:sz w:val="21"/>
          <w:szCs w:val="21"/>
          <w:highlight w:val="none"/>
          <w:lang w:eastAsia="zh-CN"/>
        </w:rPr>
        <w:t>市</w:t>
      </w:r>
      <w:r>
        <w:rPr>
          <w:rFonts w:hint="eastAsia" w:ascii="宋体" w:hAnsi="宋体" w:eastAsia="宋体" w:cs="宋体"/>
          <w:sz w:val="21"/>
          <w:szCs w:val="21"/>
          <w:highlight w:val="none"/>
        </w:rPr>
        <w:t>税务局及时处置；</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e.协助做好</w:t>
      </w:r>
      <w:r>
        <w:rPr>
          <w:rFonts w:hint="eastAsia" w:ascii="宋体" w:hAnsi="宋体" w:eastAsia="宋体" w:cs="宋体"/>
          <w:sz w:val="21"/>
          <w:szCs w:val="21"/>
          <w:highlight w:val="none"/>
          <w:lang w:eastAsia="zh-CN"/>
        </w:rPr>
        <w:t>市</w:t>
      </w:r>
      <w:r>
        <w:rPr>
          <w:rFonts w:hint="eastAsia" w:ascii="宋体" w:hAnsi="宋体" w:eastAsia="宋体" w:cs="宋体"/>
          <w:sz w:val="21"/>
          <w:szCs w:val="21"/>
          <w:highlight w:val="none"/>
        </w:rPr>
        <w:t>税务局的重大活动、会议的相关执勤工作，其他领导交代的临时任务等。</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（7）消防管理</w:t>
      </w:r>
    </w:p>
    <w:p>
      <w:pPr>
        <w:pStyle w:val="126"/>
        <w:tabs>
          <w:tab w:val="left" w:pos="1433"/>
        </w:tabs>
        <w:spacing w:line="360" w:lineRule="auto"/>
        <w:ind w:firstLine="42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★要求：对本项目投入</w:t>
      </w:r>
      <w:r>
        <w:rPr>
          <w:rFonts w:hint="eastAsia" w:ascii="宋体" w:hAnsi="宋体" w:eastAsia="宋体" w:cs="宋体"/>
          <w:b/>
          <w:bCs/>
          <w:sz w:val="21"/>
          <w:szCs w:val="21"/>
          <w:highlight w:val="none"/>
          <w:lang w:eastAsia="zh-CN"/>
        </w:rPr>
        <w:t>的</w:t>
      </w:r>
      <w:r>
        <w:rPr>
          <w:rFonts w:hint="eastAsia" w:ascii="宋体" w:hAnsi="宋体" w:eastAsia="宋体" w:cs="宋体"/>
          <w:b/>
          <w:bCs/>
          <w:sz w:val="21"/>
          <w:szCs w:val="21"/>
          <w:highlight w:val="none"/>
        </w:rPr>
        <w:t>1名</w:t>
      </w:r>
      <w:r>
        <w:rPr>
          <w:rFonts w:hint="eastAsia" w:ascii="宋体" w:hAnsi="宋体" w:eastAsia="宋体" w:cs="宋体"/>
          <w:b/>
          <w:bCs/>
          <w:sz w:val="21"/>
          <w:szCs w:val="21"/>
          <w:highlight w:val="none"/>
          <w:lang w:eastAsia="zh-CN"/>
        </w:rPr>
        <w:t>物业经理</w:t>
      </w:r>
      <w:r>
        <w:rPr>
          <w:rFonts w:hint="eastAsia" w:ascii="宋体" w:hAnsi="宋体" w:eastAsia="宋体" w:cs="宋体"/>
          <w:b/>
          <w:bCs/>
          <w:sz w:val="21"/>
          <w:szCs w:val="21"/>
          <w:highlight w:val="none"/>
        </w:rPr>
        <w:t>具有人力资源和社会保障部门或消防行业职业技能鉴定机构颁发的建（构）筑物消防员或消防设施操作员职业资格证书（</w:t>
      </w:r>
      <w:r>
        <w:rPr>
          <w:rFonts w:hint="eastAsia" w:ascii="宋体" w:hAnsi="宋体" w:eastAsia="宋体" w:cs="宋体"/>
          <w:b/>
          <w:sz w:val="21"/>
          <w:szCs w:val="21"/>
          <w:highlight w:val="none"/>
        </w:rPr>
        <w:t>投标时提供相应人员证书复印件</w:t>
      </w:r>
      <w:r>
        <w:rPr>
          <w:rFonts w:hint="eastAsia" w:ascii="宋体" w:hAnsi="宋体" w:eastAsia="宋体" w:cs="宋体"/>
          <w:b/>
          <w:sz w:val="21"/>
          <w:szCs w:val="21"/>
          <w:highlight w:val="none"/>
          <w:lang w:eastAsia="zh-CN"/>
        </w:rPr>
        <w:t>）</w:t>
      </w:r>
      <w:r>
        <w:rPr>
          <w:rFonts w:hint="eastAsia" w:ascii="宋体" w:hAnsi="宋体" w:eastAsia="宋体" w:cs="宋体"/>
          <w:b/>
          <w:bCs/>
          <w:sz w:val="21"/>
          <w:szCs w:val="21"/>
          <w:highlight w:val="none"/>
        </w:rPr>
        <w:t>。</w:t>
      </w:r>
    </w:p>
    <w:p>
      <w:pPr>
        <w:pStyle w:val="2"/>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中标人保障物业区域内无消防安全责任事故；消防管理服务期限202</w:t>
      </w: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rPr>
        <w:t>年</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月</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日至202</w:t>
      </w: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年</w:t>
      </w: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rPr>
        <w:t>月</w:t>
      </w:r>
      <w:r>
        <w:rPr>
          <w:rFonts w:hint="eastAsia" w:ascii="宋体" w:hAnsi="宋体" w:eastAsia="宋体" w:cs="宋体"/>
          <w:b/>
          <w:bCs/>
          <w:sz w:val="21"/>
          <w:szCs w:val="21"/>
          <w:highlight w:val="none"/>
          <w:lang w:val="en-US" w:eastAsia="zh-CN"/>
        </w:rPr>
        <w:t>31</w:t>
      </w:r>
      <w:r>
        <w:rPr>
          <w:rFonts w:hint="eastAsia" w:ascii="宋体" w:hAnsi="宋体" w:eastAsia="宋体" w:cs="宋体"/>
          <w:b/>
          <w:bCs/>
          <w:sz w:val="21"/>
          <w:szCs w:val="21"/>
          <w:highlight w:val="none"/>
        </w:rPr>
        <w:t>日止。</w:t>
      </w:r>
    </w:p>
    <w:p>
      <w:pPr>
        <w:pStyle w:val="126"/>
        <w:tabs>
          <w:tab w:val="left" w:pos="1224"/>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2、物业保洁、会务服务需求:</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负责国家税务总局</w:t>
      </w:r>
      <w:r>
        <w:rPr>
          <w:rFonts w:hint="eastAsia" w:ascii="宋体" w:hAnsi="宋体" w:eastAsia="宋体" w:cs="宋体"/>
          <w:sz w:val="21"/>
          <w:szCs w:val="21"/>
          <w:highlight w:val="none"/>
          <w:lang w:eastAsia="zh-CN"/>
        </w:rPr>
        <w:t>乐昌市</w:t>
      </w:r>
      <w:r>
        <w:rPr>
          <w:rFonts w:hint="eastAsia" w:ascii="宋体" w:hAnsi="宋体" w:eastAsia="宋体" w:cs="宋体"/>
          <w:sz w:val="21"/>
          <w:szCs w:val="21"/>
          <w:highlight w:val="none"/>
        </w:rPr>
        <w:t>税务局行政楼、业务楼物业辖内的保洁、会务工作，制定完善的日常保洁维护方案。</w:t>
      </w:r>
    </w:p>
    <w:p>
      <w:pPr>
        <w:pStyle w:val="126"/>
        <w:tabs>
          <w:tab w:val="left" w:pos="1224"/>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负责物业范围内广场、道路；地面；地板；室内办公场所；大堂；会议室；公共部位（卫生间及厕具、楼梯、电梯、走廊、走火通道等；）水池消毒清洗；停车场；各种设备、设施等的日常卫生清洁，以及采购人临时要求的突击清洁任务，如清洁会场、大扫除等，随时保洁。</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（2）关键办公区域、指定办公室的清洁卫生，中标供应商须安排专人跟进和监督质量。</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（3）中标供应商清洁时间应尽量避免打扰采购人的正常工作时间，对大堂、公共区域等每天采取循环保洁方式。</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（4）负责物业范围的垃圾分类收集工作，做到日产日清，门前三包和清运工作。</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（5）垃圾收纳：17:00-18:30收纳清除（运）垃圾保洁，收纳清运垃圾务必袋装封闭，预防污水流出、臭气冲天，同时，巡回保洁，有脏即除，保持干净。</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（6）垃圾桶：所有垃圾桶套垃圾袋使用，每天每班次每2小时各巡查保洁一次，有脏必除，垃圾装满必清，同时，巡回保洁，有脏即除，保持干净。</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（7）投标人应具备物业建筑物管理经验，需要有建筑物清洁养护相关资质和专业熟练的技术人员。</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（8）中标人自备日常清洁工作及清洁过程中消耗的物料（包括但不限于扫帚、地拖、抹布、水桶、水管、简易钢塑梯、手拉车等）。</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（9）会务服务</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a.会前做好会议室的通风、室内温度调节、桌椅摆放、台牌摆放、茶水准备等。</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b.会中巡视会场，维护秩序和处置突发应急事件的工作，适当添加茶水。</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c.会后做好清洁，桌椅归回原位，摆放整齐。</w:t>
      </w:r>
    </w:p>
    <w:p>
      <w:pPr>
        <w:pStyle w:val="2"/>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d.做好日常接待工作。</w:t>
      </w:r>
    </w:p>
    <w:p>
      <w:pPr>
        <w:pStyle w:val="126"/>
        <w:tabs>
          <w:tab w:val="left" w:pos="1224"/>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3、绿化养护服务需求：</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负责国家税务总局</w:t>
      </w:r>
      <w:r>
        <w:rPr>
          <w:rFonts w:hint="eastAsia" w:ascii="宋体" w:hAnsi="宋体" w:eastAsia="宋体" w:cs="宋体"/>
          <w:sz w:val="21"/>
          <w:szCs w:val="21"/>
          <w:highlight w:val="none"/>
          <w:lang w:eastAsia="zh-CN"/>
        </w:rPr>
        <w:t>乐昌市</w:t>
      </w:r>
      <w:r>
        <w:rPr>
          <w:rFonts w:hint="eastAsia" w:ascii="宋体" w:hAnsi="宋体" w:eastAsia="宋体" w:cs="宋体"/>
          <w:sz w:val="21"/>
          <w:szCs w:val="21"/>
          <w:highlight w:val="none"/>
        </w:rPr>
        <w:t>税务局行政楼、业务楼物业辖内物业范围内绿化服务养护工作</w:t>
      </w:r>
      <w:r>
        <w:rPr>
          <w:rFonts w:hint="eastAsia" w:ascii="宋体" w:hAnsi="宋体" w:eastAsia="宋体" w:cs="宋体"/>
          <w:sz w:val="21"/>
          <w:szCs w:val="21"/>
          <w:highlight w:val="none"/>
          <w:lang w:val="zh-CN"/>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户外绿化养护要求：根据植物生态习性，合理修剪，留枝均匀，疏密合理，剪口平滑，保持树形整齐美观，枝繁叶茂；绿篱生长旺盛、修剪整齐、合理、无死株、缺档；花坛（台）、草坪等绿地内保持无杂草生长，无杂藤攀援树木，无污物、垃圾等；定期做好植物虫害的预防和消杀工作。</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（2）加强对现有的公共花基的绿化养护，定期对花草、树木进行修剪、施肥、杀虫。晴天每隔三天进行一次全面喷水。根据花草树木的生长情况，保持每月一次杀虫。</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（3）每年3月、6月、9月、12月对花草树木进行一次定期的修剪和施肥。</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（4）随时清理花草树木底下的落叶，保持绿化地清洁卫生。</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（5）对枯死的花草树木及时更换、补种，保持无杂草、生长良好。</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4、其他服务需求</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（1）协助各部门搬运家具、小件物品，清理废旧物品。</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（2）协助辖区内的装修、改造工程施工管理。</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（3）负责节日及协助大型活动布置工作。</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（4）负责物业管理服务项目其它相关工作及采购人提出的辖区内其它管理工作、任务和要求。</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（5）采购人不提供中标供应商物业管理人员的住宿用房。</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5、专业岗位人员培训</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中标人配置的各类工作人员需按岗位要求参加岗前培训，在掌握本岗位的专业知识、专业技能、工作内容、工作流程、工作标准以及明确工作职能和责任，而且具备了适合本岗位的心理素质、身体素质后方可上岗。在服务期间，中标人要组织在本物业服务场所的服务人员在专业培训机构进行每年不少于1次的专业岗位培训，以不断提高服务人员业务素质和业务能力。</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中标人负责属下员工的职业道德教育、业务知识培训工作；定期接受采购人服务工作满意度的测评。若测评不满意，采购人保留提出更换服务单位的权力。如果中标人的派驻人员受到采购人3次以上投诉，经查证属实，确实违反了合同约定和相关管理规定的，采购人有权要求中标人更换该派驻人员，中标人应当在3日内予以更换。</w:t>
      </w:r>
    </w:p>
    <w:p>
      <w:pPr>
        <w:tabs>
          <w:tab w:val="left" w:pos="54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（3）绿化养护人员需经过有害生物防治培训，具有对应服务的措施。</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（三）中标人义务与责任</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1、在管理服务期内由于中标人责任造成第三人、采购人和中标人工作人员人身伤亡和财产损失，由中标人负责承担赔偿。</w:t>
      </w:r>
    </w:p>
    <w:p>
      <w:pPr>
        <w:autoSpaceDE w:val="0"/>
        <w:autoSpaceDN w:val="0"/>
        <w:spacing w:line="360" w:lineRule="auto"/>
        <w:ind w:firstLine="422" w:firstLineChars="200"/>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中标人履约过程中，如有意外事件或采购人需要，承诺物业经理或以上级别管理人员30分钟内到达现场并及时处理上述问题，并杜绝意外问题再次发生（投标时提交承诺，承诺可参照“投标文件格式”中《承诺函》格式）。</w:t>
      </w:r>
    </w:p>
    <w:p>
      <w:pPr>
        <w:autoSpaceDE w:val="0"/>
        <w:autoSpaceDN w:val="0"/>
        <w:spacing w:line="360" w:lineRule="auto"/>
        <w:ind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2、中标人工作人员在本项目大楼范围内发生违法、违规行为的，所造成的一切后果及损失，由中标人承担责任及负责赔偿。</w:t>
      </w:r>
    </w:p>
    <w:p>
      <w:pPr>
        <w:autoSpaceDE w:val="0"/>
        <w:autoSpaceDN w:val="0"/>
        <w:spacing w:line="360" w:lineRule="auto"/>
        <w:ind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3、中标人不按照采购人要求及时更换不合格物业服务人员，或者擅自更换采购人要求保留的物业服务人员，以及人员变动率超过标准（每季度10%）时，采购人有权按2%的比例予以扣减当月物业管理费。</w:t>
      </w:r>
    </w:p>
    <w:p>
      <w:pPr>
        <w:autoSpaceDE w:val="0"/>
        <w:autoSpaceDN w:val="0"/>
        <w:spacing w:line="360" w:lineRule="auto"/>
        <w:ind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4、在物业服务期内中标人应确保在服务范围内无刑事、治安案件（事件）的发生；无消防责任事故发生、无机械设备操作责任事故发生。</w:t>
      </w:r>
    </w:p>
    <w:p>
      <w:pPr>
        <w:autoSpaceDE w:val="0"/>
        <w:autoSpaceDN w:val="0"/>
        <w:spacing w:line="360" w:lineRule="auto"/>
        <w:ind w:firstLine="420" w:firstLineChars="200"/>
        <w:outlineLvl w:val="2"/>
        <w:rPr>
          <w:rFonts w:hint="eastAsia" w:ascii="宋体" w:hAnsi="宋体" w:eastAsia="宋体" w:cs="宋体"/>
          <w:color w:val="auto"/>
          <w:kern w:val="2"/>
          <w:sz w:val="21"/>
          <w:szCs w:val="21"/>
          <w:highlight w:val="none"/>
        </w:rPr>
      </w:pPr>
      <w:r>
        <w:rPr>
          <w:rFonts w:hint="eastAsia" w:ascii="宋体" w:hAnsi="宋体" w:eastAsia="宋体" w:cs="宋体"/>
          <w:sz w:val="21"/>
          <w:szCs w:val="21"/>
          <w:highlight w:val="none"/>
        </w:rPr>
        <w:t>5、中标人不能响应招标文件或服务合同，或者1个月内连续3（人）次出现违反采购人管理规定情况，或者因中标人在服务期内</w:t>
      </w:r>
      <w:r>
        <w:rPr>
          <w:rFonts w:hint="eastAsia" w:ascii="宋体" w:hAnsi="宋体" w:eastAsia="宋体" w:cs="宋体"/>
          <w:color w:val="auto"/>
          <w:szCs w:val="21"/>
          <w:highlight w:val="none"/>
          <w:lang w:eastAsia="zh-CN"/>
        </w:rPr>
        <w:t>连续（或累计）</w:t>
      </w:r>
      <w:r>
        <w:rPr>
          <w:rFonts w:hint="eastAsia" w:ascii="宋体" w:hAnsi="宋体" w:eastAsia="宋体" w:cs="宋体"/>
          <w:sz w:val="21"/>
          <w:szCs w:val="21"/>
          <w:highlight w:val="none"/>
        </w:rPr>
        <w:t>2次及以上物业服务综合考核未达标，采购人可以单方面终止合同，并追究相关违约责任。</w:t>
      </w:r>
    </w:p>
    <w:bookmarkEnd w:id="93"/>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rPr>
          <w:rFonts w:hint="eastAsia" w:ascii="宋体" w:hAnsi="宋体" w:eastAsia="宋体" w:cs="宋体"/>
          <w:color w:val="auto"/>
          <w:highlight w:val="none"/>
        </w:rPr>
      </w:pPr>
      <w:bookmarkStart w:id="98" w:name="_Toc2156"/>
      <w:r>
        <w:rPr>
          <w:rFonts w:hint="eastAsia" w:ascii="宋体" w:hAnsi="宋体" w:eastAsia="宋体" w:cs="宋体"/>
          <w:color w:val="auto"/>
          <w:highlight w:val="none"/>
        </w:rPr>
        <w:t>第三部分 评标方法</w:t>
      </w:r>
      <w:bookmarkEnd w:id="94"/>
      <w:bookmarkEnd w:id="95"/>
      <w:bookmarkEnd w:id="98"/>
    </w:p>
    <w:p>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本项目将按照招标文件第一部分 投标人须知中“六 开标及评标”、“七 确定中标”及本章的规定评标。</w:t>
      </w:r>
    </w:p>
    <w:p>
      <w:pPr>
        <w:adjustRightInd w:val="0"/>
        <w:snapToGrid w:val="0"/>
        <w:spacing w:line="360" w:lineRule="auto"/>
        <w:ind w:firstLine="422" w:firstLineChars="200"/>
        <w:rPr>
          <w:rFonts w:hint="eastAsia" w:ascii="宋体" w:hAnsi="宋体" w:eastAsia="宋体" w:cs="宋体"/>
          <w:b/>
          <w:color w:val="auto"/>
          <w:kern w:val="0"/>
          <w:szCs w:val="21"/>
          <w:highlight w:val="none"/>
        </w:rPr>
      </w:pPr>
      <w:bookmarkStart w:id="99" w:name="_Toc22313_WPSOffice_Level2"/>
      <w:r>
        <w:rPr>
          <w:rFonts w:hint="eastAsia" w:ascii="宋体" w:hAnsi="宋体" w:eastAsia="宋体" w:cs="宋体"/>
          <w:b/>
          <w:color w:val="auto"/>
          <w:kern w:val="0"/>
          <w:szCs w:val="21"/>
          <w:highlight w:val="none"/>
        </w:rPr>
        <w:t>一、评标方法</w:t>
      </w:r>
      <w:bookmarkEnd w:id="99"/>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w:t>
      </w:r>
      <w:r>
        <w:rPr>
          <w:rFonts w:hint="eastAsia" w:ascii="宋体" w:hAnsi="宋体" w:eastAsia="宋体" w:cs="宋体"/>
          <w:color w:val="auto"/>
          <w:kern w:val="0"/>
          <w:szCs w:val="21"/>
          <w:highlight w:val="none"/>
          <w:u w:val="single"/>
        </w:rPr>
        <w:t>综合评分法</w:t>
      </w:r>
      <w:r>
        <w:rPr>
          <w:rFonts w:hint="eastAsia" w:ascii="宋体" w:hAnsi="宋体" w:eastAsia="宋体" w:cs="宋体"/>
          <w:color w:val="auto"/>
          <w:kern w:val="0"/>
          <w:szCs w:val="21"/>
          <w:highlight w:val="none"/>
        </w:rPr>
        <w:t>进行评标。评分标准和评分细则详见后附《服务评审表》、《商务评审表》、《价格评审表》。</w:t>
      </w:r>
    </w:p>
    <w:p>
      <w:pPr>
        <w:adjustRightInd w:val="0"/>
        <w:snapToGrid w:val="0"/>
        <w:spacing w:line="360" w:lineRule="auto"/>
        <w:ind w:firstLine="422" w:firstLineChars="200"/>
        <w:textAlignment w:val="baseline"/>
        <w:rPr>
          <w:rFonts w:hint="eastAsia" w:ascii="宋体" w:hAnsi="宋体" w:eastAsia="宋体" w:cs="宋体"/>
          <w:b/>
          <w:color w:val="auto"/>
          <w:kern w:val="0"/>
          <w:szCs w:val="21"/>
          <w:highlight w:val="none"/>
        </w:rPr>
      </w:pPr>
      <w:bookmarkStart w:id="100" w:name="_Toc21368_WPSOffice_Level2"/>
      <w:r>
        <w:rPr>
          <w:rFonts w:hint="eastAsia" w:ascii="宋体" w:hAnsi="宋体" w:eastAsia="宋体" w:cs="宋体"/>
          <w:b/>
          <w:color w:val="auto"/>
          <w:kern w:val="0"/>
          <w:szCs w:val="21"/>
          <w:highlight w:val="none"/>
        </w:rPr>
        <w:t>二、评标原则及程序</w:t>
      </w:r>
      <w:bookmarkEnd w:id="100"/>
    </w:p>
    <w:p>
      <w:pPr>
        <w:adjustRightInd w:val="0"/>
        <w:snapToGrid w:val="0"/>
        <w:spacing w:line="360" w:lineRule="auto"/>
        <w:ind w:firstLine="422" w:firstLineChars="200"/>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（一）评标原则</w:t>
      </w:r>
    </w:p>
    <w:p>
      <w:pPr>
        <w:adjustRightInd w:val="0"/>
        <w:snapToGrid w:val="0"/>
        <w:spacing w:line="360" w:lineRule="auto"/>
        <w:ind w:firstLine="420" w:firstLineChars="200"/>
        <w:textAlignment w:val="baseline"/>
        <w:rPr>
          <w:rFonts w:hint="eastAsia" w:ascii="宋体" w:hAnsi="宋体" w:eastAsia="宋体" w:cs="宋体"/>
          <w:b/>
          <w:color w:val="auto"/>
          <w:kern w:val="0"/>
          <w:szCs w:val="21"/>
          <w:highlight w:val="none"/>
        </w:rPr>
      </w:pPr>
      <w:r>
        <w:rPr>
          <w:rFonts w:hint="eastAsia" w:ascii="宋体" w:hAnsi="宋体" w:eastAsia="宋体" w:cs="宋体"/>
          <w:color w:val="auto"/>
          <w:kern w:val="0"/>
          <w:highlight w:val="none"/>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2" w:firstLineChars="200"/>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（二）评标程序</w:t>
      </w:r>
    </w:p>
    <w:p>
      <w:pPr>
        <w:adjustRightInd w:val="0"/>
        <w:snapToGrid w:val="0"/>
        <w:spacing w:line="360" w:lineRule="auto"/>
        <w:ind w:firstLine="422" w:firstLineChars="200"/>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1.资格审查</w:t>
      </w:r>
    </w:p>
    <w:p>
      <w:pPr>
        <w:adjustRightInd w:val="0"/>
        <w:snapToGrid w:val="0"/>
        <w:spacing w:line="360" w:lineRule="auto"/>
        <w:ind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1.1详见投标人须知22条。资格审查表详见本章附件1。</w:t>
      </w:r>
    </w:p>
    <w:p>
      <w:pPr>
        <w:adjustRightInd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2.符合性审查</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2.1详见投标人须知23条。符合性审查表详见本章附件2。</w:t>
      </w:r>
    </w:p>
    <w:p>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3</w:t>
      </w:r>
      <w:r>
        <w:rPr>
          <w:rFonts w:hint="eastAsia" w:ascii="宋体" w:hAnsi="宋体" w:eastAsia="宋体" w:cs="宋体"/>
          <w:b/>
          <w:color w:val="auto"/>
          <w:kern w:val="0"/>
          <w:szCs w:val="21"/>
          <w:highlight w:val="none"/>
        </w:rPr>
        <w:t>.样品及演示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3.1投标人须知表11.3条</w:t>
      </w:r>
      <w:r>
        <w:rPr>
          <w:rFonts w:hint="eastAsia" w:ascii="宋体" w:hAnsi="宋体" w:eastAsia="宋体" w:cs="宋体"/>
          <w:color w:val="auto"/>
          <w:szCs w:val="21"/>
          <w:highlight w:val="none"/>
        </w:rPr>
        <w:t>中要求投标人提供样品或演示的，按照</w:t>
      </w:r>
      <w:r>
        <w:rPr>
          <w:rFonts w:hint="eastAsia" w:ascii="宋体" w:hAnsi="宋体" w:eastAsia="宋体" w:cs="宋体"/>
          <w:color w:val="auto"/>
          <w:kern w:val="0"/>
          <w:szCs w:val="21"/>
          <w:highlight w:val="none"/>
        </w:rPr>
        <w:t>评审细则中载明的</w:t>
      </w:r>
      <w:r>
        <w:rPr>
          <w:rFonts w:hint="eastAsia" w:ascii="宋体" w:hAnsi="宋体" w:eastAsia="宋体" w:cs="宋体"/>
          <w:color w:val="auto"/>
          <w:szCs w:val="21"/>
          <w:highlight w:val="none"/>
        </w:rPr>
        <w:t>评审方法以及评审标准进行评审。(样品或演示属于符合性审查的，按照</w:t>
      </w:r>
      <w:r>
        <w:rPr>
          <w:rFonts w:hint="eastAsia" w:ascii="宋体" w:hAnsi="宋体" w:eastAsia="宋体" w:cs="宋体"/>
          <w:color w:val="auto"/>
          <w:kern w:val="0"/>
          <w:szCs w:val="21"/>
          <w:highlight w:val="none"/>
        </w:rPr>
        <w:t>投标人须知23条</w:t>
      </w:r>
      <w:r>
        <w:rPr>
          <w:rFonts w:hint="eastAsia" w:ascii="宋体" w:hAnsi="宋体" w:eastAsia="宋体" w:cs="宋体"/>
          <w:color w:val="auto"/>
          <w:szCs w:val="21"/>
          <w:highlight w:val="none"/>
        </w:rPr>
        <w:t>规定执行）</w:t>
      </w:r>
    </w:p>
    <w:p>
      <w:pPr>
        <w:adjustRightInd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4</w:t>
      </w:r>
      <w:r>
        <w:rPr>
          <w:rFonts w:hint="eastAsia" w:ascii="宋体" w:hAnsi="宋体" w:eastAsia="宋体" w:cs="宋体"/>
          <w:b/>
          <w:bCs/>
          <w:color w:val="auto"/>
          <w:kern w:val="0"/>
          <w:szCs w:val="21"/>
          <w:highlight w:val="none"/>
        </w:rPr>
        <w:t>.比较及评价</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4.1评标委员会对通过符合性审查的投标文件进行比较和评价。</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4.2评标委员会按招标文件中规定的评标方法和标准，对资格审查和符合性审查合格的投标文件进行商务和</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综合比较与评价。</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、商务、价格部分分值分配如下：</w:t>
      </w:r>
    </w:p>
    <w:tbl>
      <w:tblPr>
        <w:tblStyle w:val="3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28"/>
        <w:gridCol w:w="2128"/>
        <w:gridCol w:w="2130"/>
        <w:gridCol w:w="21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评分项目</w:t>
            </w:r>
          </w:p>
        </w:tc>
        <w:tc>
          <w:tcPr>
            <w:tcW w:w="12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服务</w:t>
            </w:r>
            <w:r>
              <w:rPr>
                <w:rFonts w:hint="eastAsia" w:ascii="宋体" w:hAnsi="宋体" w:eastAsia="宋体" w:cs="宋体"/>
                <w:bCs/>
                <w:color w:val="auto"/>
                <w:szCs w:val="21"/>
                <w:highlight w:val="none"/>
              </w:rPr>
              <w:t>评分</w:t>
            </w:r>
          </w:p>
        </w:tc>
        <w:tc>
          <w:tcPr>
            <w:tcW w:w="125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商务评分</w:t>
            </w:r>
          </w:p>
        </w:tc>
        <w:tc>
          <w:tcPr>
            <w:tcW w:w="125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0" w:hRule="atLeast"/>
        </w:trPr>
        <w:tc>
          <w:tcPr>
            <w:tcW w:w="12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    值</w:t>
            </w:r>
          </w:p>
        </w:tc>
        <w:tc>
          <w:tcPr>
            <w:tcW w:w="12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40</w:t>
            </w:r>
            <w:r>
              <w:rPr>
                <w:rFonts w:hint="eastAsia" w:ascii="宋体" w:hAnsi="宋体" w:eastAsia="宋体" w:cs="宋体"/>
                <w:bCs/>
                <w:color w:val="auto"/>
                <w:szCs w:val="21"/>
                <w:highlight w:val="none"/>
              </w:rPr>
              <w:t>分</w:t>
            </w:r>
          </w:p>
        </w:tc>
        <w:tc>
          <w:tcPr>
            <w:tcW w:w="125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45</w:t>
            </w:r>
            <w:r>
              <w:rPr>
                <w:rFonts w:hint="eastAsia" w:ascii="宋体" w:hAnsi="宋体" w:eastAsia="宋体" w:cs="宋体"/>
                <w:bCs/>
                <w:color w:val="auto"/>
                <w:szCs w:val="21"/>
                <w:highlight w:val="none"/>
              </w:rPr>
              <w:t>分</w:t>
            </w:r>
          </w:p>
        </w:tc>
        <w:tc>
          <w:tcPr>
            <w:tcW w:w="125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权    重</w:t>
            </w:r>
          </w:p>
        </w:tc>
        <w:tc>
          <w:tcPr>
            <w:tcW w:w="12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40</w:t>
            </w:r>
            <w:r>
              <w:rPr>
                <w:rFonts w:hint="eastAsia" w:ascii="宋体" w:hAnsi="宋体" w:eastAsia="宋体" w:cs="宋体"/>
                <w:bCs/>
                <w:color w:val="auto"/>
                <w:szCs w:val="21"/>
                <w:highlight w:val="none"/>
              </w:rPr>
              <w:t>%</w:t>
            </w:r>
          </w:p>
        </w:tc>
        <w:tc>
          <w:tcPr>
            <w:tcW w:w="125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45</w:t>
            </w:r>
            <w:r>
              <w:rPr>
                <w:rFonts w:hint="eastAsia" w:ascii="宋体" w:hAnsi="宋体" w:eastAsia="宋体" w:cs="宋体"/>
                <w:bCs/>
                <w:color w:val="auto"/>
                <w:szCs w:val="21"/>
                <w:highlight w:val="none"/>
              </w:rPr>
              <w:t>%</w:t>
            </w:r>
          </w:p>
        </w:tc>
        <w:tc>
          <w:tcPr>
            <w:tcW w:w="125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w:t>
            </w:r>
          </w:p>
        </w:tc>
      </w:tr>
    </w:tbl>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具体量化打分标准如下：</w:t>
      </w:r>
    </w:p>
    <w:p>
      <w:pPr>
        <w:pStyle w:val="10"/>
        <w:tabs>
          <w:tab w:val="left" w:pos="420"/>
        </w:tabs>
        <w:spacing w:line="360" w:lineRule="auto"/>
        <w:ind w:firstLineChars="199"/>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bCs/>
          <w:snapToGrid w:val="0"/>
          <w:color w:val="auto"/>
          <w:szCs w:val="21"/>
          <w:highlight w:val="none"/>
        </w:rPr>
        <w:t>服务</w:t>
      </w:r>
      <w:r>
        <w:rPr>
          <w:rFonts w:hint="eastAsia" w:ascii="宋体" w:hAnsi="宋体" w:eastAsia="宋体" w:cs="宋体"/>
          <w:b/>
          <w:color w:val="auto"/>
          <w:highlight w:val="none"/>
        </w:rPr>
        <w:t>、商务评分：</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评标委员会分别对各投标的服务、商务投标文件中的各项内容进行评议比较，详细对比其服务、商务方案等各种因素方面是否满足招标文件的要求。在服务、商务评审表的相应项各自记名打分。</w:t>
      </w:r>
    </w:p>
    <w:p>
      <w:pPr>
        <w:pStyle w:val="10"/>
        <w:tabs>
          <w:tab w:val="left" w:pos="420"/>
        </w:tabs>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bCs/>
          <w:snapToGrid w:val="0"/>
          <w:color w:val="auto"/>
          <w:szCs w:val="21"/>
          <w:highlight w:val="none"/>
        </w:rPr>
        <w:t>服务、</w:t>
      </w:r>
      <w:r>
        <w:rPr>
          <w:rFonts w:hint="eastAsia" w:ascii="宋体" w:hAnsi="宋体" w:eastAsia="宋体" w:cs="宋体"/>
          <w:b/>
          <w:color w:val="auto"/>
          <w:highlight w:val="none"/>
        </w:rPr>
        <w:t>商务得分统计</w:t>
      </w:r>
    </w:p>
    <w:p>
      <w:pPr>
        <w:pStyle w:val="10"/>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①将所有评委的</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评分的算术平均值即为每个有效投标人的服务得分（四舍五入后，精确到0.01）。</w:t>
      </w:r>
    </w:p>
    <w:p>
      <w:pPr>
        <w:pStyle w:val="10"/>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②将所有评委的商务评分的算术平均值即为每个有效投标人的商务得分（四舍五入后，精确到0.01）。</w:t>
      </w:r>
    </w:p>
    <w:p>
      <w:pPr>
        <w:pStyle w:val="10"/>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③将</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得分、商务得分相加得出商务</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得分。</w:t>
      </w:r>
    </w:p>
    <w:p>
      <w:pPr>
        <w:pStyle w:val="10"/>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6、价格核准和评分</w:t>
      </w:r>
    </w:p>
    <w:p>
      <w:pPr>
        <w:pStyle w:val="10"/>
        <w:spacing w:line="360" w:lineRule="auto"/>
        <w:rPr>
          <w:rFonts w:hint="eastAsia" w:ascii="宋体" w:hAnsi="宋体" w:eastAsia="宋体" w:cs="宋体"/>
          <w:bCs/>
          <w:color w:val="auto"/>
          <w:highlight w:val="none"/>
          <w:u w:val="single"/>
        </w:rPr>
      </w:pPr>
      <w:r>
        <w:rPr>
          <w:rFonts w:hint="eastAsia" w:ascii="宋体" w:hAnsi="宋体" w:eastAsia="宋体" w:cs="宋体"/>
          <w:bCs/>
          <w:color w:val="auto"/>
          <w:highlight w:val="none"/>
          <w:u w:val="single"/>
        </w:rPr>
        <w:t>6.1评标委员会认为投标人的报价明显低于其他通过符合性审查投标人的报价，有可能影响服务质量或者不能诚信履约的，将要求其在评标现场在评委规定的时间内提供书面说明，必要时提交相关证明材料；投标人不能证明其报价合理性的，评标委员会将其作为无效投标处理。</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书面说明后，评标委员会应当结合采购项目采购需求、专业实际情况、供应商财务状况报告、与其他投标人比较情况等就投标人的书面说明进行审查评价。投标人如有下列情况的，评标委员会应当将其投标文件作为无效处理：</w:t>
      </w:r>
    </w:p>
    <w:p>
      <w:pPr>
        <w:numPr>
          <w:ilvl w:val="0"/>
          <w:numId w:val="9"/>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拒绝或者变相拒绝提供有效书面说明；</w:t>
      </w:r>
    </w:p>
    <w:p>
      <w:pPr>
        <w:numPr>
          <w:ilvl w:val="0"/>
          <w:numId w:val="9"/>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书面说明不能证明其报价合理性的；</w:t>
      </w:r>
    </w:p>
    <w:p>
      <w:pPr>
        <w:numPr>
          <w:ilvl w:val="0"/>
          <w:numId w:val="9"/>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未在规定时间内递交有效书面说明书的。</w:t>
      </w:r>
    </w:p>
    <w:p>
      <w:pPr>
        <w:pStyle w:val="1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6.2价格的核准</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评委先对入围投标人的投标报价进行复核，投标文件报价出现前后不一致的，按照下列规定修正：</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（1）投标文件中开标一览表内容与投标文件中相应内容不一致的，以开标一览表为准；</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同时出现两种以上不一致的，按照前款规定的顺序修正。对不同文字文本投标文件的解释发生异议的，以中文文本为准。</w:t>
      </w:r>
    </w:p>
    <w:p>
      <w:pPr>
        <w:pStyle w:val="1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投标报价中对投标标的的主体、关键内容有漏项、缺项的，其投标无效。</w:t>
      </w:r>
      <w:r>
        <w:rPr>
          <w:rFonts w:hint="eastAsia" w:ascii="宋体" w:hAnsi="宋体" w:eastAsia="宋体" w:cs="宋体"/>
          <w:color w:val="auto"/>
          <w:highlight w:val="none"/>
        </w:rPr>
        <w:t>除上述规定外，投标人有非主体、非关键性工作内容的缺项、漏项（数量不符合将被视为漏项），均视为报价中已包含相关费用，如中标不得再向采购人收取任何该费用。</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对数量的评审，以第二部分《采购需求》所明示数量为准；《采购需求》未明示的，由评标委员会以其专业知识判断，必要时参考投标供应商的澄清文件决定。</w:t>
      </w:r>
    </w:p>
    <w:p>
      <w:pPr>
        <w:pStyle w:val="10"/>
        <w:spacing w:line="360" w:lineRule="auto"/>
        <w:rPr>
          <w:rFonts w:hint="eastAsia" w:ascii="宋体" w:hAnsi="宋体" w:eastAsia="宋体" w:cs="宋体"/>
          <w:b/>
          <w:color w:val="auto"/>
          <w:highlight w:val="none"/>
          <w:u w:val="single"/>
        </w:rPr>
      </w:pPr>
      <w:r>
        <w:rPr>
          <w:rFonts w:hint="eastAsia" w:ascii="宋体" w:hAnsi="宋体" w:eastAsia="宋体" w:cs="宋体"/>
          <w:color w:val="auto"/>
          <w:highlight w:val="none"/>
        </w:rPr>
        <w:t>对出现以上情况或因明显笔误而需修正任何内容时，均以评标委员会审定通过方为有效。按上述修正错误的方法调整后的投标报价，需由投标人加盖公章或者由法定代表人</w:t>
      </w:r>
      <w:r>
        <w:rPr>
          <w:rFonts w:hint="eastAsia" w:ascii="宋体" w:hAnsi="宋体" w:eastAsia="宋体" w:cs="宋体"/>
          <w:color w:val="auto"/>
          <w:szCs w:val="21"/>
          <w:highlight w:val="none"/>
        </w:rPr>
        <w:t>（非法人单位负责人或自然人本人）</w:t>
      </w:r>
      <w:r>
        <w:rPr>
          <w:rFonts w:hint="eastAsia" w:ascii="宋体" w:hAnsi="宋体" w:eastAsia="宋体" w:cs="宋体"/>
          <w:color w:val="auto"/>
          <w:highlight w:val="none"/>
        </w:rPr>
        <w:t>或其授权的代表签字确认，</w:t>
      </w:r>
      <w:r>
        <w:rPr>
          <w:rFonts w:hint="eastAsia" w:ascii="宋体" w:hAnsi="宋体" w:eastAsia="宋体" w:cs="宋体"/>
          <w:b/>
          <w:color w:val="auto"/>
          <w:highlight w:val="none"/>
        </w:rPr>
        <w:t xml:space="preserve">投标人不确认的，其投标无效。 </w:t>
      </w:r>
    </w:p>
    <w:p>
      <w:pPr>
        <w:adjustRightInd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color w:val="auto"/>
          <w:szCs w:val="20"/>
          <w:highlight w:val="none"/>
        </w:rPr>
        <w:t>6.3需落实的政府采购政策性规定</w:t>
      </w:r>
    </w:p>
    <w:p>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6.3.1对于中小微企业（含监狱企业、符合中小企业划分标准的个体工商户）的相关规定</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对于非专门面向中小企业的项目（或者部分面向中小企业项目中的非专门面向中小企业的采购包），在满足价格扣除条件且在投标文件中按要求提交了《中小企业声明函》</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或省级以上监狱管理局、戒毒管理局（含新疆生产建设兵团）出具的属于监狱企业的证明文件的投标人，对投标报价给予价格扣除，用扣除后的价格参与评审。投标报价扣除比例如下：</w:t>
      </w:r>
    </w:p>
    <w:p>
      <w:pPr>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（1）非联合体投标</w:t>
      </w:r>
    </w:p>
    <w:p>
      <w:pPr>
        <w:pStyle w:val="18"/>
        <w:adjustRightInd w:val="0"/>
        <w:snapToGrid w:val="0"/>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投标人投标产品</w:t>
      </w:r>
      <w:r>
        <w:rPr>
          <w:rFonts w:hAnsi="宋体" w:eastAsia="宋体" w:cs="宋体"/>
          <w:color w:val="auto"/>
          <w:highlight w:val="none"/>
        </w:rPr>
        <w:t>/服务全部为小型或微型企业产品/服务时，报价给予K</w:t>
      </w:r>
      <w:r>
        <w:rPr>
          <w:rFonts w:hAnsi="宋体" w:eastAsia="宋体" w:cs="宋体"/>
          <w:color w:val="auto"/>
          <w:highlight w:val="none"/>
          <w:vertAlign w:val="subscript"/>
        </w:rPr>
        <w:t>1</w:t>
      </w:r>
      <w:r>
        <w:rPr>
          <w:rFonts w:hint="eastAsia" w:hAnsi="宋体" w:eastAsia="宋体" w:cs="宋体"/>
          <w:color w:val="auto"/>
          <w:highlight w:val="none"/>
        </w:rPr>
        <w:t>的价格扣除（</w:t>
      </w:r>
      <w:r>
        <w:rPr>
          <w:rFonts w:hAnsi="宋体" w:eastAsia="宋体" w:cs="宋体"/>
          <w:color w:val="auto"/>
          <w:highlight w:val="none"/>
        </w:rPr>
        <w:t>K</w:t>
      </w:r>
      <w:r>
        <w:rPr>
          <w:rFonts w:hAnsi="宋体" w:eastAsia="宋体" w:cs="宋体"/>
          <w:color w:val="auto"/>
          <w:highlight w:val="none"/>
          <w:vertAlign w:val="subscript"/>
        </w:rPr>
        <w:t>1</w:t>
      </w:r>
      <w:r>
        <w:rPr>
          <w:rFonts w:hint="eastAsia" w:hAnsi="宋体" w:eastAsia="宋体" w:cs="宋体"/>
          <w:color w:val="auto"/>
          <w:highlight w:val="none"/>
        </w:rPr>
        <w:t>的取值为15</w:t>
      </w:r>
      <w:r>
        <w:rPr>
          <w:rFonts w:hAnsi="宋体" w:eastAsia="宋体" w:cs="宋体"/>
          <w:color w:val="auto"/>
          <w:highlight w:val="none"/>
        </w:rPr>
        <w:t>%）</w:t>
      </w:r>
      <w:r>
        <w:rPr>
          <w:rFonts w:hint="eastAsia" w:hAnsi="宋体" w:eastAsia="宋体" w:cs="宋体"/>
          <w:color w:val="auto"/>
          <w:highlight w:val="none"/>
        </w:rPr>
        <w:t>，即：评标价＝修正后的报价*（1-K</w:t>
      </w:r>
      <w:r>
        <w:rPr>
          <w:rFonts w:hint="eastAsia" w:hAnsi="宋体" w:eastAsia="宋体" w:cs="宋体"/>
          <w:color w:val="auto"/>
          <w:highlight w:val="none"/>
          <w:vertAlign w:val="subscript"/>
        </w:rPr>
        <w:t>1</w:t>
      </w:r>
      <w:r>
        <w:rPr>
          <w:rFonts w:hint="eastAsia" w:hAnsi="宋体" w:eastAsia="宋体" w:cs="宋体"/>
          <w:color w:val="auto"/>
          <w:highlight w:val="none"/>
        </w:rPr>
        <w:t>）；</w:t>
      </w:r>
    </w:p>
    <w:p>
      <w:pPr>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（2）接受分包或联合体投标</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接受大中型企业与小微企业组成联合体或者允许大中型企业向一家或者多家小微企业分包的，且联合体协议或者分包意向协议中约定小微企业的合同份额占到合同总金额30%以上的，对联合体或者大中型企业的报价给予K</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的价格扣除（K</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的取值为5%），即：评标价＝修正后的报价*（1-K</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w:t>
      </w:r>
    </w:p>
    <w:p>
      <w:pPr>
        <w:pStyle w:val="18"/>
        <w:adjustRightInd w:val="0"/>
        <w:snapToGrid w:val="0"/>
        <w:spacing w:line="360" w:lineRule="auto"/>
        <w:ind w:firstLine="420"/>
        <w:rPr>
          <w:rFonts w:hint="eastAsia" w:hAnsi="宋体" w:eastAsia="宋体" w:cs="宋体"/>
          <w:color w:val="auto"/>
          <w:highlight w:val="none"/>
        </w:rPr>
      </w:pPr>
      <w:r>
        <w:rPr>
          <w:rFonts w:hint="eastAsia" w:hAnsi="宋体" w:eastAsia="宋体" w:cs="宋体"/>
          <w:color w:val="auto"/>
          <w:highlight w:val="none"/>
        </w:rPr>
        <w:t>联合体各方均为小型、微型企业的，联合体视同为小型、微型企业，享受扶持政策。</w:t>
      </w:r>
    </w:p>
    <w:p>
      <w:pPr>
        <w:pStyle w:val="18"/>
        <w:adjustRightInd w:val="0"/>
        <w:snapToGrid w:val="0"/>
        <w:spacing w:line="360" w:lineRule="auto"/>
        <w:ind w:firstLine="420"/>
        <w:rPr>
          <w:rFonts w:hint="eastAsia" w:hAnsi="宋体" w:eastAsia="宋体" w:cs="宋体"/>
          <w:color w:val="auto"/>
          <w:highlight w:val="none"/>
        </w:rPr>
      </w:pPr>
      <w:r>
        <w:rPr>
          <w:rFonts w:hint="eastAsia" w:hAnsi="宋体" w:eastAsia="宋体" w:cs="宋体"/>
          <w:color w:val="auto"/>
          <w:highlight w:val="none"/>
        </w:rPr>
        <w:t>若组成联合体或者接受分包的小微企业与联合体内其他企业、分包企业之间存在直接控股、管理关系的，不享受价格扣除优惠政策。</w:t>
      </w:r>
    </w:p>
    <w:p>
      <w:pPr>
        <w:adjustRightInd w:val="0"/>
        <w:snapToGrid w:val="0"/>
        <w:spacing w:line="360" w:lineRule="auto"/>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6.3.2对于促进残疾人就业政府采购政策的相关规定</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残疾人福利性单位视同小型、微型企业，享受以上价格扣除政策</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（2）投标文件中必须提供《残疾人福利性单位声明函》（详见第五部分 投标文件内容及格式），否则不予享受该政策性优惠，并对声明的真实性负责</w:t>
      </w:r>
      <w:r>
        <w:rPr>
          <w:rFonts w:hint="eastAsia" w:ascii="宋体" w:hAnsi="宋体" w:eastAsia="宋体" w:cs="宋体"/>
          <w:color w:val="auto"/>
          <w:szCs w:val="21"/>
          <w:highlight w:val="none"/>
        </w:rPr>
        <w:t>，如《残疾人福利性单位声明函》与事实不符的，将依照《政府采购法》第七十七条第一款的规定追究法律责任。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（3）残疾人福利性单位属于小型、微型企业的，不重复享受政策。</w:t>
      </w:r>
    </w:p>
    <w:p>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6.3.3对于节能产品、环境标志产品的相关规定</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hint="eastAsia" w:ascii="宋体" w:hAnsi="宋体" w:eastAsia="宋体" w:cs="宋体"/>
          <w:color w:val="auto"/>
          <w:kern w:val="0"/>
          <w:highlight w:val="none"/>
          <w:u w:val="single"/>
        </w:rPr>
        <w:t xml:space="preserve">  1  </w:t>
      </w:r>
      <w:r>
        <w:rPr>
          <w:rFonts w:hint="eastAsia" w:ascii="宋体" w:hAnsi="宋体" w:eastAsia="宋体" w:cs="宋体"/>
          <w:color w:val="auto"/>
          <w:highlight w:val="none"/>
        </w:rPr>
        <w:t>%的价格扣除。</w:t>
      </w:r>
      <w:r>
        <w:rPr>
          <w:rFonts w:hint="eastAsia" w:ascii="宋体" w:hAnsi="宋体" w:eastAsia="宋体" w:cs="宋体"/>
          <w:b/>
          <w:color w:val="auto"/>
          <w:highlight w:val="none"/>
        </w:rPr>
        <w:t>（如节能产品在评审表已进行评分，则该产品不再进行此处的价格扣除。）</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（2）供应商应同时提供品目清单网络截图，并以明确标注所报产品信息和位置的方式，用以方便评审。</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（3）认证机构和获证产品信息发布媒体：详见中国政府采购网（www.ccgp.gov.cn）建立的与认证结果信息发布平台的链接。</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（4）对属于强制采购的节能产品，节能要求作为实质性响应指标，不再享受评审优惠。</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6.4价格评分</w:t>
      </w:r>
    </w:p>
    <w:p>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6.4.1评标委员会对入围的投标人的投标价格进行修正核实。综合评分法中的价格分统一按照下列公式计算：</w:t>
      </w:r>
    </w:p>
    <w:p>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取最低投标报价为评标基准价，其价格得分为满分，其他报价得分按以下公式计算：</w:t>
      </w:r>
    </w:p>
    <w:p>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报价得分=（</w:t>
      </w:r>
      <w:r>
        <w:rPr>
          <w:rFonts w:hint="eastAsia" w:eastAsia="宋体"/>
          <w:color w:val="auto"/>
          <w:highlight w:val="none"/>
        </w:rPr>
        <w:t>评标</w:t>
      </w:r>
      <w:r>
        <w:rPr>
          <w:rFonts w:hint="eastAsia" w:ascii="宋体" w:hAnsi="宋体" w:eastAsia="宋体" w:cs="宋体"/>
          <w:color w:val="auto"/>
          <w:highlight w:val="none"/>
        </w:rPr>
        <w:t>基准价/投标报价）*</w:t>
      </w:r>
      <w:r>
        <w:rPr>
          <w:rFonts w:hint="eastAsia" w:ascii="宋体" w:hAnsi="宋体" w:eastAsia="宋体" w:cs="宋体"/>
          <w:color w:val="auto"/>
          <w:highlight w:val="none"/>
          <w:lang w:val="en-US" w:eastAsia="zh-CN"/>
        </w:rPr>
        <w:t>价格权重</w:t>
      </w:r>
      <w:r>
        <w:rPr>
          <w:rFonts w:hint="eastAsia" w:ascii="宋体" w:hAnsi="宋体" w:eastAsia="宋体" w:cs="宋体"/>
          <w:color w:val="auto"/>
          <w:highlight w:val="none"/>
        </w:rPr>
        <w:t>。</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6.4.2</w:t>
      </w:r>
      <w:r>
        <w:rPr>
          <w:rFonts w:hint="eastAsia" w:ascii="宋体" w:hAnsi="宋体" w:eastAsia="宋体" w:cs="宋体"/>
          <w:color w:val="auto"/>
          <w:kern w:val="0"/>
          <w:szCs w:val="21"/>
          <w:highlight w:val="none"/>
        </w:rPr>
        <w:t>在评标期间，对投标文件的澄清按投标人须知24条内容执行。</w:t>
      </w:r>
    </w:p>
    <w:p>
      <w:pPr>
        <w:adjustRightInd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bCs/>
          <w:color w:val="auto"/>
          <w:kern w:val="0"/>
          <w:szCs w:val="21"/>
          <w:highlight w:val="none"/>
        </w:rPr>
        <w:t>、推荐中标候选人的原则</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详见第一部分投标人须知第29条，报价相同的处理办法如下：</w:t>
      </w:r>
    </w:p>
    <w:p>
      <w:pPr>
        <w:numPr>
          <w:ilvl w:val="0"/>
          <w:numId w:val="1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采用最低评标价法的，</w:t>
      </w:r>
      <w:r>
        <w:rPr>
          <w:rFonts w:hint="eastAsia" w:ascii="宋体" w:hAnsi="宋体" w:eastAsia="宋体" w:cs="宋体"/>
          <w:color w:val="auto"/>
          <w:kern w:val="0"/>
          <w:szCs w:val="21"/>
          <w:highlight w:val="none"/>
        </w:rPr>
        <w:t>报价相同的处理办法如下：</w:t>
      </w:r>
    </w:p>
    <w:p>
      <w:pPr>
        <w:numPr>
          <w:ilvl w:val="0"/>
          <w:numId w:val="1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投标文件满足招标文件全部实质性要求且投标报价最低的投标人为排名第一的中标候选人，排名第一的中标候选人紧接其后的投标人为排名第二的中标候选人，依次类推。 </w:t>
      </w:r>
    </w:p>
    <w:p>
      <w:pPr>
        <w:numPr>
          <w:ilvl w:val="0"/>
          <w:numId w:val="1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采用综合评分法的，综合得分相同时，按下列顺序比较确定：</w:t>
      </w:r>
    </w:p>
    <w:p>
      <w:pPr>
        <w:adjustRightInd w:val="0"/>
        <w:snapToGrid w:val="0"/>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①投标报价（由高到低）。</w:t>
      </w:r>
    </w:p>
    <w:p>
      <w:pPr>
        <w:adjustRightInd w:val="0"/>
        <w:snapToGrid w:val="0"/>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②服务部分得分（由高到低）。</w:t>
      </w:r>
    </w:p>
    <w:p>
      <w:pPr>
        <w:adjustRightInd w:val="0"/>
        <w:snapToGrid w:val="0"/>
        <w:spacing w:line="360" w:lineRule="auto"/>
        <w:ind w:left="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③综合得分相同、投标报价和</w:t>
      </w:r>
      <w:r>
        <w:rPr>
          <w:rFonts w:hint="eastAsia" w:ascii="宋体" w:hAnsi="宋体" w:eastAsia="宋体" w:cs="宋体"/>
          <w:color w:val="auto"/>
          <w:szCs w:val="21"/>
          <w:highlight w:val="none"/>
        </w:rPr>
        <w:t>服务</w:t>
      </w:r>
      <w:r>
        <w:rPr>
          <w:rFonts w:hint="eastAsia" w:ascii="宋体" w:hAnsi="宋体" w:eastAsia="宋体" w:cs="宋体"/>
          <w:bCs/>
          <w:color w:val="auto"/>
          <w:szCs w:val="21"/>
          <w:highlight w:val="none"/>
        </w:rPr>
        <w:t>评分均相同的，名次由评标委员会抽签确定。</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④法律法规有明确规定的，以法律法规规定为准。</w:t>
      </w:r>
      <w:bookmarkStart w:id="101" w:name="_Toc30297_WPSOffice_Level2"/>
    </w:p>
    <w:p>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三、</w:t>
      </w:r>
      <w:r>
        <w:rPr>
          <w:rFonts w:hint="eastAsia" w:ascii="宋体" w:hAnsi="宋体" w:eastAsia="宋体" w:cs="宋体"/>
          <w:b/>
          <w:color w:val="auto"/>
          <w:kern w:val="0"/>
          <w:szCs w:val="21"/>
          <w:highlight w:val="none"/>
        </w:rPr>
        <w:t>确定中标人</w:t>
      </w:r>
      <w:bookmarkEnd w:id="101"/>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1"/>
          <w:highlight w:val="none"/>
        </w:rPr>
        <w:t>采购人按照评标报告确定的中标候选人名单按顺序确定中标人，或由采购人委托评标委员会按照第一部分</w:t>
      </w:r>
      <w:r>
        <w:rPr>
          <w:rFonts w:hint="eastAsia" w:ascii="宋体" w:hAnsi="宋体" w:eastAsia="宋体" w:cs="宋体"/>
          <w:color w:val="auto"/>
          <w:kern w:val="0"/>
          <w:szCs w:val="21"/>
          <w:highlight w:val="none"/>
        </w:rPr>
        <w:t>投标人须知第31条</w:t>
      </w:r>
      <w:r>
        <w:rPr>
          <w:rFonts w:hint="eastAsia" w:ascii="宋体" w:hAnsi="宋体" w:eastAsia="宋体" w:cs="宋体"/>
          <w:color w:val="auto"/>
          <w:szCs w:val="21"/>
          <w:highlight w:val="none"/>
        </w:rPr>
        <w:t>规定的方式确定中标人。</w:t>
      </w:r>
      <w:bookmarkStart w:id="102" w:name="_Toc96523887"/>
      <w:bookmarkStart w:id="103" w:name="_Toc32318_WPSOffice_Level2"/>
      <w:r>
        <w:rPr>
          <w:rFonts w:hint="eastAsia" w:ascii="宋体" w:hAnsi="宋体" w:eastAsia="宋体" w:cs="宋体"/>
          <w:color w:val="auto"/>
          <w:highlight w:val="none"/>
        </w:rPr>
        <w:br w:type="page"/>
      </w:r>
      <w:bookmarkStart w:id="104" w:name="_Toc30031_WPSOffice_Level1"/>
      <w:r>
        <w:rPr>
          <w:rFonts w:hint="eastAsia" w:ascii="宋体" w:hAnsi="宋体" w:eastAsia="宋体" w:cs="宋体"/>
          <w:color w:val="auto"/>
          <w:highlight w:val="none"/>
        </w:rPr>
        <w:t>附件1：资格审查表</w:t>
      </w:r>
      <w:bookmarkEnd w:id="102"/>
      <w:bookmarkEnd w:id="104"/>
    </w:p>
    <w:bookmarkEnd w:id="103"/>
    <w:p>
      <w:pPr>
        <w:tabs>
          <w:tab w:val="left" w:pos="905"/>
          <w:tab w:val="left" w:pos="2109"/>
          <w:tab w:val="left" w:pos="9323"/>
        </w:tabs>
        <w:spacing w:after="159" w:afterLines="50" w:line="420" w:lineRule="exact"/>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资格审查表</w:t>
      </w:r>
    </w:p>
    <w:tbl>
      <w:tblPr>
        <w:tblStyle w:val="3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11"/>
        <w:gridCol w:w="1005"/>
        <w:gridCol w:w="67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1"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90"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审查项目</w:t>
            </w:r>
          </w:p>
        </w:tc>
        <w:tc>
          <w:tcPr>
            <w:tcW w:w="399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eastAsia="宋体" w:cs="宋体"/>
                <w:b/>
                <w:color w:val="auto"/>
                <w:kern w:val="0"/>
                <w:szCs w:val="21"/>
                <w:highlight w:val="none"/>
              </w:rPr>
            </w:pPr>
            <w:r>
              <w:rPr>
                <w:rFonts w:hint="eastAsia" w:ascii="宋体" w:hAnsi="宋体" w:eastAsia="宋体" w:cs="宋体"/>
                <w:b/>
                <w:bCs/>
                <w:color w:val="auto"/>
                <w:szCs w:val="21"/>
                <w:highlight w:val="none"/>
              </w:rPr>
              <w:t>审查内容及要求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5"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lang w:eastAsia="en-US"/>
              </w:rPr>
            </w:pPr>
          </w:p>
        </w:tc>
        <w:tc>
          <w:tcPr>
            <w:tcW w:w="590" w:type="pct"/>
            <w:vMerge w:val="restart"/>
            <w:tcBorders>
              <w:top w:val="single" w:color="000000" w:sz="8" w:space="0"/>
              <w:left w:val="single" w:color="000000" w:sz="8" w:space="0"/>
              <w:right w:val="single" w:color="000000" w:sz="8" w:space="0"/>
            </w:tcBorders>
            <w:vAlign w:val="center"/>
          </w:tcPr>
          <w:p>
            <w:pPr>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w:t>
            </w:r>
          </w:p>
        </w:tc>
        <w:tc>
          <w:tcPr>
            <w:tcW w:w="3991" w:type="pct"/>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具有独立承担民事责任的能力(在中华人民共和国境内注册的法人或其他组织</w:t>
            </w:r>
            <w:r>
              <w:rPr>
                <w:rFonts w:hint="eastAsia" w:ascii="宋体" w:hAnsi="宋体" w:eastAsia="宋体" w:cs="宋体"/>
                <w:color w:val="auto"/>
                <w:szCs w:val="21"/>
                <w:highlight w:val="none"/>
              </w:rPr>
              <w:t>或自然人</w:t>
            </w:r>
            <w:r>
              <w:rPr>
                <w:rFonts w:hint="eastAsia" w:ascii="宋体" w:hAnsi="宋体" w:eastAsia="宋体" w:cs="宋体"/>
                <w:color w:val="auto"/>
                <w:kern w:val="0"/>
                <w:szCs w:val="21"/>
                <w:highlight w:val="none"/>
              </w:rPr>
              <w:t>,投标(响应)时提交有效的营业执照(或事业法人登记证或身份证等相关证明)副本复印件。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3991" w:type="pct"/>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具有良好的商业信誉和健全的财务会计制度（提供经会计师事务所审计的202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年度财务状况报表或基本开户行出具的资信证明。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4"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3991" w:type="pct"/>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具备履行合同所必需的设备和专业技术能力（提供</w:t>
            </w:r>
            <w:r>
              <w:rPr>
                <w:rFonts w:hint="eastAsia" w:ascii="宋体" w:hAnsi="宋体" w:eastAsia="宋体" w:cs="宋体"/>
                <w:color w:val="auto"/>
                <w:szCs w:val="21"/>
                <w:highlight w:val="none"/>
              </w:rPr>
              <w:t>按照招标文件的格式签署盖章的《资格声明函》</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kern w:val="0"/>
                <w:szCs w:val="21"/>
                <w:highlight w:val="none"/>
              </w:rPr>
              <w:t>相关证明材料）。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3991" w:type="pct"/>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有依法缴纳税收和社会保障资金的良好记录（</w:t>
            </w:r>
            <w:r>
              <w:rPr>
                <w:rFonts w:ascii="宋体" w:hAnsi="宋体" w:eastAsia="宋体" w:cs="宋体"/>
                <w:color w:val="auto"/>
                <w:kern w:val="0"/>
                <w:szCs w:val="21"/>
                <w:highlight w:val="none"/>
              </w:rPr>
              <w:t>提供投标截止日前6个月内任意1个月依法缴纳税收和社会保障资金的相关材料。如依法免税或不需要缴纳社会保障资金的,提供相应证明材料</w:t>
            </w:r>
            <w:r>
              <w:rPr>
                <w:rFonts w:hint="eastAsia" w:ascii="宋体" w:hAnsi="宋体" w:eastAsia="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4"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3991" w:type="pct"/>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r>
              <w:rPr>
                <w:rFonts w:hint="eastAsia" w:ascii="宋体" w:hAnsi="宋体" w:eastAsia="宋体" w:cs="宋体"/>
                <w:color w:val="auto"/>
                <w:kern w:val="0"/>
                <w:szCs w:val="21"/>
                <w:highlight w:val="none"/>
                <w:lang w:val="en-US" w:eastAsia="zh-CN"/>
              </w:rPr>
              <w:t>提供</w:t>
            </w:r>
            <w:r>
              <w:rPr>
                <w:rFonts w:hint="eastAsia" w:ascii="宋体" w:hAnsi="宋体" w:eastAsia="宋体" w:cs="宋体"/>
                <w:color w:val="auto"/>
                <w:szCs w:val="21"/>
                <w:highlight w:val="none"/>
              </w:rPr>
              <w:t>按照招标文件的格式签署盖章的《资格声明函》</w:t>
            </w:r>
            <w:r>
              <w:rPr>
                <w:rFonts w:hint="eastAsia" w:ascii="宋体" w:hAnsi="宋体" w:eastAsia="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3991" w:type="pct"/>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投标人必须符合法律、行政法规规定的其他条件（</w:t>
            </w:r>
            <w:r>
              <w:rPr>
                <w:rFonts w:hint="eastAsia" w:ascii="宋体" w:hAnsi="宋体" w:eastAsia="宋体" w:cs="宋体"/>
                <w:color w:val="auto"/>
                <w:kern w:val="0"/>
                <w:szCs w:val="21"/>
                <w:highlight w:val="none"/>
                <w:lang w:val="en-US" w:eastAsia="zh-CN"/>
              </w:rPr>
              <w:t>提供</w:t>
            </w:r>
            <w:r>
              <w:rPr>
                <w:rFonts w:hint="eastAsia" w:ascii="宋体" w:hAnsi="宋体" w:eastAsia="宋体" w:cs="宋体"/>
                <w:color w:val="auto"/>
                <w:szCs w:val="21"/>
                <w:highlight w:val="none"/>
              </w:rPr>
              <w:t>按照招标文件的格式签署盖章的《资格声明函》</w:t>
            </w:r>
            <w:r>
              <w:rPr>
                <w:rFonts w:hint="eastAsia" w:ascii="宋体" w:hAnsi="宋体" w:eastAsia="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3991" w:type="pct"/>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本项目专门面向</w:t>
            </w:r>
            <w:r>
              <w:rPr>
                <w:rFonts w:hint="eastAsia" w:ascii="宋体" w:hAnsi="宋体" w:eastAsia="宋体" w:cs="宋体"/>
                <w:color w:val="auto"/>
                <w:kern w:val="0"/>
                <w:szCs w:val="21"/>
                <w:highlight w:val="none"/>
                <w:lang w:eastAsia="zh-CN"/>
              </w:rPr>
              <w:t>小微</w:t>
            </w:r>
            <w:r>
              <w:rPr>
                <w:rFonts w:hint="eastAsia" w:ascii="宋体" w:hAnsi="宋体" w:eastAsia="宋体" w:cs="宋体"/>
                <w:color w:val="auto"/>
                <w:kern w:val="0"/>
                <w:szCs w:val="21"/>
                <w:highlight w:val="none"/>
              </w:rPr>
              <w:t>企业采购，所属行业为:</w:t>
            </w:r>
            <w:r>
              <w:rPr>
                <w:rFonts w:hint="eastAsia" w:ascii="宋体" w:hAnsi="宋体" w:eastAsia="宋体" w:cs="宋体"/>
                <w:color w:val="auto"/>
                <w:kern w:val="0"/>
                <w:szCs w:val="21"/>
                <w:highlight w:val="none"/>
                <w:lang w:val="en-US" w:eastAsia="zh-CN"/>
              </w:rPr>
              <w:t>物业管理</w:t>
            </w:r>
            <w:r>
              <w:rPr>
                <w:rFonts w:hint="eastAsia" w:ascii="宋体" w:hAnsi="宋体" w:eastAsia="宋体" w:cs="宋体"/>
                <w:color w:val="auto"/>
                <w:kern w:val="0"/>
                <w:szCs w:val="21"/>
                <w:highlight w:val="none"/>
              </w:rPr>
              <w:t>。</w:t>
            </w:r>
          </w:p>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val="en-US" w:eastAsia="zh-CN"/>
              </w:rPr>
              <w:t>小微</w:t>
            </w:r>
            <w:r>
              <w:rPr>
                <w:rFonts w:hint="eastAsia" w:ascii="宋体" w:hAnsi="宋体" w:eastAsia="宋体" w:cs="宋体"/>
                <w:color w:val="auto"/>
                <w:kern w:val="0"/>
                <w:szCs w:val="21"/>
                <w:highlight w:val="none"/>
              </w:rPr>
              <w:t>企业以供应商《中小企业声明函》为判定标准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监狱企业以供应商提供由省级以上监狱管理局、戒毒管理局(含新疆生产建设兵团)出具的属于监狱企业的证明文件为判定标准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残疾人福利性单位以供应商填写的《残疾人福利性单位声明函》为判定标准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0"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3991" w:type="pct"/>
            <w:tcBorders>
              <w:top w:val="single" w:color="000000" w:sz="8" w:space="0"/>
              <w:left w:val="single" w:color="000000" w:sz="8" w:space="0"/>
              <w:bottom w:val="single" w:color="000000" w:sz="8" w:space="0"/>
              <w:right w:val="single" w:color="000000" w:sz="8" w:space="0"/>
            </w:tcBorders>
          </w:tcPr>
          <w:p>
            <w:pPr>
              <w:widowControl/>
              <w:textAlignment w:val="top"/>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人未被列入“信用中国网站(www.creditchina.gov.cn)”重大税收违法失信主体；未被列入“中国执行信息公开网（http://zxgk.court.gov.cn/）”失信被执行人记录名单；未被列入“中国政府采购网(http://www.ccgp.gov.cn/)”政府采购严重违法失信行为记录名单中的禁止参加政府采购活动期间，若投标人具有分公司的，其所属分公司有上述不良信用记录的，视同该投标人存在不良信用记录。若投标人为分公司的，其所属总公司（总所）存在上述不良信用记录的，视同该分公司存在不良信用记录。（以采购代理机构于评标当天在“信用中国网站(www.creditchina.gov.cn)、中国执行信息公开网（http://zxgk.court.gov.cn/）及中国政府采购网（http://www.ccgp.gov.cn/）查询结果为准，如相关失信记录已失效，投标人需提供相关证明资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0"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3991" w:type="pct"/>
            <w:tcBorders>
              <w:top w:val="single" w:color="000000" w:sz="8" w:space="0"/>
              <w:left w:val="single" w:color="000000" w:sz="8" w:space="0"/>
              <w:bottom w:val="single" w:color="000000" w:sz="8" w:space="0"/>
              <w:right w:val="single" w:color="000000" w:sz="8" w:space="0"/>
            </w:tcBorders>
          </w:tcPr>
          <w:p>
            <w:pPr>
              <w:widowControl/>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必须符合法律、行政法规规定的其他条件：单位负责人为同一人或者存在直接控股、管理关系的不同供应商，不得同时参加本采购项目（或同一合同项下）投标。为本项目提供整体设计、规范编制或者项目管理、监理、检测等服务的投标人，不得再参与本项目投标。（提供按照招标文件的格式签署盖章的《资格声明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3"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rPr>
                <w:rFonts w:hint="eastAsia" w:ascii="宋体" w:hAnsi="宋体" w:eastAsia="宋体" w:cs="宋体"/>
                <w:color w:val="auto"/>
                <w:szCs w:val="21"/>
                <w:highlight w:val="none"/>
              </w:rPr>
            </w:pPr>
          </w:p>
        </w:tc>
        <w:tc>
          <w:tcPr>
            <w:tcW w:w="3991" w:type="pct"/>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iCs/>
                <w:color w:val="auto"/>
                <w:szCs w:val="21"/>
                <w:highlight w:val="none"/>
              </w:rPr>
              <w:t>投标人已按招标公告的规定获取了招标文件。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3" w:hRule="atLeast"/>
          <w:jc w:val="center"/>
        </w:trPr>
        <w:tc>
          <w:tcPr>
            <w:tcW w:w="41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11"/>
              </w:numPr>
              <w:jc w:val="center"/>
              <w:textAlignment w:val="top"/>
              <w:rPr>
                <w:rFonts w:hint="eastAsia" w:ascii="宋体" w:hAnsi="宋体" w:eastAsia="宋体" w:cs="宋体"/>
                <w:color w:val="auto"/>
                <w:kern w:val="0"/>
                <w:szCs w:val="21"/>
                <w:highlight w:val="none"/>
              </w:rPr>
            </w:pPr>
          </w:p>
        </w:tc>
        <w:tc>
          <w:tcPr>
            <w:tcW w:w="590" w:type="pct"/>
            <w:vMerge w:val="continue"/>
            <w:tcBorders>
              <w:left w:val="single" w:color="000000" w:sz="8" w:space="0"/>
              <w:right w:val="single" w:color="000000" w:sz="8" w:space="0"/>
            </w:tcBorders>
          </w:tcPr>
          <w:p>
            <w:pPr>
              <w:rPr>
                <w:rFonts w:hint="eastAsia" w:ascii="宋体" w:hAnsi="宋体" w:eastAsia="宋体" w:cs="宋体"/>
                <w:color w:val="auto"/>
                <w:szCs w:val="21"/>
                <w:highlight w:val="none"/>
              </w:rPr>
            </w:pPr>
          </w:p>
        </w:tc>
        <w:tc>
          <w:tcPr>
            <w:tcW w:w="3991" w:type="pct"/>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本项目不允许联合体投标。不接受中标备选方案。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1008" w:type="pct"/>
            <w:gridSpan w:val="2"/>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结论</w:t>
            </w:r>
          </w:p>
        </w:tc>
        <w:tc>
          <w:tcPr>
            <w:tcW w:w="3991" w:type="pct"/>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是否通过资格审查</w:t>
            </w:r>
          </w:p>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（写“通过”或“不通过”）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4" w:hRule="atLeast"/>
          <w:jc w:val="center"/>
        </w:trPr>
        <w:tc>
          <w:tcPr>
            <w:tcW w:w="5000" w:type="pct"/>
            <w:gridSpan w:val="3"/>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不通过资格审查的原因说明</w:t>
            </w:r>
          </w:p>
        </w:tc>
      </w:tr>
    </w:tbl>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资格审查时：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 xml:space="preserve"> 表中每一项符合的打“○”不符合的打“×”。</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“结论”栏按审查结果通过与否分别写“通过”或“不通过”；任何一项出现“×”结论为“不通过”</w:t>
      </w:r>
      <w:r>
        <w:rPr>
          <w:rFonts w:hint="eastAsia" w:ascii="宋体" w:hAnsi="宋体" w:eastAsia="宋体" w:cs="宋体"/>
          <w:color w:val="auto"/>
          <w:szCs w:val="21"/>
          <w:highlight w:val="none"/>
        </w:rPr>
        <w:t>。</w:t>
      </w:r>
    </w:p>
    <w:p>
      <w:pPr>
        <w:pStyle w:val="28"/>
        <w:widowControl w:val="0"/>
        <w:snapToGrid w:val="0"/>
        <w:spacing w:before="0" w:beforeAutospacing="0" w:after="0" w:afterAutospacing="0"/>
        <w:jc w:val="both"/>
        <w:rPr>
          <w:rFonts w:hint="eastAsia"/>
          <w:b/>
          <w:color w:val="auto"/>
          <w:kern w:val="2"/>
          <w:sz w:val="21"/>
          <w:szCs w:val="21"/>
          <w:highlight w:val="none"/>
        </w:rPr>
      </w:pPr>
    </w:p>
    <w:p>
      <w:pPr>
        <w:pStyle w:val="28"/>
        <w:widowControl w:val="0"/>
        <w:snapToGrid w:val="0"/>
        <w:spacing w:before="0" w:beforeAutospacing="0" w:after="0" w:afterAutospacing="0"/>
        <w:jc w:val="both"/>
        <w:rPr>
          <w:rFonts w:hint="eastAsia"/>
          <w:b/>
          <w:color w:val="auto"/>
          <w:sz w:val="21"/>
          <w:szCs w:val="21"/>
          <w:highlight w:val="none"/>
        </w:rPr>
      </w:pPr>
      <w:r>
        <w:rPr>
          <w:rFonts w:hint="eastAsia"/>
          <w:b/>
          <w:color w:val="auto"/>
          <w:sz w:val="21"/>
          <w:szCs w:val="21"/>
          <w:highlight w:val="none"/>
        </w:rPr>
        <w:t>审查人签字：</w:t>
      </w:r>
    </w:p>
    <w:p>
      <w:pPr>
        <w:pStyle w:val="28"/>
        <w:widowControl w:val="0"/>
        <w:snapToGrid w:val="0"/>
        <w:spacing w:before="0" w:beforeAutospacing="0" w:after="0" w:afterAutospacing="0"/>
        <w:jc w:val="center"/>
        <w:rPr>
          <w:rFonts w:hint="eastAsia"/>
          <w:b/>
          <w:color w:val="auto"/>
          <w:sz w:val="21"/>
          <w:szCs w:val="21"/>
          <w:highlight w:val="none"/>
        </w:rPr>
      </w:pPr>
    </w:p>
    <w:p>
      <w:pPr>
        <w:pStyle w:val="28"/>
        <w:widowControl w:val="0"/>
        <w:snapToGrid w:val="0"/>
        <w:spacing w:before="0" w:beforeAutospacing="0" w:after="0" w:afterAutospacing="0"/>
        <w:jc w:val="center"/>
        <w:rPr>
          <w:rFonts w:hint="eastAsia"/>
          <w:b/>
          <w:color w:val="auto"/>
          <w:sz w:val="21"/>
          <w:szCs w:val="21"/>
          <w:highlight w:val="none"/>
        </w:rPr>
      </w:pPr>
      <w:bookmarkStart w:id="105" w:name="_Toc31058_WPSOffice_Level1"/>
      <w:r>
        <w:rPr>
          <w:rFonts w:hint="eastAsia"/>
          <w:b/>
          <w:color w:val="auto"/>
          <w:sz w:val="21"/>
          <w:szCs w:val="21"/>
          <w:highlight w:val="none"/>
        </w:rPr>
        <w:t>日期：   年   月   日</w:t>
      </w:r>
      <w:bookmarkEnd w:id="105"/>
    </w:p>
    <w:p>
      <w:pPr>
        <w:pStyle w:val="5"/>
        <w:adjustRightInd w:val="0"/>
        <w:snapToGrid w:val="0"/>
        <w:spacing w:before="0" w:after="0" w:line="240" w:lineRule="auto"/>
        <w:jc w:val="left"/>
        <w:rPr>
          <w:rFonts w:hint="eastAsia" w:ascii="宋体" w:hAnsi="宋体" w:eastAsia="宋体" w:cs="宋体"/>
          <w:color w:val="auto"/>
          <w:szCs w:val="28"/>
          <w:highlight w:val="none"/>
        </w:rPr>
      </w:pPr>
      <w:r>
        <w:rPr>
          <w:rFonts w:hint="eastAsia" w:ascii="宋体" w:hAnsi="宋体" w:eastAsia="宋体" w:cs="宋体"/>
          <w:b w:val="0"/>
          <w:color w:val="auto"/>
          <w:sz w:val="21"/>
          <w:szCs w:val="21"/>
          <w:highlight w:val="none"/>
        </w:rPr>
        <w:br w:type="page"/>
      </w:r>
      <w:bookmarkStart w:id="106" w:name="_Toc11558_WPSOffice_Level2"/>
      <w:bookmarkStart w:id="107" w:name="_Toc96523888"/>
      <w:bookmarkStart w:id="108" w:name="_Toc15300_WPSOffice_Level1"/>
      <w:r>
        <w:rPr>
          <w:rFonts w:hint="eastAsia" w:ascii="宋体" w:hAnsi="宋体" w:eastAsia="宋体" w:cs="宋体"/>
          <w:color w:val="auto"/>
          <w:szCs w:val="28"/>
          <w:highlight w:val="none"/>
        </w:rPr>
        <w:t>附件2：符合性审查表</w:t>
      </w:r>
      <w:bookmarkEnd w:id="106"/>
      <w:bookmarkEnd w:id="107"/>
      <w:bookmarkEnd w:id="108"/>
    </w:p>
    <w:p>
      <w:pPr>
        <w:tabs>
          <w:tab w:val="left" w:pos="905"/>
          <w:tab w:val="left" w:pos="2109"/>
          <w:tab w:val="left" w:pos="9323"/>
        </w:tabs>
        <w:spacing w:after="159" w:afterLines="50" w:line="420" w:lineRule="exact"/>
        <w:jc w:val="center"/>
        <w:rPr>
          <w:rFonts w:hint="eastAsia" w:ascii="宋体" w:hAnsi="宋体" w:eastAsia="宋体" w:cs="宋体"/>
          <w:color w:val="auto"/>
          <w:highlight w:val="none"/>
        </w:rPr>
      </w:pPr>
      <w:r>
        <w:rPr>
          <w:rFonts w:hint="eastAsia" w:ascii="宋体" w:hAnsi="宋体" w:eastAsia="宋体" w:cs="宋体"/>
          <w:b/>
          <w:bCs/>
          <w:color w:val="auto"/>
          <w:sz w:val="30"/>
          <w:highlight w:val="none"/>
        </w:rPr>
        <w:t>符合性审查表</w:t>
      </w:r>
    </w:p>
    <w:tbl>
      <w:tblPr>
        <w:tblStyle w:val="33"/>
        <w:tblW w:w="8514"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450"/>
        <w:gridCol w:w="3328"/>
        <w:gridCol w:w="867"/>
        <w:gridCol w:w="867"/>
        <w:gridCol w:w="86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5913" w:type="dxa"/>
            <w:gridSpan w:val="3"/>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评审内容</w:t>
            </w:r>
          </w:p>
        </w:tc>
        <w:tc>
          <w:tcPr>
            <w:tcW w:w="86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投标人A</w:t>
            </w:r>
          </w:p>
        </w:tc>
        <w:tc>
          <w:tcPr>
            <w:tcW w:w="86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投标人B</w:t>
            </w:r>
          </w:p>
        </w:tc>
        <w:tc>
          <w:tcPr>
            <w:tcW w:w="86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投标人C</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135"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符合性检查</w:t>
            </w:r>
          </w:p>
        </w:tc>
        <w:tc>
          <w:tcPr>
            <w:tcW w:w="4778"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投标有效期符合</w:t>
            </w:r>
            <w:r>
              <w:rPr>
                <w:rFonts w:hint="eastAsia" w:ascii="宋体" w:hAnsi="宋体" w:eastAsia="宋体" w:cs="宋体"/>
                <w:bCs/>
                <w:color w:val="auto"/>
                <w:szCs w:val="21"/>
                <w:highlight w:val="none"/>
              </w:rPr>
              <w:t>招标文件</w:t>
            </w:r>
            <w:r>
              <w:rPr>
                <w:rFonts w:hint="eastAsia" w:ascii="宋体" w:hAnsi="宋体" w:eastAsia="宋体" w:cs="宋体"/>
                <w:color w:val="auto"/>
                <w:szCs w:val="21"/>
                <w:highlight w:val="none"/>
              </w:rPr>
              <w:t>要求</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restart"/>
            <w:vAlign w:val="center"/>
          </w:tcPr>
          <w:p>
            <w:pP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投标文件按照招标文件规定要求签署、盖章</w:t>
            </w: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法定代表人证明书及法定代表人授权委托书（如适用）</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实质性响应条款一览表</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tcBorders>
              <w:bottom w:val="single" w:color="auto" w:sz="4" w:space="0"/>
            </w:tcBorders>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投标响应与招标文件差异一览表</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tcBorders>
              <w:bottom w:val="single" w:color="auto" w:sz="4" w:space="0"/>
            </w:tcBorders>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投标文件有修改的地方已签署或盖章</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rPr>
                <w:rFonts w:hint="eastAsia" w:ascii="宋体" w:hAnsi="宋体" w:eastAsia="宋体" w:cs="宋体"/>
                <w:color w:val="auto"/>
                <w:szCs w:val="21"/>
                <w:highlight w:val="none"/>
              </w:rPr>
            </w:pPr>
          </w:p>
        </w:tc>
        <w:tc>
          <w:tcPr>
            <w:tcW w:w="4778" w:type="dxa"/>
            <w:gridSpan w:val="2"/>
            <w:tcBorders>
              <w:top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投标报价满足招标文件的报价要求</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rPr>
                <w:rFonts w:hint="eastAsia" w:ascii="宋体" w:hAnsi="宋体" w:eastAsia="宋体" w:cs="宋体"/>
                <w:color w:val="auto"/>
                <w:szCs w:val="21"/>
                <w:highlight w:val="none"/>
              </w:rPr>
            </w:pPr>
          </w:p>
        </w:tc>
        <w:tc>
          <w:tcPr>
            <w:tcW w:w="4778"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完全满足招标文件中标注“★”的条款</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rPr>
                <w:rFonts w:hint="eastAsia" w:ascii="宋体" w:hAnsi="宋体" w:eastAsia="宋体" w:cs="宋体"/>
                <w:color w:val="auto"/>
                <w:szCs w:val="21"/>
                <w:highlight w:val="none"/>
              </w:rPr>
            </w:pPr>
          </w:p>
        </w:tc>
        <w:tc>
          <w:tcPr>
            <w:tcW w:w="4778"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未出现有关法律、法规、规章或招标文件规定的属于投标无效的情形</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113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w:t>
            </w:r>
          </w:p>
        </w:tc>
        <w:tc>
          <w:tcPr>
            <w:tcW w:w="4778"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是否通过符合性审查</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（写“通过”或“不通过”）</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b/>
          <w:color w:val="auto"/>
          <w:highlight w:val="none"/>
        </w:rPr>
      </w:pPr>
    </w:p>
    <w:p>
      <w:pPr>
        <w:autoSpaceDE w:val="0"/>
        <w:autoSpaceDN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评标委员会审查时：</w:t>
      </w:r>
    </w:p>
    <w:p>
      <w:pPr>
        <w:numPr>
          <w:ilvl w:val="0"/>
          <w:numId w:val="12"/>
        </w:numPr>
        <w:tabs>
          <w:tab w:val="left" w:pos="540"/>
          <w:tab w:val="left" w:pos="900"/>
          <w:tab w:val="clear" w:pos="312"/>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每一项目符合的打“○”，不符合的打“×”。</w:t>
      </w:r>
    </w:p>
    <w:p>
      <w:pPr>
        <w:numPr>
          <w:ilvl w:val="0"/>
          <w:numId w:val="12"/>
        </w:numPr>
        <w:tabs>
          <w:tab w:val="left" w:pos="540"/>
          <w:tab w:val="left" w:pos="900"/>
          <w:tab w:val="clear" w:pos="312"/>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“结论”栏按审查结果通过与否分别写“通过”或“不通过”；任何一项出现“×”结论为“不通过。</w:t>
      </w:r>
    </w:p>
    <w:p>
      <w:pPr>
        <w:numPr>
          <w:ilvl w:val="0"/>
          <w:numId w:val="12"/>
        </w:numPr>
        <w:tabs>
          <w:tab w:val="left" w:pos="540"/>
          <w:tab w:val="left" w:pos="900"/>
          <w:tab w:val="clear" w:pos="312"/>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结论汇总意见采取少数服从多数原则，即超过半数评委的结论为“通过”，则该投标人通过符合性检查，否则不通过。</w:t>
      </w:r>
    </w:p>
    <w:p>
      <w:pPr>
        <w:numPr>
          <w:ilvl w:val="255"/>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109" w:name="_Toc96523889"/>
      <w:bookmarkStart w:id="110" w:name="_Toc24941_WPSOffice_Level1"/>
      <w:bookmarkStart w:id="111" w:name="_Toc17433_WPSOffice_Level2"/>
    </w:p>
    <w:p>
      <w:pPr>
        <w:pStyle w:val="5"/>
        <w:adjustRightInd w:val="0"/>
        <w:snapToGrid w:val="0"/>
        <w:spacing w:before="0" w:after="0" w:line="240" w:lineRule="auto"/>
        <w:jc w:val="left"/>
        <w:rPr>
          <w:rFonts w:hint="eastAsia" w:ascii="宋体" w:hAnsi="宋体" w:eastAsia="宋体" w:cs="宋体"/>
          <w:color w:val="auto"/>
          <w:sz w:val="32"/>
          <w:szCs w:val="32"/>
          <w:highlight w:val="none"/>
        </w:rPr>
      </w:pPr>
      <w:bookmarkStart w:id="112" w:name="_Toc5326"/>
      <w:r>
        <w:rPr>
          <w:rFonts w:hint="eastAsia" w:ascii="宋体" w:hAnsi="宋体" w:eastAsia="宋体" w:cs="宋体"/>
          <w:color w:val="auto"/>
          <w:szCs w:val="28"/>
          <w:highlight w:val="none"/>
        </w:rPr>
        <w:t>附件3：服务评审表</w:t>
      </w:r>
      <w:bookmarkEnd w:id="109"/>
      <w:bookmarkEnd w:id="110"/>
      <w:bookmarkEnd w:id="112"/>
    </w:p>
    <w:p>
      <w:pPr>
        <w:spacing w:before="159" w:beforeLines="50" w:after="159" w:afterLines="50" w:line="400" w:lineRule="exact"/>
        <w:jc w:val="center"/>
        <w:rPr>
          <w:rFonts w:hint="eastAsia" w:ascii="宋体" w:hAnsi="宋体" w:eastAsia="宋体" w:cs="宋体"/>
          <w:b/>
          <w:color w:val="auto"/>
          <w:sz w:val="28"/>
          <w:szCs w:val="28"/>
          <w:highlight w:val="none"/>
        </w:rPr>
      </w:pPr>
      <w:bookmarkStart w:id="113" w:name="_Toc96523890"/>
      <w:bookmarkStart w:id="114" w:name="_Toc24615_WPSOffice_Level1"/>
      <w:r>
        <w:rPr>
          <w:rFonts w:hint="eastAsia" w:ascii="宋体" w:hAnsi="宋体" w:eastAsia="宋体" w:cs="宋体"/>
          <w:b/>
          <w:color w:val="auto"/>
          <w:sz w:val="28"/>
          <w:szCs w:val="28"/>
          <w:highlight w:val="none"/>
        </w:rPr>
        <w:t>服务评审表（</w:t>
      </w:r>
      <w:r>
        <w:rPr>
          <w:rFonts w:hint="eastAsia" w:ascii="宋体" w:hAnsi="宋体" w:eastAsia="宋体" w:cs="宋体"/>
          <w:b/>
          <w:color w:val="auto"/>
          <w:sz w:val="28"/>
          <w:szCs w:val="28"/>
          <w:highlight w:val="none"/>
          <w:lang w:val="en-US" w:eastAsia="zh-CN"/>
        </w:rPr>
        <w:t>40</w:t>
      </w:r>
      <w:r>
        <w:rPr>
          <w:rFonts w:hint="eastAsia" w:ascii="宋体" w:hAnsi="宋体" w:eastAsia="宋体" w:cs="宋体"/>
          <w:b/>
          <w:color w:val="auto"/>
          <w:sz w:val="28"/>
          <w:szCs w:val="28"/>
          <w:highlight w:val="none"/>
        </w:rPr>
        <w:t>分）</w:t>
      </w: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7"/>
        <w:gridCol w:w="1042"/>
        <w:gridCol w:w="595"/>
        <w:gridCol w:w="5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414" w:type="pct"/>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627" w:type="pct"/>
            <w:vAlign w:val="center"/>
          </w:tcPr>
          <w:p>
            <w:pPr>
              <w:pStyle w:val="120"/>
              <w:spacing w:line="360" w:lineRule="auto"/>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评审因素</w:t>
            </w:r>
          </w:p>
        </w:tc>
        <w:tc>
          <w:tcPr>
            <w:tcW w:w="358" w:type="pct"/>
            <w:vAlign w:val="center"/>
          </w:tcPr>
          <w:p>
            <w:pPr>
              <w:pStyle w:val="120"/>
              <w:spacing w:line="360" w:lineRule="auto"/>
              <w:jc w:val="center"/>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lang w:eastAsia="zh-CN"/>
              </w:rPr>
              <w:t>分值</w:t>
            </w:r>
          </w:p>
        </w:tc>
        <w:tc>
          <w:tcPr>
            <w:tcW w:w="3599" w:type="pct"/>
            <w:vAlign w:val="center"/>
          </w:tcPr>
          <w:p>
            <w:pPr>
              <w:pStyle w:val="120"/>
              <w:adjustRightInd w:val="0"/>
              <w:snapToGrid w:val="0"/>
              <w:spacing w:line="360" w:lineRule="auto"/>
              <w:ind w:right="210" w:rightChars="1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414" w:type="pct"/>
            <w:vAlign w:val="center"/>
          </w:tcPr>
          <w:p>
            <w:pPr>
              <w:pStyle w:val="12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7" w:type="pct"/>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总体服务方案</w:t>
            </w:r>
          </w:p>
        </w:tc>
        <w:tc>
          <w:tcPr>
            <w:tcW w:w="358" w:type="pct"/>
            <w:vAlign w:val="center"/>
          </w:tcPr>
          <w:p>
            <w:pPr>
              <w:pStyle w:val="12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分</w:t>
            </w:r>
          </w:p>
        </w:tc>
        <w:tc>
          <w:tcPr>
            <w:tcW w:w="3599" w:type="pct"/>
            <w:vAlign w:val="center"/>
          </w:tcPr>
          <w:p>
            <w:pPr>
              <w:pStyle w:val="12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针对招标文件第二部分 采购需求中“</w:t>
            </w:r>
            <w:r>
              <w:rPr>
                <w:rFonts w:hint="eastAsia" w:ascii="宋体" w:hAnsi="宋体" w:eastAsia="宋体" w:cs="宋体"/>
                <w:b w:val="0"/>
                <w:bCs w:val="0"/>
                <w:color w:val="000000"/>
                <w:sz w:val="21"/>
                <w:szCs w:val="21"/>
                <w:highlight w:val="none"/>
              </w:rPr>
              <w:t>采购项目总体服务要求</w:t>
            </w:r>
            <w:r>
              <w:rPr>
                <w:rFonts w:hint="eastAsia" w:ascii="宋体" w:hAnsi="宋体" w:eastAsia="宋体" w:cs="宋体"/>
                <w:color w:val="auto"/>
                <w:sz w:val="21"/>
                <w:szCs w:val="21"/>
                <w:highlight w:val="none"/>
                <w:lang w:val="en-US" w:eastAsia="zh-CN"/>
              </w:rPr>
              <w:t>”进行响应，并制度总体服务方案：</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1.对项目理解深刻、服务定位准确、管理理念先进、服务质量好、总体服务方案详细得6分；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2.对项目理解较深刻、服务定位较准确、管理理念较先进、服务质量较好、总体服务方案较详细得3分；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3.对项目理解一般、服务定位一般、管理理念一般、服务质量基本满足要求、总体服务方案基本满足要求得1分；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4.未提供总体服务方案得0分。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trPr>
        <w:tc>
          <w:tcPr>
            <w:tcW w:w="414" w:type="pct"/>
            <w:vAlign w:val="center"/>
          </w:tcPr>
          <w:p>
            <w:pPr>
              <w:pStyle w:val="12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27" w:type="pct"/>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安全保卫管理服务方案</w:t>
            </w:r>
          </w:p>
        </w:tc>
        <w:tc>
          <w:tcPr>
            <w:tcW w:w="358" w:type="pct"/>
            <w:vAlign w:val="center"/>
          </w:tcPr>
          <w:p>
            <w:pPr>
              <w:pStyle w:val="12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分</w:t>
            </w:r>
          </w:p>
        </w:tc>
        <w:tc>
          <w:tcPr>
            <w:tcW w:w="3599" w:type="pct"/>
            <w:vAlign w:val="center"/>
          </w:tcPr>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针对</w:t>
            </w:r>
            <w:r>
              <w:rPr>
                <w:rFonts w:hint="eastAsia" w:ascii="宋体" w:hAnsi="宋体" w:eastAsia="宋体" w:cs="宋体"/>
                <w:color w:val="auto"/>
                <w:sz w:val="21"/>
                <w:szCs w:val="21"/>
                <w:highlight w:val="none"/>
                <w:lang w:val="en-US" w:eastAsia="zh-CN"/>
              </w:rPr>
              <w:t>招标文件第二部分 采购需求中</w:t>
            </w:r>
            <w:r>
              <w:rPr>
                <w:rFonts w:hint="eastAsia" w:ascii="宋体" w:hAnsi="宋体" w:eastAsia="宋体" w:cs="宋体"/>
                <w:color w:val="auto"/>
                <w:sz w:val="21"/>
                <w:szCs w:val="21"/>
                <w:highlight w:val="none"/>
                <w:lang w:eastAsia="zh-CN"/>
              </w:rPr>
              <w:t>“安全防范管理服务需求”进行响应，并制定相关服务实施方案：</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1.服务方案完全满足并优于用户需求得6分；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2.服务方案完全满足用户需求得3分；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3.服务方案不完全满足用户需求得1分；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4.未提供服务方案得0分。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 w:type="pct"/>
            <w:tcBorders>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27" w:type="pct"/>
            <w:tcBorders>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保洁、会务服务方案</w:t>
            </w:r>
          </w:p>
        </w:tc>
        <w:tc>
          <w:tcPr>
            <w:tcW w:w="358" w:type="pct"/>
            <w:tcBorders>
              <w:bottom w:val="single" w:color="000000" w:sz="4" w:space="0"/>
            </w:tcBorders>
            <w:vAlign w:val="center"/>
          </w:tcPr>
          <w:p>
            <w:pPr>
              <w:pStyle w:val="12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分</w:t>
            </w:r>
          </w:p>
        </w:tc>
        <w:tc>
          <w:tcPr>
            <w:tcW w:w="3599" w:type="pct"/>
            <w:tcBorders>
              <w:bottom w:val="single" w:color="000000" w:sz="4" w:space="0"/>
            </w:tcBorders>
            <w:vAlign w:val="center"/>
          </w:tcPr>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针对</w:t>
            </w:r>
            <w:r>
              <w:rPr>
                <w:rFonts w:hint="eastAsia" w:ascii="宋体" w:hAnsi="宋体" w:eastAsia="宋体" w:cs="宋体"/>
                <w:color w:val="auto"/>
                <w:sz w:val="21"/>
                <w:szCs w:val="21"/>
                <w:highlight w:val="none"/>
                <w:lang w:val="en-US" w:eastAsia="zh-CN"/>
              </w:rPr>
              <w:t>招标文件第二部分 采购需求中</w:t>
            </w:r>
            <w:r>
              <w:rPr>
                <w:rFonts w:hint="eastAsia" w:ascii="宋体" w:hAnsi="宋体" w:eastAsia="宋体" w:cs="宋体"/>
                <w:color w:val="auto"/>
                <w:sz w:val="21"/>
                <w:szCs w:val="21"/>
                <w:highlight w:val="none"/>
                <w:lang w:eastAsia="zh-CN"/>
              </w:rPr>
              <w:t>“物业保洁、会务服务需求”进行响应，并制定相关服务实施方案：</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1.服务方案完全满足并优于用户需求得6分；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2.服务方案完全满足用户需求得3分；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3.服务方案不完全满足用户需求得1分；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4.未提供服务方案得0分。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414" w:type="pct"/>
            <w:tcBorders>
              <w:top w:val="single" w:color="000000" w:sz="4" w:space="0"/>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27" w:type="pct"/>
            <w:tcBorders>
              <w:top w:val="single" w:color="000000" w:sz="4" w:space="0"/>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绿化养护服务方案</w:t>
            </w:r>
          </w:p>
        </w:tc>
        <w:tc>
          <w:tcPr>
            <w:tcW w:w="358" w:type="pct"/>
            <w:tcBorders>
              <w:top w:val="single" w:color="000000" w:sz="4" w:space="0"/>
              <w:bottom w:val="single" w:color="000000" w:sz="4" w:space="0"/>
            </w:tcBorders>
            <w:vAlign w:val="center"/>
          </w:tcPr>
          <w:p>
            <w:pPr>
              <w:pStyle w:val="12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针对</w:t>
            </w:r>
            <w:r>
              <w:rPr>
                <w:rFonts w:hint="eastAsia" w:ascii="宋体" w:hAnsi="宋体" w:eastAsia="宋体" w:cs="宋体"/>
                <w:color w:val="auto"/>
                <w:sz w:val="21"/>
                <w:szCs w:val="21"/>
                <w:highlight w:val="none"/>
                <w:lang w:val="en-US" w:eastAsia="zh-CN"/>
              </w:rPr>
              <w:t>招标文件第二部分 采购需求中</w:t>
            </w:r>
            <w:r>
              <w:rPr>
                <w:rFonts w:hint="eastAsia" w:ascii="宋体" w:hAnsi="宋体" w:eastAsia="宋体" w:cs="宋体"/>
                <w:color w:val="auto"/>
                <w:sz w:val="21"/>
                <w:szCs w:val="21"/>
                <w:highlight w:val="none"/>
                <w:lang w:eastAsia="zh-CN"/>
              </w:rPr>
              <w:t>“绿化养护服务需求”进行响应，并制定相关服务实施方案：</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1.服务方案完全满足并优于用户需求得6分；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2.服务方案完全满足用户需求得3分；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3.服务方案不完全满足用户需求得1分；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4.未提供服务方案得0分。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414" w:type="pct"/>
            <w:tcBorders>
              <w:top w:val="single" w:color="000000" w:sz="4" w:space="0"/>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5</w:t>
            </w:r>
          </w:p>
        </w:tc>
        <w:tc>
          <w:tcPr>
            <w:tcW w:w="627" w:type="pct"/>
            <w:tcBorders>
              <w:top w:val="single" w:color="000000" w:sz="4" w:space="0"/>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管理制度、档案管理、人员培训方案</w:t>
            </w:r>
          </w:p>
        </w:tc>
        <w:tc>
          <w:tcPr>
            <w:tcW w:w="358" w:type="pct"/>
            <w:tcBorders>
              <w:top w:val="single" w:color="000000" w:sz="4" w:space="0"/>
              <w:bottom w:val="single" w:color="000000" w:sz="4" w:space="0"/>
            </w:tcBorders>
            <w:vAlign w:val="center"/>
          </w:tcPr>
          <w:p>
            <w:pPr>
              <w:pStyle w:val="12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投标人针对本项目采购需求制定管理制度、档案管理、人员培训方案：</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1.管理规章制度及档案管理完善，人员配备及培训计划完全满足且优于用户需求得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2.规章制度及档案管理较完善，有基本配套措施及实施方案，人员配备及培训计划完全满足用户需求得2分；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3.其他情况得0分。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414" w:type="pct"/>
            <w:tcBorders>
              <w:top w:val="single" w:color="000000" w:sz="4" w:space="0"/>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6</w:t>
            </w:r>
          </w:p>
        </w:tc>
        <w:tc>
          <w:tcPr>
            <w:tcW w:w="627" w:type="pct"/>
            <w:tcBorders>
              <w:top w:val="single" w:color="000000" w:sz="4" w:space="0"/>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物业管理服务质量、措施</w:t>
            </w:r>
          </w:p>
        </w:tc>
        <w:tc>
          <w:tcPr>
            <w:tcW w:w="358" w:type="pct"/>
            <w:tcBorders>
              <w:top w:val="single" w:color="000000" w:sz="4" w:space="0"/>
              <w:bottom w:val="single" w:color="000000" w:sz="4" w:space="0"/>
            </w:tcBorders>
            <w:vAlign w:val="center"/>
          </w:tcPr>
          <w:p>
            <w:pPr>
              <w:pStyle w:val="12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针对本项目物业管理服务质量标准，制定相关管理体系：</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1.项目管理服务的措施和质量保证体系完整，完全满足且优于用户需求得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2.项目管理服务的措施和质量保证体系比较完整，完全满足用户需求得2分；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3.其他情况得0分。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414" w:type="pct"/>
            <w:tcBorders>
              <w:top w:val="single" w:color="000000" w:sz="4" w:space="0"/>
              <w:bottom w:val="single" w:color="000000" w:sz="4" w:space="0"/>
            </w:tcBorders>
            <w:vAlign w:val="center"/>
          </w:tcPr>
          <w:p>
            <w:pPr>
              <w:pStyle w:val="120"/>
              <w:spacing w:line="360" w:lineRule="auto"/>
              <w:jc w:val="center"/>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7</w:t>
            </w:r>
          </w:p>
        </w:tc>
        <w:tc>
          <w:tcPr>
            <w:tcW w:w="627" w:type="pct"/>
            <w:tcBorders>
              <w:top w:val="single" w:color="000000" w:sz="4" w:space="0"/>
              <w:bottom w:val="single" w:color="000000" w:sz="4" w:space="0"/>
            </w:tcBorders>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突发事件应急管理预案</w:t>
            </w:r>
          </w:p>
        </w:tc>
        <w:tc>
          <w:tcPr>
            <w:tcW w:w="358" w:type="pct"/>
            <w:tcBorders>
              <w:top w:val="single" w:color="000000" w:sz="4" w:space="0"/>
              <w:bottom w:val="single" w:color="000000" w:sz="4" w:space="0"/>
            </w:tcBorders>
            <w:vAlign w:val="center"/>
          </w:tcPr>
          <w:p>
            <w:pPr>
              <w:pStyle w:val="12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结合本项目实际情况及物业服务需求特点，提出应急预案，方案包括但不限于防汛活动应急预案、火灾应急预案、停水停电应急预案、公共安全和卫生事件应急预案等。</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突发事件应急方案完全满足且优于项目需求的得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突发事件应急方案完全满足项目需求得3分；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突发事件应急方案不完全满足项目需求得1分；</w:t>
            </w:r>
          </w:p>
          <w:p>
            <w:pPr>
              <w:pStyle w:val="12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其他情况得0分。</w:t>
            </w:r>
          </w:p>
        </w:tc>
      </w:tr>
    </w:tbl>
    <w:p>
      <w:pPr>
        <w:rPr>
          <w:rFonts w:hint="eastAsia" w:ascii="宋体" w:hAnsi="宋体" w:eastAsia="宋体" w:cs="宋体"/>
          <w:color w:val="auto"/>
          <w:szCs w:val="28"/>
          <w:highlight w:val="none"/>
        </w:rPr>
      </w:pPr>
    </w:p>
    <w:p>
      <w:pPr>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pPr>
        <w:pStyle w:val="5"/>
        <w:adjustRightInd w:val="0"/>
        <w:snapToGrid w:val="0"/>
        <w:spacing w:before="0" w:after="0" w:line="240" w:lineRule="auto"/>
        <w:jc w:val="left"/>
        <w:rPr>
          <w:rFonts w:hint="eastAsia" w:ascii="宋体" w:hAnsi="宋体" w:eastAsia="宋体" w:cs="宋体"/>
          <w:color w:val="auto"/>
          <w:sz w:val="32"/>
          <w:szCs w:val="32"/>
          <w:highlight w:val="none"/>
        </w:rPr>
      </w:pPr>
      <w:r>
        <w:rPr>
          <w:rFonts w:hint="eastAsia" w:ascii="宋体" w:hAnsi="宋体" w:eastAsia="宋体" w:cs="宋体"/>
          <w:color w:val="auto"/>
          <w:szCs w:val="28"/>
          <w:highlight w:val="none"/>
        </w:rPr>
        <w:t>附件4：商务评审表</w:t>
      </w:r>
      <w:bookmarkEnd w:id="113"/>
      <w:bookmarkEnd w:id="114"/>
    </w:p>
    <w:p>
      <w:pPr>
        <w:spacing w:before="159" w:beforeLines="50" w:after="159" w:afterLines="50" w:line="40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商务评审表（</w:t>
      </w:r>
      <w:r>
        <w:rPr>
          <w:rFonts w:hint="eastAsia" w:ascii="宋体" w:hAnsi="宋体" w:eastAsia="宋体" w:cs="宋体"/>
          <w:b/>
          <w:bCs/>
          <w:color w:val="auto"/>
          <w:sz w:val="28"/>
          <w:highlight w:val="none"/>
          <w:lang w:val="en-US" w:eastAsia="zh-CN"/>
        </w:rPr>
        <w:t>45</w:t>
      </w:r>
      <w:r>
        <w:rPr>
          <w:rFonts w:hint="eastAsia" w:ascii="宋体" w:hAnsi="宋体" w:eastAsia="宋体" w:cs="宋体"/>
          <w:b/>
          <w:bCs/>
          <w:color w:val="auto"/>
          <w:sz w:val="28"/>
          <w:highlight w:val="none"/>
        </w:rPr>
        <w:t>分）</w:t>
      </w: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3"/>
        <w:gridCol w:w="1063"/>
        <w:gridCol w:w="656"/>
        <w:gridCol w:w="59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363" w:type="pct"/>
            <w:vAlign w:val="center"/>
          </w:tcPr>
          <w:p>
            <w:pPr>
              <w:pStyle w:val="12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640" w:type="pct"/>
            <w:vAlign w:val="center"/>
          </w:tcPr>
          <w:p>
            <w:pPr>
              <w:pStyle w:val="120"/>
              <w:spacing w:line="360" w:lineRule="auto"/>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评审因素</w:t>
            </w:r>
          </w:p>
        </w:tc>
        <w:tc>
          <w:tcPr>
            <w:tcW w:w="395" w:type="pct"/>
            <w:vAlign w:val="center"/>
          </w:tcPr>
          <w:p>
            <w:pPr>
              <w:pStyle w:val="120"/>
              <w:spacing w:line="360" w:lineRule="auto"/>
              <w:jc w:val="center"/>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lang w:eastAsia="zh-CN"/>
              </w:rPr>
              <w:t>分值</w:t>
            </w:r>
          </w:p>
        </w:tc>
        <w:tc>
          <w:tcPr>
            <w:tcW w:w="3599" w:type="pct"/>
            <w:vAlign w:val="center"/>
          </w:tcPr>
          <w:p>
            <w:pPr>
              <w:pStyle w:val="120"/>
              <w:adjustRightInd w:val="0"/>
              <w:snapToGrid w:val="0"/>
              <w:spacing w:line="360" w:lineRule="auto"/>
              <w:ind w:right="210" w:rightChars="1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363" w:type="pct"/>
            <w:tcBorders>
              <w:top w:val="single" w:color="000000" w:sz="4" w:space="0"/>
              <w:bottom w:val="single" w:color="000000"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40" w:type="pct"/>
            <w:tcBorders>
              <w:top w:val="single" w:color="000000" w:sz="4" w:space="0"/>
              <w:bottom w:val="single" w:color="000000" w:sz="4" w:space="0"/>
            </w:tcBorders>
            <w:vAlign w:val="center"/>
          </w:tcPr>
          <w:p>
            <w:pPr>
              <w:widowControl/>
              <w:spacing w:line="360" w:lineRule="auto"/>
              <w:jc w:val="center"/>
              <w:rPr>
                <w:rFonts w:hint="eastAsia" w:ascii="宋体" w:hAnsi="宋体" w:eastAsia="宋体" w:cs="宋体"/>
                <w:color w:val="auto"/>
                <w:spacing w:val="-2"/>
                <w:sz w:val="21"/>
                <w:szCs w:val="21"/>
                <w:highlight w:val="none"/>
              </w:rPr>
            </w:pPr>
            <w:r>
              <w:rPr>
                <w:rFonts w:hint="eastAsia" w:ascii="宋体" w:hAnsi="宋体" w:eastAsia="宋体" w:cs="宋体"/>
                <w:sz w:val="21"/>
                <w:szCs w:val="21"/>
                <w:highlight w:val="none"/>
              </w:rPr>
              <w:t>物业（项目）经理的资质和经验</w:t>
            </w:r>
          </w:p>
        </w:tc>
        <w:tc>
          <w:tcPr>
            <w:tcW w:w="395" w:type="pct"/>
            <w:tcBorders>
              <w:top w:val="single" w:color="000000" w:sz="4" w:space="0"/>
              <w:bottom w:val="single" w:color="000000" w:sz="4" w:space="0"/>
            </w:tcBorders>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pStyle w:val="12"/>
              <w:widowControl/>
              <w:numPr>
                <w:ilvl w:val="0"/>
                <w:numId w:val="0"/>
              </w:numPr>
              <w:autoSpaceDE w:val="0"/>
              <w:autoSpaceDN w:val="0"/>
              <w:spacing w:line="360" w:lineRule="auto"/>
              <w:jc w:val="left"/>
              <w:outlineLvl w:val="2"/>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具有5年或以上办公物业项目经理管理经验得6分（提供投标人加公章的个人工作履历）；</w:t>
            </w:r>
          </w:p>
          <w:p>
            <w:pPr>
              <w:pStyle w:val="12"/>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除提供上述证明材料外，还须同时</w:t>
            </w:r>
            <w:r>
              <w:rPr>
                <w:rFonts w:hint="eastAsia" w:ascii="宋体" w:hAnsi="宋体" w:eastAsia="宋体" w:cs="宋体"/>
                <w:sz w:val="21"/>
                <w:szCs w:val="21"/>
                <w:highlight w:val="none"/>
              </w:rPr>
              <w:t>提供投标人为其缴纳的2025年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月以来任意一个月的社保（至少包含养老保险）证明扫描件</w:t>
            </w:r>
            <w:r>
              <w:rPr>
                <w:rFonts w:hint="eastAsia" w:ascii="宋体" w:hAnsi="宋体" w:eastAsia="宋体" w:cs="宋体"/>
                <w:sz w:val="21"/>
                <w:szCs w:val="21"/>
                <w:highlight w:val="none"/>
                <w:lang w:val="en-US" w:eastAsia="zh-CN"/>
              </w:rPr>
              <w:t>/复印件</w:t>
            </w:r>
            <w:r>
              <w:rPr>
                <w:rFonts w:hint="eastAsia" w:ascii="宋体" w:hAnsi="宋体" w:eastAsia="宋体" w:cs="宋体"/>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363" w:type="pct"/>
            <w:tcBorders>
              <w:top w:val="single" w:color="000000" w:sz="4" w:space="0"/>
              <w:bottom w:val="single" w:color="000000" w:sz="4" w:space="0"/>
            </w:tcBorders>
            <w:vAlign w:val="center"/>
          </w:tcPr>
          <w:p>
            <w:pPr>
              <w:pStyle w:val="120"/>
              <w:adjustRightInd w:val="0"/>
              <w:snapToGrid w:val="0"/>
              <w:spacing w:line="360" w:lineRule="auto"/>
              <w:ind w:left="210" w:leftChars="100" w:right="210" w:rightChars="1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640" w:type="pct"/>
            <w:tcBorders>
              <w:top w:val="single" w:color="000000" w:sz="4" w:space="0"/>
              <w:bottom w:val="single" w:color="000000" w:sz="4" w:space="0"/>
            </w:tcBorders>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拟派保安主管的资质与经验</w:t>
            </w:r>
          </w:p>
        </w:tc>
        <w:tc>
          <w:tcPr>
            <w:tcW w:w="395" w:type="pct"/>
            <w:tcBorders>
              <w:top w:val="single" w:color="000000" w:sz="4" w:space="0"/>
              <w:bottom w:val="single" w:color="000000" w:sz="4" w:space="0"/>
            </w:tcBorders>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pStyle w:val="12"/>
              <w:numPr>
                <w:ilvl w:val="0"/>
                <w:numId w:val="0"/>
              </w:num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具有3年或以上保安管理工作经验</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rPr>
              <w:t>（提交投标人加盖公章的个人工作履历）</w:t>
            </w:r>
            <w:r>
              <w:rPr>
                <w:rFonts w:hint="eastAsia" w:ascii="宋体" w:hAnsi="宋体" w:eastAsia="宋体" w:cs="宋体"/>
                <w:color w:val="auto"/>
                <w:sz w:val="21"/>
                <w:szCs w:val="21"/>
                <w:highlight w:val="none"/>
                <w:lang w:eastAsia="zh-CN"/>
              </w:rPr>
              <w:t>；</w:t>
            </w:r>
          </w:p>
          <w:p>
            <w:pPr>
              <w:pStyle w:val="12"/>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.具有保安员证的得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pStyle w:val="12"/>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除提供上述证明材料外，还须同时</w:t>
            </w:r>
            <w:r>
              <w:rPr>
                <w:rFonts w:hint="eastAsia" w:ascii="宋体" w:hAnsi="宋体" w:eastAsia="宋体" w:cs="宋体"/>
                <w:sz w:val="21"/>
                <w:szCs w:val="21"/>
                <w:highlight w:val="none"/>
              </w:rPr>
              <w:t>提供投标人为其缴纳的2025年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月以来任意一个月的社保（至少包含养老保险）证明扫描件</w:t>
            </w:r>
            <w:r>
              <w:rPr>
                <w:rFonts w:hint="eastAsia" w:ascii="宋体" w:hAnsi="宋体" w:eastAsia="宋体" w:cs="宋体"/>
                <w:sz w:val="21"/>
                <w:szCs w:val="21"/>
                <w:highlight w:val="none"/>
                <w:lang w:val="en-US" w:eastAsia="zh-CN"/>
              </w:rPr>
              <w:t>/复印件</w:t>
            </w:r>
            <w:r>
              <w:rPr>
                <w:rFonts w:hint="eastAsia" w:ascii="宋体" w:hAnsi="宋体" w:eastAsia="宋体" w:cs="宋体"/>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63" w:type="pct"/>
            <w:tcBorders>
              <w:top w:val="single" w:color="000000" w:sz="4" w:space="0"/>
              <w:bottom w:val="single" w:color="000000" w:sz="4" w:space="0"/>
            </w:tcBorders>
            <w:vAlign w:val="center"/>
          </w:tcPr>
          <w:p>
            <w:pPr>
              <w:pStyle w:val="120"/>
              <w:adjustRightInd w:val="0"/>
              <w:snapToGrid w:val="0"/>
              <w:spacing w:line="360" w:lineRule="auto"/>
              <w:ind w:left="210" w:leftChars="100" w:right="210" w:rightChars="1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40" w:type="pct"/>
            <w:tcBorders>
              <w:top w:val="single" w:color="000000" w:sz="4" w:space="0"/>
              <w:bottom w:val="single" w:color="000000" w:sz="4" w:space="0"/>
            </w:tcBorders>
            <w:vAlign w:val="center"/>
          </w:tcPr>
          <w:p>
            <w:pPr>
              <w:widowControl/>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sz w:val="21"/>
                <w:szCs w:val="21"/>
                <w:highlight w:val="none"/>
              </w:rPr>
              <w:t>拟派保洁主管的资质与经验</w:t>
            </w:r>
          </w:p>
        </w:tc>
        <w:tc>
          <w:tcPr>
            <w:tcW w:w="395" w:type="pct"/>
            <w:tcBorders>
              <w:top w:val="single" w:color="000000" w:sz="4" w:space="0"/>
              <w:bottom w:val="single" w:color="000000" w:sz="4" w:space="0"/>
            </w:tcBorders>
            <w:vAlign w:val="center"/>
          </w:tcPr>
          <w:p>
            <w:pPr>
              <w:spacing w:line="240" w:lineRule="auto"/>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numPr>
                <w:ilvl w:val="0"/>
                <w:numId w:val="0"/>
              </w:numPr>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具有3年或以上保洁工作经验得4分。（提交投标人加盖公章的个人工作履历）；</w:t>
            </w:r>
          </w:p>
          <w:p>
            <w:pPr>
              <w:widowControl/>
              <w:spacing w:line="360" w:lineRule="auto"/>
              <w:jc w:val="left"/>
              <w:rPr>
                <w:rFonts w:hint="eastAsia" w:ascii="宋体" w:hAnsi="宋体" w:eastAsia="宋体" w:cs="宋体"/>
                <w:color w:val="auto"/>
                <w:position w:val="19"/>
                <w:sz w:val="21"/>
                <w:szCs w:val="21"/>
                <w:highlight w:val="none"/>
                <w:lang w:eastAsia="zh-CN"/>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除提供上述证明材料外，还须同时</w:t>
            </w:r>
            <w:r>
              <w:rPr>
                <w:rFonts w:hint="eastAsia" w:ascii="宋体" w:hAnsi="宋体" w:eastAsia="宋体" w:cs="宋体"/>
                <w:sz w:val="21"/>
                <w:szCs w:val="21"/>
                <w:highlight w:val="none"/>
              </w:rPr>
              <w:t>提供投标人为其缴纳的2025年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月以来任意一个月的社保（至少包含养老保险）证明扫描件</w:t>
            </w:r>
            <w:r>
              <w:rPr>
                <w:rFonts w:hint="eastAsia" w:ascii="宋体" w:hAnsi="宋体" w:eastAsia="宋体" w:cs="宋体"/>
                <w:sz w:val="21"/>
                <w:szCs w:val="21"/>
                <w:highlight w:val="none"/>
                <w:lang w:val="en-US" w:eastAsia="zh-CN"/>
              </w:rPr>
              <w:t>/复印件</w:t>
            </w:r>
            <w:r>
              <w:rPr>
                <w:rFonts w:hint="eastAsia" w:ascii="宋体" w:hAnsi="宋体" w:eastAsia="宋体" w:cs="宋体"/>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363" w:type="pct"/>
            <w:tcBorders>
              <w:top w:val="single" w:color="000000" w:sz="4" w:space="0"/>
              <w:bottom w:val="single" w:color="000000" w:sz="4" w:space="0"/>
            </w:tcBorders>
            <w:vAlign w:val="center"/>
          </w:tcPr>
          <w:p>
            <w:pPr>
              <w:pStyle w:val="120"/>
              <w:adjustRightInd w:val="0"/>
              <w:snapToGrid w:val="0"/>
              <w:spacing w:line="360" w:lineRule="auto"/>
              <w:ind w:left="210" w:leftChars="100" w:right="210" w:rightChars="1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40" w:type="pct"/>
            <w:tcBorders>
              <w:top w:val="single" w:color="000000" w:sz="4" w:space="0"/>
              <w:bottom w:val="single" w:color="000000"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拟派维护（水电）人员的资质</w:t>
            </w:r>
          </w:p>
        </w:tc>
        <w:tc>
          <w:tcPr>
            <w:tcW w:w="395" w:type="pct"/>
            <w:tcBorders>
              <w:top w:val="single" w:color="000000" w:sz="4" w:space="0"/>
              <w:bottom w:val="single" w:color="000000" w:sz="4" w:space="0"/>
            </w:tcBorders>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widowControl/>
              <w:numPr>
                <w:ilvl w:val="0"/>
                <w:numId w:val="0"/>
              </w:num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1.具有人社部门颁发的</w:t>
            </w:r>
            <w:r>
              <w:rPr>
                <w:rFonts w:hint="eastAsia" w:ascii="宋体" w:hAnsi="宋体" w:eastAsia="宋体" w:cs="宋体"/>
                <w:sz w:val="21"/>
                <w:szCs w:val="21"/>
                <w:highlight w:val="none"/>
                <w:lang w:eastAsia="zh-CN"/>
              </w:rPr>
              <w:t>机电类中级或以上职称</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pPr>
              <w:widowControl/>
              <w:numPr>
                <w:ilvl w:val="0"/>
                <w:numId w:val="0"/>
              </w:num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2.具有特种作业操作证（低压电工作业）得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pPr>
              <w:widowControl/>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注：（1）需提供相关证书</w:t>
            </w:r>
            <w:r>
              <w:rPr>
                <w:rFonts w:hint="eastAsia" w:ascii="宋体" w:hAnsi="宋体" w:eastAsia="宋体" w:cs="宋体"/>
                <w:sz w:val="21"/>
                <w:szCs w:val="21"/>
                <w:highlight w:val="none"/>
                <w:lang w:val="en-US" w:eastAsia="zh-CN"/>
              </w:rPr>
              <w:t>扫描件/</w:t>
            </w:r>
            <w:r>
              <w:rPr>
                <w:rFonts w:hint="eastAsia" w:ascii="宋体" w:hAnsi="宋体" w:eastAsia="宋体" w:cs="宋体"/>
                <w:sz w:val="21"/>
                <w:szCs w:val="21"/>
                <w:highlight w:val="none"/>
              </w:rPr>
              <w:t>复印件；未提供不得分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（2）需提供投标人为其缴纳的2025年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月以来任意一个月的社保（至少包含养老保险）证明扫描件</w:t>
            </w:r>
            <w:r>
              <w:rPr>
                <w:rFonts w:hint="eastAsia" w:ascii="宋体" w:hAnsi="宋体" w:eastAsia="宋体" w:cs="宋体"/>
                <w:sz w:val="21"/>
                <w:szCs w:val="21"/>
                <w:highlight w:val="none"/>
                <w:lang w:val="en-US" w:eastAsia="zh-CN"/>
              </w:rPr>
              <w:t>/复印件</w:t>
            </w:r>
            <w:r>
              <w:rPr>
                <w:rFonts w:hint="eastAsia" w:ascii="宋体" w:hAnsi="宋体" w:eastAsia="宋体" w:cs="宋体"/>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363" w:type="pct"/>
            <w:tcBorders>
              <w:top w:val="single" w:color="000000" w:sz="4" w:space="0"/>
              <w:bottom w:val="single" w:color="000000" w:sz="4" w:space="0"/>
            </w:tcBorders>
            <w:vAlign w:val="center"/>
          </w:tcPr>
          <w:p>
            <w:pPr>
              <w:pStyle w:val="120"/>
              <w:adjustRightInd w:val="0"/>
              <w:snapToGrid w:val="0"/>
              <w:spacing w:line="360" w:lineRule="auto"/>
              <w:ind w:left="210" w:leftChars="100" w:right="210" w:rightChars="1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40" w:type="pct"/>
            <w:tcBorders>
              <w:top w:val="single" w:color="000000" w:sz="4" w:space="0"/>
              <w:bottom w:val="single" w:color="000000"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体系认证</w:t>
            </w:r>
          </w:p>
        </w:tc>
        <w:tc>
          <w:tcPr>
            <w:tcW w:w="395" w:type="pct"/>
            <w:tcBorders>
              <w:top w:val="single" w:color="000000" w:sz="4" w:space="0"/>
              <w:bottom w:val="single" w:color="000000" w:sz="4" w:space="0"/>
            </w:tcBorders>
            <w:vAlign w:val="center"/>
          </w:tcPr>
          <w:p>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投标人通过质量管理体系认证（认证范围</w:t>
            </w:r>
            <w:r>
              <w:rPr>
                <w:rFonts w:hint="eastAsia" w:ascii="宋体" w:hAnsi="宋体" w:eastAsia="宋体" w:cs="宋体"/>
                <w:sz w:val="21"/>
                <w:szCs w:val="21"/>
                <w:highlight w:val="none"/>
                <w:lang w:eastAsia="zh-CN"/>
              </w:rPr>
              <w:t>含</w:t>
            </w:r>
            <w:r>
              <w:rPr>
                <w:rFonts w:hint="eastAsia" w:ascii="宋体" w:hAnsi="宋体" w:eastAsia="宋体" w:cs="宋体"/>
                <w:sz w:val="21"/>
                <w:szCs w:val="21"/>
                <w:highlight w:val="none"/>
              </w:rPr>
              <w:t>物业管理服务）</w:t>
            </w:r>
            <w:r>
              <w:rPr>
                <w:rFonts w:hint="eastAsia" w:ascii="宋体" w:hAnsi="宋体" w:eastAsia="宋体" w:cs="宋体"/>
                <w:sz w:val="21"/>
                <w:szCs w:val="21"/>
                <w:highlight w:val="none"/>
                <w:lang w:val="en-US" w:eastAsia="zh-CN"/>
              </w:rPr>
              <w:t>得5分；</w:t>
            </w:r>
          </w:p>
          <w:p>
            <w:pPr>
              <w:numPr>
                <w:ilvl w:val="0"/>
                <w:numId w:val="0"/>
              </w:num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GB/T20647.9物业服务认证证书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有效期内</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5分。</w:t>
            </w:r>
          </w:p>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注：须提供证书</w:t>
            </w:r>
            <w:r>
              <w:rPr>
                <w:rFonts w:hint="eastAsia" w:ascii="宋体" w:hAnsi="宋体" w:eastAsia="宋体" w:cs="宋体"/>
                <w:sz w:val="21"/>
                <w:szCs w:val="21"/>
                <w:highlight w:val="none"/>
                <w:lang w:val="en-US" w:eastAsia="zh-CN"/>
              </w:rPr>
              <w:t>扫描件/</w:t>
            </w:r>
            <w:r>
              <w:rPr>
                <w:rFonts w:hint="eastAsia" w:ascii="宋体" w:hAnsi="宋体" w:eastAsia="宋体" w:cs="宋体"/>
                <w:sz w:val="21"/>
                <w:szCs w:val="21"/>
                <w:highlight w:val="none"/>
              </w:rPr>
              <w:t>复印件，并同时提供在全国认证认可信息公共服务平台对体系证书的信息查询截图作为评审依据，已暂停、失效或撤销的不得分,最高得10分。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363" w:type="pct"/>
            <w:tcBorders>
              <w:top w:val="single" w:color="000000" w:sz="4" w:space="0"/>
              <w:bottom w:val="single" w:color="000000" w:sz="4" w:space="0"/>
            </w:tcBorders>
            <w:vAlign w:val="center"/>
          </w:tcPr>
          <w:p>
            <w:pPr>
              <w:pStyle w:val="120"/>
              <w:adjustRightInd w:val="0"/>
              <w:snapToGrid w:val="0"/>
              <w:spacing w:line="360" w:lineRule="auto"/>
              <w:ind w:left="210" w:leftChars="100" w:right="210" w:rightChars="100"/>
              <w:jc w:val="center"/>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6</w:t>
            </w:r>
          </w:p>
        </w:tc>
        <w:tc>
          <w:tcPr>
            <w:tcW w:w="640" w:type="pct"/>
            <w:tcBorders>
              <w:top w:val="single" w:color="000000" w:sz="4" w:space="0"/>
              <w:bottom w:val="single" w:color="000000" w:sz="4" w:space="0"/>
            </w:tcBorders>
            <w:vAlign w:val="center"/>
          </w:tcPr>
          <w:p>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sz w:val="21"/>
                <w:szCs w:val="21"/>
                <w:highlight w:val="none"/>
              </w:rPr>
              <w:t>同类业绩</w:t>
            </w:r>
          </w:p>
        </w:tc>
        <w:tc>
          <w:tcPr>
            <w:tcW w:w="395" w:type="pct"/>
            <w:tcBorders>
              <w:top w:val="single" w:color="000000" w:sz="4" w:space="0"/>
              <w:bottom w:val="single" w:color="000000" w:sz="4" w:space="0"/>
            </w:tcBorders>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2022年1月1日至今取得的物业管理采购项目业绩，每提供一个有效的项目业绩得1分，最高得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业绩时间以合同签订时间为准。供应商应同时提供以下材料：a.合同关键页</w:t>
            </w:r>
            <w:r>
              <w:rPr>
                <w:rFonts w:hint="eastAsia" w:ascii="宋体" w:hAnsi="宋体" w:eastAsia="宋体" w:cs="宋体"/>
                <w:sz w:val="21"/>
                <w:szCs w:val="21"/>
                <w:highlight w:val="none"/>
                <w:lang w:val="en-US" w:eastAsia="zh-CN"/>
              </w:rPr>
              <w:t>扫描件/</w:t>
            </w:r>
            <w:r>
              <w:rPr>
                <w:rFonts w:hint="eastAsia" w:ascii="宋体" w:hAnsi="宋体" w:eastAsia="宋体" w:cs="宋体"/>
                <w:sz w:val="21"/>
                <w:szCs w:val="21"/>
                <w:highlight w:val="none"/>
              </w:rPr>
              <w:t>复印件（合同关键页包括：合同封面、服务内容页及双方签章页；加盖供应商公章）;b.乙方就该合同出具的任一期发票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同一项目不同年份的合同按一份业绩计算，不重复计算业绩分数。同一业主在同一采购项目中续签的合同不重复计分。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363" w:type="pct"/>
            <w:tcBorders>
              <w:top w:val="single" w:color="000000" w:sz="4" w:space="0"/>
              <w:bottom w:val="single" w:color="000000" w:sz="4" w:space="0"/>
            </w:tcBorders>
            <w:vAlign w:val="center"/>
          </w:tcPr>
          <w:p>
            <w:pPr>
              <w:pStyle w:val="120"/>
              <w:adjustRightInd w:val="0"/>
              <w:snapToGrid w:val="0"/>
              <w:spacing w:line="360" w:lineRule="auto"/>
              <w:ind w:left="210" w:leftChars="100" w:right="210" w:rightChars="100"/>
              <w:jc w:val="center"/>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7</w:t>
            </w:r>
          </w:p>
        </w:tc>
        <w:tc>
          <w:tcPr>
            <w:tcW w:w="640" w:type="pct"/>
            <w:tcBorders>
              <w:top w:val="single" w:color="000000" w:sz="4" w:space="0"/>
              <w:bottom w:val="single" w:color="000000" w:sz="4" w:space="0"/>
            </w:tcBorders>
            <w:vAlign w:val="center"/>
          </w:tcPr>
          <w:p>
            <w:pPr>
              <w:pStyle w:val="2"/>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投标人应急响应能力</w:t>
            </w:r>
          </w:p>
        </w:tc>
        <w:tc>
          <w:tcPr>
            <w:tcW w:w="395" w:type="pct"/>
            <w:tcBorders>
              <w:top w:val="single" w:color="000000" w:sz="4" w:space="0"/>
              <w:bottom w:val="single" w:color="000000" w:sz="4" w:space="0"/>
            </w:tcBorders>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rPr>
              <w:t>分</w:t>
            </w:r>
          </w:p>
        </w:tc>
        <w:tc>
          <w:tcPr>
            <w:tcW w:w="3599" w:type="pct"/>
            <w:tcBorders>
              <w:top w:val="single" w:color="000000" w:sz="4" w:space="0"/>
              <w:bottom w:val="single" w:color="000000" w:sz="4" w:space="0"/>
            </w:tcBorders>
            <w:vAlign w:val="center"/>
          </w:tcPr>
          <w:p>
            <w:pPr>
              <w:autoSpaceDE w:val="0"/>
              <w:autoSpaceDN w:val="0"/>
              <w:spacing w:line="360" w:lineRule="auto"/>
              <w:jc w:val="left"/>
              <w:outlineLvl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投标人具备的应急响应能力：</w:t>
            </w:r>
          </w:p>
          <w:p>
            <w:pPr>
              <w:autoSpaceDE w:val="0"/>
              <w:autoSpaceDN w:val="0"/>
              <w:spacing w:line="360" w:lineRule="auto"/>
              <w:jc w:val="left"/>
              <w:outlineLvl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投标人承诺在遇到紧急情况，在15分钟内（含）能调配周边资源调动至少10人或以上的服务团队到（</w:t>
            </w:r>
            <w:r>
              <w:rPr>
                <w:rFonts w:hint="eastAsia" w:ascii="宋体" w:hAnsi="宋体" w:eastAsia="宋体" w:cs="宋体"/>
                <w:color w:val="auto"/>
                <w:sz w:val="21"/>
                <w:szCs w:val="21"/>
                <w:highlight w:val="none"/>
                <w:lang w:eastAsia="zh-CN"/>
              </w:rPr>
              <w:t>行政楼或业务楼</w:t>
            </w:r>
            <w:r>
              <w:rPr>
                <w:rFonts w:hint="eastAsia" w:ascii="宋体" w:hAnsi="宋体" w:eastAsia="宋体" w:cs="宋体"/>
                <w:color w:val="auto"/>
                <w:kern w:val="2"/>
                <w:sz w:val="21"/>
                <w:szCs w:val="21"/>
                <w:highlight w:val="none"/>
                <w:lang w:val="en-US" w:eastAsia="zh-CN" w:bidi="ar-SA"/>
              </w:rPr>
              <w:t>）现场支援，满足的得6分。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投标时提供承诺，格式自拟。</w:t>
            </w:r>
          </w:p>
        </w:tc>
      </w:tr>
    </w:tbl>
    <w:p>
      <w:pPr>
        <w:widowControl/>
        <w:jc w:val="left"/>
        <w:rPr>
          <w:rFonts w:hint="eastAsia" w:ascii="宋体" w:hAnsi="宋体" w:eastAsia="宋体" w:cs="宋体"/>
          <w:color w:val="auto"/>
          <w:highlight w:val="none"/>
        </w:rPr>
      </w:pPr>
      <w:r>
        <w:rPr>
          <w:rFonts w:ascii="宋体" w:hAnsi="宋体" w:eastAsia="宋体" w:cs="宋体"/>
          <w:color w:val="auto"/>
          <w:highlight w:val="none"/>
        </w:rPr>
        <w:br w:type="page"/>
      </w:r>
    </w:p>
    <w:p>
      <w:pPr>
        <w:pStyle w:val="10"/>
        <w:ind w:firstLine="0"/>
        <w:rPr>
          <w:rFonts w:hint="eastAsia" w:ascii="宋体" w:hAnsi="宋体" w:eastAsia="宋体" w:cs="宋体"/>
          <w:color w:val="auto"/>
          <w:szCs w:val="24"/>
          <w:highlight w:val="none"/>
        </w:rPr>
      </w:pPr>
    </w:p>
    <w:p>
      <w:pPr>
        <w:pStyle w:val="5"/>
        <w:adjustRightInd w:val="0"/>
        <w:snapToGrid w:val="0"/>
        <w:spacing w:before="0" w:after="0" w:line="240" w:lineRule="auto"/>
        <w:jc w:val="left"/>
        <w:rPr>
          <w:rFonts w:hint="eastAsia" w:ascii="宋体" w:hAnsi="宋体" w:eastAsia="宋体" w:cs="宋体"/>
          <w:color w:val="auto"/>
          <w:szCs w:val="28"/>
          <w:highlight w:val="none"/>
        </w:rPr>
      </w:pPr>
      <w:bookmarkStart w:id="115" w:name="_Toc12488_WPSOffice_Level1"/>
      <w:bookmarkStart w:id="116" w:name="_Toc96523891"/>
      <w:r>
        <w:rPr>
          <w:rFonts w:hint="eastAsia" w:ascii="宋体" w:hAnsi="宋体" w:eastAsia="宋体" w:cs="宋体"/>
          <w:color w:val="auto"/>
          <w:szCs w:val="28"/>
          <w:highlight w:val="none"/>
        </w:rPr>
        <w:t>附件5：价格评审表</w:t>
      </w:r>
      <w:bookmarkEnd w:id="115"/>
      <w:bookmarkEnd w:id="116"/>
    </w:p>
    <w:p>
      <w:pPr>
        <w:spacing w:before="159" w:beforeLines="50" w:after="159" w:afterLines="50" w:line="400" w:lineRule="exact"/>
        <w:jc w:val="center"/>
        <w:rPr>
          <w:rFonts w:hint="eastAsia" w:ascii="宋体" w:hAnsi="宋体" w:eastAsia="宋体" w:cs="宋体"/>
          <w:b/>
          <w:bCs/>
          <w:color w:val="auto"/>
          <w:sz w:val="28"/>
          <w:highlight w:val="none"/>
          <w:lang w:eastAsia="zh-CN"/>
        </w:rPr>
      </w:pPr>
      <w:r>
        <w:rPr>
          <w:rFonts w:hint="eastAsia" w:ascii="宋体" w:hAnsi="宋体" w:eastAsia="宋体" w:cs="宋体"/>
          <w:b/>
          <w:bCs/>
          <w:color w:val="auto"/>
          <w:sz w:val="28"/>
          <w:highlight w:val="none"/>
        </w:rPr>
        <w:t>价格评审表</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lang w:val="en-US" w:eastAsia="zh-CN"/>
        </w:rPr>
        <w:t>15分</w:t>
      </w:r>
      <w:r>
        <w:rPr>
          <w:rFonts w:hint="eastAsia" w:ascii="宋体" w:hAnsi="宋体" w:eastAsia="宋体" w:cs="宋体"/>
          <w:b/>
          <w:bCs/>
          <w:color w:val="auto"/>
          <w:sz w:val="28"/>
          <w:highlight w:val="none"/>
          <w:lang w:eastAsia="zh-CN"/>
        </w:rPr>
        <w:t>）</w:t>
      </w:r>
    </w:p>
    <w:bookmarkEnd w:id="111"/>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199"/>
        <w:gridCol w:w="1003"/>
        <w:gridCol w:w="5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bookmarkStart w:id="117" w:name="_Toc25922_WPSOffice_Level1"/>
            <w:r>
              <w:rPr>
                <w:rFonts w:hint="eastAsia" w:ascii="宋体" w:hAnsi="宋体" w:eastAsia="宋体" w:cs="宋体"/>
                <w:color w:val="auto"/>
                <w:szCs w:val="21"/>
                <w:highlight w:val="none"/>
              </w:rPr>
              <w:t>序号</w:t>
            </w:r>
          </w:p>
        </w:tc>
        <w:tc>
          <w:tcPr>
            <w:tcW w:w="70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pacing w:val="-2"/>
                <w:sz w:val="21"/>
                <w:szCs w:val="21"/>
                <w:highlight w:val="none"/>
                <w:lang w:eastAsia="zh-CN"/>
              </w:rPr>
              <w:t>评审因素</w:t>
            </w:r>
          </w:p>
        </w:tc>
        <w:tc>
          <w:tcPr>
            <w:tcW w:w="58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分值</w:t>
            </w:r>
          </w:p>
        </w:tc>
        <w:tc>
          <w:tcPr>
            <w:tcW w:w="327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0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w:t>
            </w:r>
          </w:p>
        </w:tc>
        <w:tc>
          <w:tcPr>
            <w:tcW w:w="58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15分</w:t>
            </w:r>
          </w:p>
        </w:tc>
        <w:tc>
          <w:tcPr>
            <w:tcW w:w="327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价格评估得分采用低价优先法计算,即各有效投标供应商的评标价中,取报价最低者作为评标基准价,其价格评估得分为1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得分S＝（Pmin/P）×1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，其中：Pmin为评标基准价，P为投标人评标价。</w:t>
            </w:r>
          </w:p>
        </w:tc>
      </w:tr>
    </w:tbl>
    <w:p>
      <w:pPr>
        <w:pStyle w:val="4"/>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117"/>
      <w:bookmarkStart w:id="118" w:name="_Toc96523892"/>
      <w:bookmarkEnd w:id="118"/>
      <w:bookmarkStart w:id="119" w:name="_Toc25323"/>
      <w:bookmarkStart w:id="120" w:name="_Toc96523926"/>
      <w:r>
        <w:rPr>
          <w:rFonts w:hint="eastAsia" w:ascii="宋体" w:hAnsi="宋体" w:eastAsia="宋体" w:cs="宋体"/>
          <w:color w:val="auto"/>
          <w:highlight w:val="none"/>
        </w:rPr>
        <w:t>第四部分 拟签订的合同文本</w:t>
      </w:r>
      <w:bookmarkEnd w:id="119"/>
      <w:bookmarkEnd w:id="120"/>
    </w:p>
    <w:p>
      <w:pPr>
        <w:rPr>
          <w:rFonts w:hint="eastAsia" w:ascii="宋体" w:hAnsi="宋体" w:eastAsia="宋体" w:cs="宋体"/>
          <w:color w:val="auto"/>
          <w:highlight w:val="none"/>
          <w:lang w:val="en-US" w:eastAsia="zh-CN"/>
        </w:rPr>
      </w:pPr>
    </w:p>
    <w:p>
      <w:pPr>
        <w:tabs>
          <w:tab w:val="left" w:pos="720"/>
        </w:tabs>
        <w:spacing w:line="360" w:lineRule="auto"/>
        <w:rPr>
          <w:rFonts w:ascii="宋体" w:hAnsi="宋体" w:cs="Arial"/>
          <w:b/>
          <w:color w:val="auto"/>
          <w:sz w:val="24"/>
          <w:highlight w:val="none"/>
        </w:rPr>
      </w:pPr>
      <w:bookmarkStart w:id="121" w:name="_Toc96523893"/>
      <w:bookmarkStart w:id="122" w:name="_Toc17725_WPSOffice_Level1"/>
    </w:p>
    <w:p>
      <w:pPr>
        <w:tabs>
          <w:tab w:val="left" w:pos="720"/>
        </w:tabs>
        <w:spacing w:line="360" w:lineRule="auto"/>
        <w:rPr>
          <w:rFonts w:ascii="宋体" w:hAnsi="宋体" w:cs="Arial"/>
          <w:b/>
          <w:color w:val="auto"/>
          <w:sz w:val="24"/>
          <w:highlight w:val="none"/>
        </w:rPr>
      </w:pPr>
    </w:p>
    <w:p>
      <w:pPr>
        <w:tabs>
          <w:tab w:val="left" w:pos="720"/>
        </w:tabs>
        <w:spacing w:line="360" w:lineRule="auto"/>
        <w:rPr>
          <w:rFonts w:ascii="宋体" w:hAnsi="宋体" w:cs="Arial"/>
          <w:b/>
          <w:color w:val="auto"/>
          <w:sz w:val="24"/>
          <w:highlight w:val="none"/>
        </w:rPr>
      </w:pPr>
    </w:p>
    <w:p>
      <w:pPr>
        <w:tabs>
          <w:tab w:val="left" w:pos="720"/>
        </w:tabs>
        <w:spacing w:line="360" w:lineRule="auto"/>
        <w:rPr>
          <w:rFonts w:ascii="宋体" w:hAnsi="宋体" w:cs="Arial"/>
          <w:b/>
          <w:color w:val="auto"/>
          <w:sz w:val="24"/>
          <w:highlight w:val="none"/>
        </w:rPr>
      </w:pPr>
    </w:p>
    <w:p>
      <w:pPr>
        <w:tabs>
          <w:tab w:val="left" w:pos="720"/>
        </w:tabs>
        <w:spacing w:line="360" w:lineRule="auto"/>
        <w:rPr>
          <w:rFonts w:ascii="宋体" w:hAnsi="宋体" w:cs="Arial"/>
          <w:b/>
          <w:color w:val="auto"/>
          <w:sz w:val="24"/>
          <w:highlight w:val="none"/>
        </w:rPr>
      </w:pPr>
    </w:p>
    <w:p>
      <w:pPr>
        <w:tabs>
          <w:tab w:val="left" w:pos="720"/>
        </w:tabs>
        <w:spacing w:line="360" w:lineRule="auto"/>
        <w:rPr>
          <w:rFonts w:ascii="宋体" w:hAnsi="宋体" w:cs="Arial"/>
          <w:b/>
          <w:color w:val="auto"/>
          <w:sz w:val="72"/>
          <w:szCs w:val="72"/>
          <w:highlight w:val="none"/>
        </w:rPr>
      </w:pPr>
    </w:p>
    <w:p>
      <w:pPr>
        <w:tabs>
          <w:tab w:val="left" w:pos="720"/>
        </w:tabs>
        <w:spacing w:line="360" w:lineRule="auto"/>
        <w:jc w:val="center"/>
        <w:outlineLvl w:val="0"/>
        <w:rPr>
          <w:rFonts w:ascii="宋体" w:hAnsi="宋体" w:eastAsia="宋体" w:cs="Times New Roman"/>
          <w:b/>
          <w:color w:val="000000"/>
          <w:sz w:val="48"/>
          <w:szCs w:val="48"/>
          <w:highlight w:val="none"/>
        </w:rPr>
      </w:pPr>
      <w:r>
        <w:rPr>
          <w:rFonts w:hint="eastAsia" w:ascii="宋体" w:hAnsi="宋体" w:eastAsia="宋体" w:cs="Times New Roman"/>
          <w:b/>
          <w:color w:val="000000"/>
          <w:sz w:val="48"/>
          <w:szCs w:val="48"/>
          <w:highlight w:val="none"/>
        </w:rPr>
        <w:t>合　同　书</w:t>
      </w:r>
    </w:p>
    <w:p>
      <w:pPr>
        <w:tabs>
          <w:tab w:val="left" w:pos="720"/>
        </w:tabs>
        <w:spacing w:line="360" w:lineRule="auto"/>
        <w:jc w:val="center"/>
        <w:rPr>
          <w:rFonts w:ascii="宋体" w:hAnsi="宋体" w:eastAsia="宋体" w:cs="Times New Roman"/>
          <w:b/>
          <w:color w:val="000000"/>
          <w:sz w:val="36"/>
          <w:szCs w:val="36"/>
          <w:highlight w:val="none"/>
        </w:rPr>
      </w:pPr>
    </w:p>
    <w:p>
      <w:pPr>
        <w:tabs>
          <w:tab w:val="left" w:pos="720"/>
        </w:tabs>
        <w:spacing w:line="360" w:lineRule="auto"/>
        <w:jc w:val="center"/>
        <w:rPr>
          <w:rFonts w:ascii="宋体" w:hAnsi="宋体" w:eastAsia="宋体" w:cs="Times New Roman"/>
          <w:b/>
          <w:color w:val="000000"/>
          <w:sz w:val="36"/>
          <w:szCs w:val="36"/>
          <w:highlight w:val="none"/>
        </w:rPr>
      </w:pPr>
    </w:p>
    <w:p>
      <w:pPr>
        <w:tabs>
          <w:tab w:val="left" w:pos="720"/>
        </w:tabs>
        <w:spacing w:line="360" w:lineRule="auto"/>
        <w:jc w:val="center"/>
        <w:rPr>
          <w:rFonts w:ascii="宋体" w:hAnsi="宋体" w:eastAsia="宋体" w:cs="Times New Roman"/>
          <w:b/>
          <w:color w:val="000000"/>
          <w:sz w:val="36"/>
          <w:szCs w:val="36"/>
          <w:highlight w:val="none"/>
        </w:rPr>
      </w:pPr>
    </w:p>
    <w:p>
      <w:pPr>
        <w:tabs>
          <w:tab w:val="left" w:pos="720"/>
        </w:tabs>
        <w:spacing w:line="360" w:lineRule="auto"/>
        <w:jc w:val="center"/>
        <w:rPr>
          <w:rFonts w:ascii="宋体" w:hAnsi="宋体" w:eastAsia="宋体" w:cs="Times New Roman"/>
          <w:b/>
          <w:color w:val="000000"/>
          <w:sz w:val="36"/>
          <w:szCs w:val="36"/>
          <w:highlight w:val="none"/>
        </w:rPr>
      </w:pPr>
    </w:p>
    <w:p>
      <w:pPr>
        <w:tabs>
          <w:tab w:val="left" w:pos="720"/>
        </w:tabs>
        <w:spacing w:line="360" w:lineRule="auto"/>
        <w:jc w:val="center"/>
        <w:rPr>
          <w:rFonts w:ascii="宋体" w:hAnsi="宋体" w:eastAsia="宋体" w:cs="Times New Roman"/>
          <w:b/>
          <w:color w:val="000000"/>
          <w:sz w:val="36"/>
          <w:szCs w:val="36"/>
          <w:highlight w:val="none"/>
        </w:rPr>
      </w:pPr>
    </w:p>
    <w:tbl>
      <w:tblPr>
        <w:tblStyle w:val="33"/>
        <w:tblW w:w="9060" w:type="dxa"/>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618" w:hRule="atLeast"/>
          <w:jc w:val="center"/>
        </w:trPr>
        <w:tc>
          <w:tcPr>
            <w:tcW w:w="9060" w:type="dxa"/>
            <w:vAlign w:val="center"/>
          </w:tcPr>
          <w:p>
            <w:pPr>
              <w:tabs>
                <w:tab w:val="left" w:pos="720"/>
              </w:tabs>
              <w:spacing w:before="120" w:beforeLines="50" w:after="120" w:afterLines="50"/>
              <w:rPr>
                <w:rFonts w:ascii="宋体" w:hAnsi="宋体" w:eastAsia="宋体" w:cs="Times New Roman"/>
                <w:b/>
                <w:color w:val="000000"/>
                <w:sz w:val="24"/>
                <w:szCs w:val="24"/>
                <w:highlight w:val="none"/>
                <w:u w:val="single"/>
              </w:rPr>
            </w:pPr>
            <w:r>
              <w:rPr>
                <w:rFonts w:hint="eastAsia" w:ascii="宋体" w:hAnsi="宋体" w:eastAsia="宋体" w:cs="Times New Roman"/>
                <w:b/>
                <w:color w:val="000000"/>
                <w:sz w:val="24"/>
                <w:szCs w:val="24"/>
                <w:highlight w:val="none"/>
              </w:rPr>
              <w:t>采购项目编号：</w:t>
            </w:r>
          </w:p>
        </w:tc>
      </w:tr>
      <w:tr>
        <w:tblPrEx>
          <w:tblCellMar>
            <w:top w:w="0" w:type="dxa"/>
            <w:left w:w="108" w:type="dxa"/>
            <w:bottom w:w="0" w:type="dxa"/>
            <w:right w:w="108" w:type="dxa"/>
          </w:tblCellMar>
        </w:tblPrEx>
        <w:trPr>
          <w:trHeight w:val="618" w:hRule="atLeast"/>
          <w:jc w:val="center"/>
        </w:trPr>
        <w:tc>
          <w:tcPr>
            <w:tcW w:w="9060" w:type="dxa"/>
            <w:vAlign w:val="center"/>
          </w:tcPr>
          <w:p>
            <w:pPr>
              <w:tabs>
                <w:tab w:val="left" w:pos="720"/>
              </w:tabs>
              <w:spacing w:before="120" w:beforeLines="50" w:after="120" w:afterLines="50"/>
              <w:rPr>
                <w:rFonts w:ascii="宋体" w:hAnsi="宋体" w:eastAsia="宋体" w:cs="Times New Roman"/>
                <w:b/>
                <w:color w:val="000000"/>
                <w:sz w:val="24"/>
                <w:szCs w:val="24"/>
                <w:highlight w:val="none"/>
                <w:u w:val="single"/>
              </w:rPr>
            </w:pPr>
          </w:p>
        </w:tc>
      </w:tr>
      <w:tr>
        <w:tblPrEx>
          <w:tblCellMar>
            <w:top w:w="0" w:type="dxa"/>
            <w:left w:w="108" w:type="dxa"/>
            <w:bottom w:w="0" w:type="dxa"/>
            <w:right w:w="108" w:type="dxa"/>
          </w:tblCellMar>
        </w:tblPrEx>
        <w:trPr>
          <w:trHeight w:val="926" w:hRule="atLeast"/>
          <w:jc w:val="center"/>
        </w:trPr>
        <w:tc>
          <w:tcPr>
            <w:tcW w:w="9060" w:type="dxa"/>
            <w:vAlign w:val="center"/>
          </w:tcPr>
          <w:p>
            <w:pPr>
              <w:tabs>
                <w:tab w:val="left" w:pos="720"/>
              </w:tabs>
              <w:spacing w:before="120" w:beforeLines="50" w:after="120" w:afterLines="50"/>
              <w:ind w:left="1205" w:hanging="1205" w:hangingChars="500"/>
              <w:rPr>
                <w:rFonts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rPr>
              <w:t>采购项目名称：</w:t>
            </w:r>
            <w:r>
              <w:rPr>
                <w:rFonts w:hint="eastAsia" w:ascii="宋体" w:hAnsi="宋体" w:eastAsia="宋体" w:cs="Times New Roman"/>
                <w:b/>
                <w:color w:val="000000"/>
                <w:sz w:val="24"/>
                <w:szCs w:val="24"/>
                <w:highlight w:val="none"/>
                <w:u w:val="single"/>
              </w:rPr>
              <w:t>国家税务总局</w:t>
            </w:r>
            <w:r>
              <w:rPr>
                <w:rFonts w:hint="eastAsia" w:ascii="宋体" w:hAnsi="宋体" w:eastAsia="宋体" w:cs="Times New Roman"/>
                <w:b/>
                <w:color w:val="000000"/>
                <w:sz w:val="24"/>
                <w:szCs w:val="24"/>
                <w:highlight w:val="none"/>
                <w:u w:val="single"/>
                <w:lang w:eastAsia="zh-CN"/>
              </w:rPr>
              <w:t>乐昌市</w:t>
            </w:r>
            <w:r>
              <w:rPr>
                <w:rFonts w:hint="eastAsia" w:ascii="宋体" w:hAnsi="宋体" w:eastAsia="宋体" w:cs="Times New Roman"/>
                <w:b/>
                <w:color w:val="000000"/>
                <w:sz w:val="24"/>
                <w:szCs w:val="24"/>
                <w:highlight w:val="none"/>
                <w:u w:val="single"/>
              </w:rPr>
              <w:t>税务局</w:t>
            </w:r>
            <w:r>
              <w:rPr>
                <w:rFonts w:hint="eastAsia" w:ascii="宋体" w:hAnsi="宋体" w:eastAsia="宋体" w:cs="Times New Roman"/>
                <w:b/>
                <w:color w:val="000000"/>
                <w:sz w:val="24"/>
                <w:szCs w:val="24"/>
                <w:highlight w:val="none"/>
                <w:u w:val="single"/>
                <w:lang w:val="en-US" w:eastAsia="zh-CN"/>
              </w:rPr>
              <w:t>2026年至2027年</w:t>
            </w:r>
            <w:r>
              <w:rPr>
                <w:rFonts w:hint="eastAsia" w:ascii="宋体" w:hAnsi="宋体" w:eastAsia="宋体" w:cs="Times New Roman"/>
                <w:b/>
                <w:color w:val="000000"/>
                <w:sz w:val="24"/>
                <w:szCs w:val="24"/>
                <w:highlight w:val="none"/>
                <w:u w:val="single"/>
              </w:rPr>
              <w:t>物业管理服务</w:t>
            </w:r>
            <w:r>
              <w:rPr>
                <w:rFonts w:hint="eastAsia" w:ascii="宋体" w:hAnsi="宋体" w:eastAsia="宋体" w:cs="Times New Roman"/>
                <w:b/>
                <w:color w:val="000000"/>
                <w:sz w:val="24"/>
                <w:szCs w:val="24"/>
                <w:highlight w:val="none"/>
                <w:u w:val="single"/>
                <w:lang w:eastAsia="zh-CN"/>
              </w:rPr>
              <w:t>采购</w:t>
            </w:r>
            <w:r>
              <w:rPr>
                <w:rFonts w:hint="eastAsia" w:ascii="宋体" w:hAnsi="宋体" w:eastAsia="宋体" w:cs="Times New Roman"/>
                <w:b/>
                <w:color w:val="000000"/>
                <w:sz w:val="24"/>
                <w:szCs w:val="24"/>
                <w:highlight w:val="none"/>
                <w:u w:val="single"/>
              </w:rPr>
              <w:t>项目</w:t>
            </w:r>
          </w:p>
        </w:tc>
      </w:tr>
      <w:tr>
        <w:tblPrEx>
          <w:tblCellMar>
            <w:top w:w="0" w:type="dxa"/>
            <w:left w:w="108" w:type="dxa"/>
            <w:bottom w:w="0" w:type="dxa"/>
            <w:right w:w="108" w:type="dxa"/>
          </w:tblCellMar>
        </w:tblPrEx>
        <w:trPr>
          <w:trHeight w:val="618" w:hRule="atLeast"/>
          <w:jc w:val="center"/>
        </w:trPr>
        <w:tc>
          <w:tcPr>
            <w:tcW w:w="9060" w:type="dxa"/>
            <w:vAlign w:val="center"/>
          </w:tcPr>
          <w:p>
            <w:pPr>
              <w:tabs>
                <w:tab w:val="left" w:pos="720"/>
              </w:tabs>
              <w:spacing w:before="120" w:beforeLines="50" w:after="120" w:afterLines="50"/>
              <w:rPr>
                <w:rFonts w:ascii="宋体" w:hAnsi="宋体" w:eastAsia="宋体" w:cs="Times New Roman"/>
                <w:b/>
                <w:color w:val="00000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br w:type="page"/>
      </w:r>
      <w:r>
        <w:rPr>
          <w:rFonts w:hint="eastAsia" w:ascii="仿宋" w:hAnsi="仿宋" w:eastAsia="仿宋" w:cs="仿宋"/>
          <w:color w:val="000000"/>
          <w:kern w:val="0"/>
          <w:sz w:val="24"/>
          <w:szCs w:val="24"/>
          <w:highlight w:val="none"/>
          <w:lang w:val="en-US" w:eastAsia="zh-CN" w:bidi="ar-SA"/>
        </w:rPr>
        <w:t>甲方：国家税务总局乐昌市税务局</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地址：广东省乐昌市乐城街道人民南路25号</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乙方：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地址：</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合同金额(元)：</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人民币大写：</w:t>
      </w:r>
      <w:r>
        <w:rPr>
          <w:rFonts w:hint="eastAsia" w:ascii="仿宋" w:hAnsi="仿宋" w:cs="仿宋"/>
          <w:highlight w:val="none"/>
          <w:lang w:val="en-US" w:eastAsia="zh-CN"/>
        </w:rPr>
        <w:t xml:space="preserve">      </w:t>
      </w:r>
      <w:r>
        <w:rPr>
          <w:rFonts w:hint="eastAsia" w:ascii="仿宋" w:hAnsi="仿宋" w:eastAsia="仿宋" w:cs="仿宋"/>
          <w:highlight w:val="none"/>
        </w:rPr>
        <w:t>万元整</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根据《中华人民共和国政府采购法》和《中华人民共和国民法典》规定，以及物业服务行业的相关规则，在平等、自愿、协商一致的基础上，就甲方委托乙方对国家税务总局乐昌市税务局物业管理服务采购项目实行一体化、专业化的物业管理服务订立本合同。</w:t>
      </w:r>
      <w:bookmarkStart w:id="123" w:name="_Toc107414851"/>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第一条定义</w:t>
      </w:r>
      <w:bookmarkEnd w:id="123"/>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1.“合同”即由甲乙方双方签订的本采购的合同，包括所有的附件、附录和组成合同部分的所有其他文件。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合同将由采购人（以下简称甲方）与最终确定的中标（成交）供应商（以下简称乙方）结合本项目具体情况协商后签订。以下为甲方提出涉及乙方的主要条款，乙方在投标（响应）文件中应对其进行确认或拒绝。如乙方在其投标（响应）文件中未做拒绝或提出修改要求的，甲方将视作认同。</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2.“合同价格”系指根据合同规定，在乙方全面正确地履行合同义务时，甲方应支付给乙方的款项。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管理服务”系指乙方按投标（响应）文件承诺及甲方在采购文件中提出的其他工作（特殊服务）需求，结合本项目的设施配置及本物业使用性质特点，提出物业管理服务定位、目标，为甲方提供优质且专业的物业管理服务。</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4.“甲方”系指通过采购接受合同及服务的采购人。</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5.“乙方”系指最终确定的物业服务供应商（中标（成交）供应商）。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6.“现场”系指将要提供物业管理与服务的地点、区域范围及相关场所。</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7.“验收”系指采购人依据国家及有关规定实施合同所约定的评价程序和条件。</w:t>
      </w:r>
      <w:bookmarkStart w:id="124" w:name="_Toc107414852"/>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第二条适用范围</w:t>
      </w:r>
      <w:bookmarkEnd w:id="124"/>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合同条款适用于本次采购活动。项目实施范围详见—采购公告、采购文件、更正公告、结果公告和投标（响应）文件及相关补充文件、磋商记录、承诺书等。</w:t>
      </w:r>
      <w:bookmarkStart w:id="125" w:name="_Toc107414853"/>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第三条物业基本情况</w:t>
      </w:r>
      <w:bookmarkEnd w:id="125"/>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zh-CN" w:eastAsia="zh-CN" w:bidi="ar-SA"/>
        </w:rPr>
      </w:pPr>
      <w:r>
        <w:rPr>
          <w:rFonts w:hint="eastAsia" w:ascii="仿宋" w:hAnsi="仿宋" w:eastAsia="仿宋" w:cs="仿宋"/>
          <w:color w:val="000000"/>
          <w:kern w:val="0"/>
          <w:sz w:val="24"/>
          <w:szCs w:val="24"/>
          <w:highlight w:val="none"/>
          <w:lang w:val="en-US" w:eastAsia="zh-CN" w:bidi="ar-SA"/>
        </w:rPr>
        <w:t>项目名称：</w:t>
      </w:r>
      <w:r>
        <w:rPr>
          <w:rFonts w:hint="eastAsia" w:ascii="仿宋" w:hAnsi="仿宋" w:cs="仿宋"/>
          <w:color w:val="000000"/>
          <w:kern w:val="0"/>
          <w:sz w:val="24"/>
          <w:szCs w:val="24"/>
          <w:highlight w:val="none"/>
          <w:lang w:val="en-US" w:eastAsia="zh-CN" w:bidi="ar-SA"/>
        </w:rPr>
        <w:t>国家税务总局乐昌市税务局2026年至2027年物业管理服务采购项目</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zh-CN"/>
        </w:rPr>
        <w:t>本项目服务地点包括：国家税务总局乐昌市税务局人民南路办公区、国家税务总局乐昌市税务局公主下路办公区整体物业服务、保障、管理；国家税务总局乐昌市税务局坪石税务分局办公区保安服务、保洁服务和绿化服务；国家税务总局乐昌市税务局廊田分局办公区保洁服务和绿化服务</w:t>
      </w:r>
      <w:r>
        <w:rPr>
          <w:rFonts w:hint="eastAsia" w:ascii="Times New Roman" w:hAnsi="Times New Roman" w:eastAsia="宋体" w:cs="Times New Roman"/>
          <w:sz w:val="24"/>
          <w:szCs w:val="24"/>
          <w:highlight w:val="none"/>
        </w:rPr>
        <w:t>。</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outlineLvl w:val="1"/>
        <w:rPr>
          <w:rFonts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国家税务总局乐昌市税务局人民南路办公区</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地址：广东省韶关市乐城街道人民南路25号</w:t>
      </w:r>
      <w:r>
        <w:rPr>
          <w:rFonts w:hint="eastAsia" w:ascii="仿宋" w:hAnsi="仿宋" w:eastAsia="仿宋" w:cs="仿宋"/>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zh-CN"/>
        </w:rPr>
        <w:t>服务区域范围：建筑层高地上13层，地下1层（共通），建筑面积约</w:t>
      </w:r>
      <w:r>
        <w:rPr>
          <w:rFonts w:hint="eastAsia" w:ascii="仿宋" w:hAnsi="仿宋" w:eastAsia="仿宋" w:cs="仿宋"/>
          <w:sz w:val="24"/>
          <w:szCs w:val="24"/>
          <w:highlight w:val="none"/>
          <w:lang w:val="en-US" w:eastAsia="zh-CN"/>
        </w:rPr>
        <w:t>8434.59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outlineLvl w:val="1"/>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国家税务总局乐昌市税务局公主下路办公区</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地址：广东省韶关市乐昌市乐城街道公主下路68号</w:t>
      </w:r>
      <w:r>
        <w:rPr>
          <w:rFonts w:hint="eastAsia" w:ascii="仿宋" w:hAnsi="仿宋" w:eastAsia="仿宋" w:cs="仿宋"/>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zh-CN"/>
        </w:rPr>
        <w:t>服务区域范围：</w:t>
      </w:r>
      <w:bookmarkStart w:id="126" w:name="_Toc107414854"/>
      <w:r>
        <w:rPr>
          <w:rFonts w:hint="eastAsia" w:ascii="仿宋" w:hAnsi="仿宋" w:eastAsia="仿宋" w:cs="仿宋"/>
          <w:sz w:val="24"/>
          <w:szCs w:val="24"/>
          <w:highlight w:val="none"/>
        </w:rPr>
        <w:t>建筑层高地上7层，建筑面积约</w:t>
      </w:r>
      <w:r>
        <w:rPr>
          <w:rFonts w:hint="eastAsia" w:ascii="仿宋" w:hAnsi="仿宋" w:eastAsia="仿宋" w:cs="仿宋"/>
          <w:sz w:val="24"/>
          <w:szCs w:val="24"/>
          <w:highlight w:val="none"/>
          <w:lang w:val="en-US" w:eastAsia="zh-CN"/>
        </w:rPr>
        <w:t>5705.24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outlineLvl w:val="1"/>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国家税务总局乐昌市税务局坪石税务分局办公区</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地址：广东省韶关市乐昌市坪石镇永安路1号。</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zh-CN"/>
        </w:rPr>
        <w:t>服务区域范围：</w:t>
      </w:r>
      <w:r>
        <w:rPr>
          <w:rFonts w:hint="eastAsia" w:ascii="仿宋" w:hAnsi="仿宋" w:eastAsia="仿宋" w:cs="仿宋"/>
          <w:sz w:val="24"/>
          <w:szCs w:val="24"/>
          <w:highlight w:val="none"/>
        </w:rPr>
        <w:t>建筑层高地上6层，建筑面积约</w:t>
      </w:r>
      <w:r>
        <w:rPr>
          <w:rFonts w:hint="eastAsia" w:ascii="仿宋" w:hAnsi="仿宋" w:eastAsia="仿宋" w:cs="仿宋"/>
          <w:sz w:val="24"/>
          <w:szCs w:val="24"/>
          <w:highlight w:val="none"/>
          <w:lang w:val="en-US" w:eastAsia="zh-CN"/>
        </w:rPr>
        <w:t>4264.5</w:t>
      </w:r>
      <w:r>
        <w:rPr>
          <w:rFonts w:hint="eastAsia" w:ascii="仿宋" w:hAnsi="仿宋" w:eastAsia="仿宋" w:cs="仿宋"/>
          <w:sz w:val="24"/>
          <w:szCs w:val="24"/>
          <w:highlight w:val="none"/>
        </w:rPr>
        <w:t>m²</w:t>
      </w:r>
      <w:r>
        <w:rPr>
          <w:rFonts w:hint="eastAsia" w:ascii="仿宋" w:hAnsi="仿宋" w:eastAsia="仿宋" w:cs="仿宋"/>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outlineLvl w:val="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.国家税务总局乐昌市税务局廊田分局办公区</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地址：广东省韶关市乐昌市廊田镇府前路3号。</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服务区域范围：建筑层高地上1层，建筑面积约256m²。</w:t>
      </w:r>
    </w:p>
    <w:p>
      <w:pPr>
        <w:keepNext w:val="0"/>
        <w:keepLines w:val="0"/>
        <w:pageBreakBefore w:val="0"/>
        <w:numPr>
          <w:ilvl w:val="0"/>
          <w:numId w:val="13"/>
        </w:numPr>
        <w:kinsoku/>
        <w:wordWrap/>
        <w:overflowPunct/>
        <w:topLinePunct w:val="0"/>
        <w:autoSpaceDE/>
        <w:autoSpaceDN/>
        <w:bidi w:val="0"/>
        <w:adjustRightInd/>
        <w:snapToGrid/>
        <w:spacing w:line="580" w:lineRule="exact"/>
        <w:ind w:firstLine="482" w:firstLineChars="200"/>
        <w:jc w:val="left"/>
        <w:textAlignment w:val="auto"/>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rPr>
        <w:t>委托管理事项</w:t>
      </w:r>
      <w:bookmarkEnd w:id="126"/>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列入本次综合物业管理的范围包括但不仅限于：本条所列的各项服务内容和采购人交办的其他工作。</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lang w:eastAsia="zh-CN"/>
        </w:rPr>
      </w:pPr>
      <w:bookmarkStart w:id="127" w:name="_Toc107414855"/>
      <w:r>
        <w:rPr>
          <w:rFonts w:hint="eastAsia" w:ascii="仿宋" w:hAnsi="仿宋" w:eastAsia="仿宋" w:cs="仿宋"/>
          <w:sz w:val="24"/>
          <w:szCs w:val="24"/>
          <w:highlight w:val="none"/>
        </w:rPr>
        <w:t>办公场所(国家税务总局乐昌市税务局人民南路办公区、国家税务总局乐昌市税务局公主下路办公区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国家税务总局乐昌市税务局坪石税务分局办公区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国家税务总局乐昌市税务局廊田分局办公区)</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（1）环境卫生与保洁管理（含垃圾清运）</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（2）安保及秩序管理服务（含停车场管理）</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（3）绿化的养护和管理</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）水电设施设备日常维护服务</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）应急管理</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）综合服务</w:t>
      </w:r>
    </w:p>
    <w:p>
      <w:pPr>
        <w:keepNext w:val="0"/>
        <w:keepLines w:val="0"/>
        <w:pageBreakBefore w:val="0"/>
        <w:kinsoku/>
        <w:wordWrap/>
        <w:overflowPunct/>
        <w:topLinePunct w:val="0"/>
        <w:autoSpaceDE/>
        <w:autoSpaceDN/>
        <w:bidi w:val="0"/>
        <w:adjustRightInd/>
        <w:snapToGrid/>
        <w:spacing w:line="580" w:lineRule="exact"/>
        <w:ind w:firstLine="482" w:firstLineChars="200"/>
        <w:jc w:val="left"/>
        <w:textAlignment w:val="auto"/>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rPr>
        <w:t>第五条合同期限</w:t>
      </w:r>
      <w:bookmarkEnd w:id="127"/>
      <w:bookmarkStart w:id="128" w:name="_Toc107414856"/>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1.本项目服务期为</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年，自合同生效起计算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共</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个</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2.试用期为两个月，即签订合同后，在乙方入场提供服务之日起两个月为试用期。试用期满后甲方对乙方试用期物业服务进行考核评分，如考核不及格（考核评分低于</w:t>
      </w: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0分，考核标准为物业服务对象按需求书中评定标准对乙方的服务进行评价打分），甲方有权单方终止本合同，乙方应当在收到甲方要求退场通知之日起5日内移交物业现场并退出。</w:t>
      </w:r>
    </w:p>
    <w:p>
      <w:pPr>
        <w:keepNext w:val="0"/>
        <w:keepLines w:val="0"/>
        <w:pageBreakBefore w:val="0"/>
        <w:kinsoku/>
        <w:wordWrap/>
        <w:overflowPunct/>
        <w:topLinePunct w:val="0"/>
        <w:autoSpaceDE/>
        <w:autoSpaceDN/>
        <w:bidi w:val="0"/>
        <w:adjustRightInd/>
        <w:snapToGrid/>
        <w:spacing w:line="580" w:lineRule="exact"/>
        <w:ind w:firstLine="482" w:firstLineChars="200"/>
        <w:jc w:val="left"/>
        <w:textAlignment w:val="auto"/>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rPr>
        <w:t>第六条</w:t>
      </w:r>
      <w:bookmarkEnd w:id="128"/>
      <w:r>
        <w:rPr>
          <w:rFonts w:hint="eastAsia" w:ascii="仿宋" w:hAnsi="仿宋" w:eastAsia="仿宋" w:cs="仿宋"/>
          <w:b/>
          <w:bCs/>
          <w:sz w:val="24"/>
          <w:szCs w:val="24"/>
          <w:highlight w:val="none"/>
        </w:rPr>
        <w:t>甲乙双方的权利和义务</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outlineLvl w:val="1"/>
        <w:rPr>
          <w:rFonts w:ascii="仿宋" w:hAnsi="仿宋" w:eastAsia="仿宋" w:cs="仿宋"/>
          <w:sz w:val="24"/>
          <w:szCs w:val="24"/>
          <w:highlight w:val="none"/>
        </w:rPr>
      </w:pPr>
      <w:r>
        <w:rPr>
          <w:rFonts w:hint="eastAsia" w:ascii="仿宋" w:hAnsi="仿宋" w:eastAsia="仿宋" w:cs="仿宋"/>
          <w:sz w:val="24"/>
          <w:szCs w:val="24"/>
          <w:highlight w:val="none"/>
        </w:rPr>
        <w:t>（一）甲方权利和义务</w:t>
      </w:r>
    </w:p>
    <w:p>
      <w:pPr>
        <w:keepNext w:val="0"/>
        <w:keepLines w:val="0"/>
        <w:pageBreakBefore w:val="0"/>
        <w:kinsoku/>
        <w:wordWrap/>
        <w:overflowPunct/>
        <w:topLinePunct w:val="0"/>
        <w:autoSpaceDE/>
        <w:autoSpaceDN/>
        <w:bidi w:val="0"/>
        <w:adjustRightInd/>
        <w:snapToGrid/>
        <w:spacing w:line="58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1.代表和维护产权人、使用人的合法权益；</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2.审定乙方拟定的管理制度和管理服务年度计划，并提出合理化建议，督促乙方健全应有的制度规程、工作规范等；</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3.检查监督乙方管理工作的实施及制度的执行情况；</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4.负责收集、整理管理所需全部图纸、档案、资料，适时提供给乙方；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5.甲方对岗位设置、人员选用与日常管理具有监督权和协调权，乙方必须遵从甲方的意见；</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6.协助乙方做好管理工作；</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7.按时支付管理费给乙方；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8.招标文件、投标文件及合同附件中约定的甲方其它权利义务。</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outlineLvl w:val="1"/>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（二）乙方权利和义务</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1.根据有关法律法规及本合同的约定，制订管理制度，编制管理计划，并经双方议定后由乙方组织实施；</w:t>
      </w:r>
    </w:p>
    <w:p>
      <w:pPr>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2.对物业使用人违反法规、规章的行为，有责任告知甲方处理；乙方在日常物业服务过程中对无法解决的问题要及时向甲方反映，并请求甲方协助解决；</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cs="仿宋"/>
          <w:color w:val="000000"/>
          <w:kern w:val="0"/>
          <w:sz w:val="24"/>
          <w:szCs w:val="24"/>
          <w:highlight w:val="none"/>
          <w:lang w:val="en-US" w:eastAsia="zh-CN" w:bidi="ar-SA"/>
        </w:rPr>
        <w:t>3</w:t>
      </w:r>
      <w:r>
        <w:rPr>
          <w:rFonts w:hint="eastAsia" w:ascii="仿宋" w:hAnsi="仿宋" w:eastAsia="仿宋" w:cs="仿宋"/>
          <w:color w:val="000000"/>
          <w:kern w:val="0"/>
          <w:sz w:val="24"/>
          <w:szCs w:val="24"/>
          <w:highlight w:val="none"/>
          <w:lang w:val="en-US" w:eastAsia="zh-CN" w:bidi="ar-SA"/>
        </w:rPr>
        <w:t>.对甲方的房屋、设备、设施等负有检查及保护的责任，发现问题应及时向甲方报告，如属于因乙方管理不善或操作不当造成的损失，乙方应承担一切赔偿责任；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cs="仿宋"/>
          <w:color w:val="000000"/>
          <w:kern w:val="0"/>
          <w:sz w:val="24"/>
          <w:szCs w:val="24"/>
          <w:highlight w:val="none"/>
          <w:lang w:val="en-US" w:eastAsia="zh-CN" w:bidi="ar-SA"/>
        </w:rPr>
        <w:t>4</w:t>
      </w:r>
      <w:r>
        <w:rPr>
          <w:rFonts w:hint="eastAsia" w:ascii="仿宋" w:hAnsi="仿宋" w:eastAsia="仿宋" w:cs="仿宋"/>
          <w:color w:val="000000"/>
          <w:kern w:val="0"/>
          <w:sz w:val="24"/>
          <w:szCs w:val="24"/>
          <w:highlight w:val="none"/>
          <w:lang w:val="en-US" w:eastAsia="zh-CN" w:bidi="ar-SA"/>
        </w:rPr>
        <w:t>.乙方必须做好工作人员所需要的安全教育及安全措施，保证工作人员的安全，乙方工作人员在甲方工作范围内发生事故的一切责任由乙方负责；</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cs="仿宋"/>
          <w:color w:val="000000"/>
          <w:kern w:val="0"/>
          <w:sz w:val="24"/>
          <w:szCs w:val="24"/>
          <w:highlight w:val="none"/>
          <w:lang w:val="en-US" w:eastAsia="zh-CN" w:bidi="ar-SA"/>
        </w:rPr>
        <w:t>5</w:t>
      </w:r>
      <w:r>
        <w:rPr>
          <w:rFonts w:hint="eastAsia" w:ascii="仿宋" w:hAnsi="仿宋" w:eastAsia="仿宋" w:cs="仿宋"/>
          <w:color w:val="000000"/>
          <w:kern w:val="0"/>
          <w:sz w:val="24"/>
          <w:szCs w:val="24"/>
          <w:highlight w:val="none"/>
          <w:lang w:val="en-US" w:eastAsia="zh-CN" w:bidi="ar-SA"/>
        </w:rPr>
        <w:t>.乙方的服务人员要有符合国家规定的上岗证，部分重要岗位服务人员没有刑事犯罪记录，重要岗位人员聘用要经甲方审定，同时，乙方的服务人员须听从甲方调动指挥；</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cs="仿宋"/>
          <w:color w:val="000000"/>
          <w:kern w:val="0"/>
          <w:sz w:val="24"/>
          <w:szCs w:val="24"/>
          <w:highlight w:val="none"/>
          <w:lang w:val="en-US" w:eastAsia="zh-CN" w:bidi="ar-SA"/>
        </w:rPr>
        <w:t>6</w:t>
      </w:r>
      <w:r>
        <w:rPr>
          <w:rFonts w:hint="eastAsia" w:ascii="仿宋" w:hAnsi="仿宋" w:eastAsia="仿宋" w:cs="仿宋"/>
          <w:color w:val="000000"/>
          <w:kern w:val="0"/>
          <w:sz w:val="24"/>
          <w:szCs w:val="24"/>
          <w:highlight w:val="none"/>
          <w:lang w:val="en-US" w:eastAsia="zh-CN" w:bidi="ar-SA"/>
        </w:rPr>
        <w:t>.因乙方在管理中的过错或违反本合同的约定进行管理造成甲方或第三人损失的，乙方应依法承担赔偿责任；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cs="仿宋"/>
          <w:color w:val="000000"/>
          <w:kern w:val="0"/>
          <w:sz w:val="24"/>
          <w:szCs w:val="24"/>
          <w:highlight w:val="none"/>
          <w:lang w:val="en-US" w:eastAsia="zh-CN" w:bidi="ar-SA"/>
        </w:rPr>
        <w:t>7</w:t>
      </w:r>
      <w:r>
        <w:rPr>
          <w:rFonts w:hint="eastAsia" w:ascii="仿宋" w:hAnsi="仿宋" w:eastAsia="仿宋" w:cs="仿宋"/>
          <w:color w:val="000000"/>
          <w:kern w:val="0"/>
          <w:sz w:val="24"/>
          <w:szCs w:val="24"/>
          <w:highlight w:val="none"/>
          <w:lang w:val="en-US" w:eastAsia="zh-CN" w:bidi="ar-SA"/>
        </w:rPr>
        <w:t>.对本物业的公用设施不得擅自占用和改变使用功能；</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cs="仿宋"/>
          <w:color w:val="000000"/>
          <w:kern w:val="0"/>
          <w:sz w:val="24"/>
          <w:szCs w:val="24"/>
          <w:highlight w:val="none"/>
          <w:lang w:val="en-US" w:eastAsia="zh-CN" w:bidi="ar-SA"/>
        </w:rPr>
        <w:t>8</w:t>
      </w:r>
      <w:r>
        <w:rPr>
          <w:rFonts w:hint="eastAsia" w:ascii="仿宋" w:hAnsi="仿宋" w:eastAsia="仿宋" w:cs="仿宋"/>
          <w:color w:val="000000"/>
          <w:kern w:val="0"/>
          <w:sz w:val="24"/>
          <w:szCs w:val="24"/>
          <w:highlight w:val="none"/>
          <w:lang w:val="en-US" w:eastAsia="zh-CN" w:bidi="ar-SA"/>
        </w:rPr>
        <w:t>.建立、妥善保管和正确使用本物业相关的管理档案，并负责及时记载有关变更情况；</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cs="仿宋"/>
          <w:color w:val="000000"/>
          <w:kern w:val="0"/>
          <w:sz w:val="24"/>
          <w:szCs w:val="24"/>
          <w:highlight w:val="none"/>
          <w:lang w:val="en-US" w:eastAsia="zh-CN" w:bidi="ar-SA"/>
        </w:rPr>
        <w:t>9</w:t>
      </w:r>
      <w:r>
        <w:rPr>
          <w:rFonts w:hint="eastAsia" w:ascii="仿宋" w:hAnsi="仿宋" w:eastAsia="仿宋" w:cs="仿宋"/>
          <w:color w:val="000000"/>
          <w:kern w:val="0"/>
          <w:sz w:val="24"/>
          <w:szCs w:val="24"/>
          <w:highlight w:val="none"/>
          <w:lang w:val="en-US" w:eastAsia="zh-CN" w:bidi="ar-SA"/>
        </w:rPr>
        <w:t>.乙方自行承担所有人员服装等费用，服装样式需经过甲方认可，生活用水、电、通讯费用由乙方自行承担；</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w:t>
      </w:r>
      <w:r>
        <w:rPr>
          <w:rFonts w:hint="eastAsia" w:ascii="仿宋" w:hAnsi="仿宋" w:cs="仿宋"/>
          <w:color w:val="000000"/>
          <w:kern w:val="0"/>
          <w:sz w:val="24"/>
          <w:szCs w:val="24"/>
          <w:highlight w:val="none"/>
          <w:lang w:val="en-US" w:eastAsia="zh-CN" w:bidi="ar-SA"/>
        </w:rPr>
        <w:t>0</w:t>
      </w:r>
      <w:r>
        <w:rPr>
          <w:rFonts w:hint="eastAsia" w:ascii="仿宋" w:hAnsi="仿宋" w:eastAsia="仿宋" w:cs="仿宋"/>
          <w:color w:val="000000"/>
          <w:kern w:val="0"/>
          <w:sz w:val="24"/>
          <w:szCs w:val="24"/>
          <w:highlight w:val="none"/>
          <w:lang w:val="en-US" w:eastAsia="zh-CN" w:bidi="ar-SA"/>
        </w:rPr>
        <w:t>.本合同终止时，乙方必须在甲方要求的时间内及时移交本物业，并向甲方移交全部管理用房及有关档案资料；</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w:t>
      </w:r>
      <w:r>
        <w:rPr>
          <w:rFonts w:hint="eastAsia" w:ascii="仿宋" w:hAnsi="仿宋" w:cs="仿宋"/>
          <w:color w:val="000000"/>
          <w:kern w:val="0"/>
          <w:sz w:val="24"/>
          <w:szCs w:val="24"/>
          <w:highlight w:val="none"/>
          <w:lang w:val="en-US" w:eastAsia="zh-CN" w:bidi="ar-SA"/>
        </w:rPr>
        <w:t>1</w:t>
      </w:r>
      <w:r>
        <w:rPr>
          <w:rFonts w:hint="eastAsia" w:ascii="仿宋" w:hAnsi="仿宋" w:eastAsia="仿宋" w:cs="仿宋"/>
          <w:color w:val="000000"/>
          <w:kern w:val="0"/>
          <w:sz w:val="24"/>
          <w:szCs w:val="24"/>
          <w:highlight w:val="none"/>
          <w:lang w:val="en-US" w:eastAsia="zh-CN" w:bidi="ar-SA"/>
        </w:rPr>
        <w:t>.招标文件及合同附件中约定的乙方其它权利义务。</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第七条甲方对乙方作出如下承诺</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1.甲方在职权范围内保证乙方的正常经营不受干扰。</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2.协助乙方的员工按相关规定正常进入服务区域开展服务工作。</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第八条乙方对甲方作出如下承诺</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1.不以任何形式转租、转让、抵押、转包服务区域，在服务区域内只从事甲方认可的服务工作。</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2.乙方应允许甲方或其授权的人员对服务区域内各项服务质量控制进行检查。</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在服务区域中的各项服务，其工作时间必须满足甲方的工作要求，包括周末及公众假期。如遇特殊情况，甲方可要求乙方调整工作时间直至全天二十四小时工作，乙方需合法合理安排人员在岗、轮岗，并根据劳动法等相关法律规定发放工资、加班费、安排调休等。</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4.乙方必须指定一位物业经理(负责人)，全权代表乙方与甲方保持密切联系并保证服务区域工作。根据工作表现，甲方有权要求乙方在一个星期内更换物业经理（负责人）以及其他工作人员。</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为服务区域的服务工作配备承诺的人员及人员数量，甲方不定期抽查乙方投入的人员数量，如果抽查时发现乙方安排在岗的人员数量少于合同约定的数量，甲方将按考核标准进行处罚。乙方聘用的工作人员必须符合劳动部门有关用工规定，并经乙方相关专业考核合格后持证上岗，甲方有权进行审核，审核不通过的，乙方须承担合同违约责任及相关法律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6.在合同有效期间，乙方所有人员仅与乙方建立劳动合同关系，且所有人员使用须符合《中华人民共和国劳动法》《中华人民共和国劳动合同法》以及相关法律法规的要求。</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7.乙方人员发生任何事故或与乙方发生劳动争议均由乙方自行全权负责，相关费用乙方自行承担，以保证甲方在乙方人员索赔时不受任何责任的约束，且不影响甲方的正常用人需求。乙方所有人员的劳动报酬及相关社会、医疗保障等收入应符合服务区域所在地的相关规定。</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8.乙方工作人员上岗穿着由乙方提供、甲方确认的制服及甲方许可的装饰物品，该部分费用和制作均由乙方负担。</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9.乙方必须出具或办妥法律及甲方规定的，在服务区域中与其自身经营业务有关的执照和许可证，方可从事经营，在经营中须遵守一切有关条例和规定。自行缴纳有关税费。乙方必须确保为甲方提供优质、高效的专业服务，并根据甲方要求改变服务状况。接受甲方、甲方主管分管部门及有关政府部门监督与检查。</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10.在合同有效期内乙方应保证服务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的，甲方将按相关考核标准进行处罚，必要时上报有关监管部门按照相关规定依法处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11.乙方在服务区域因作业所需增加机械、电力设备及设施应征得甲方书面同意，并聘请有资格的承造商进行安装、保养并将施工安装保养记录手册和图，交由甲方备案。</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12.禁止事项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宋体"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（1）乙方不得以获取不正当利益为目的，采取馈赠礼品礼金、邀请娱乐旅游消费、提供便利条件等非正常交往手段“围猎”相关税务人员及其亲属。</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（2）乙方不得以任何理由向甲方工作人员支付费用或赠送实物、有价证券等，乙方人员也不得以任何形式向甲方相关人员索取小费或钱物等，否则甲方有权终止合同。情节严重的将追究违者相关法律责任。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（3）不得在服务区域随意住宿或从事非法活动，也不得从事有损甲方利益的活动，同时不允许在服务区域对甲方正常办公或经营活动进行滋扰性的行为。</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除经甲方批准进行必要的维修工程外，乙方不得损毁服务区域原有的设施和装潢，不得更改已铺设的电缆、电线等电力装置及给排水系统、油气管道等。同时，也不得安装任何可能造成电缆负载过大的电器设备，避免消防风险及不必要的无线电干扰。</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（5）未获甲方书面同意，乙方任何时候均不得在服务区域存放易燃物品、具有较大挥发性或气味浓烈的液体或任何其他危险品。</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13.保险</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（1）乙方应对乙方人员安全以及对第三方安全依法负责（乙方应投保第三责任险)，在乙方的责任区内由于乙方原因导致自己员工或第三方的事故由乙方负责，甲方不承担任何责任。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（2）员工人身意外发生在合同有效期内的，乙方所有人员的事故由乙方自行全权负责(乙方应对其员工投保工伤保险或人身意外险)，以保证甲方在乙方工作人员索赔时不受任何责任的约束。</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（3）其他保险及费用乙方须按《中华人民共和国劳动法》《中华人民共和国劳动合同法》和政府有关各部门规定为全体服务人员交纳所有相关的社会保险及其他相关费用。乙方对此全权负责。</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14.乙方及其员工遵守物业服务区域内的一切行政管理、消防安全等规定和制度，</w:t>
      </w:r>
      <w:r>
        <w:rPr>
          <w:rFonts w:hint="eastAsia" w:ascii="仿宋" w:hAnsi="仿宋" w:eastAsia="仿宋" w:cs="仿宋"/>
          <w:color w:val="auto"/>
          <w:kern w:val="0"/>
          <w:sz w:val="24"/>
          <w:szCs w:val="24"/>
          <w:highlight w:val="none"/>
          <w:lang w:val="en-US" w:eastAsia="zh-CN" w:bidi="ar-SA"/>
        </w:rPr>
        <w:t>保证服务区域内的消防设施能正常使用，</w:t>
      </w:r>
      <w:r>
        <w:rPr>
          <w:rFonts w:hint="eastAsia" w:ascii="仿宋" w:hAnsi="仿宋" w:eastAsia="仿宋" w:cs="仿宋"/>
          <w:color w:val="000000"/>
          <w:kern w:val="0"/>
          <w:sz w:val="24"/>
          <w:szCs w:val="24"/>
          <w:highlight w:val="none"/>
          <w:lang w:val="en-US" w:eastAsia="zh-CN" w:bidi="ar-SA"/>
        </w:rPr>
        <w:t>消防通道畅通，否则承担违规责任。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15.遇突发事件或安全检查时，乙方必须配合有关部门执行任务，并指定专职人员协助工作，直至完成。</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16.乙方须积极配合甲方对其进行的物业服务综合考评。</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第九条乙方的人员配置</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outlineLvl w:val="1"/>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1.乙方的人员配置</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1.1乙方的物业经理；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1.2乙方必须采取措施，确保乙方人员稳定，特别是骨干人员（主要管理层人员），未经采购人同意，不得更换人员，相关人员变动须经甲方书面同意；</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1.3乙方物业经理须及时与甲方沟通，第一时间报告重大、紧急事件；定期向甲方汇报工作情况；</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1.4保安人员的变动须遵循当地公安部门的有关规定；</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outlineLvl w:val="1"/>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2.物业人员要求</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2.1所有相关人员的配备须获得相关主管部门认证的，须配证并持证上岗，且根据不同岗位统一着装；</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2.2所有相关人员要求政治上可靠，身体素质好，无不良行为记录；</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2.3重要岗位人员必须由甲方考核、政治审查通过方可录用；</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2.4为提高物业管理水平，所有物业人员还需进行相关的培训，以匹配合同约定的相关服务要求，相关的培训资料应向甲方报备。在考核过程中发现的个别服务不到位状况，甲方可要求乙方进行强化培训，在1周内达到甲方的合理要求。</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第十条物业服务费及付款方式</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甲方按中标价分24个月平均计算，按照《物业管理服务考核细则》每月进行考核后，依据验收考核结果，</w:t>
      </w:r>
      <w:r>
        <w:rPr>
          <w:rFonts w:hint="eastAsia" w:ascii="仿宋" w:hAnsi="仿宋" w:cs="仿宋"/>
          <w:color w:val="000000"/>
          <w:kern w:val="0"/>
          <w:sz w:val="24"/>
          <w:szCs w:val="24"/>
          <w:highlight w:val="none"/>
          <w:lang w:val="en-US" w:eastAsia="zh-CN" w:bidi="ar-SA"/>
        </w:rPr>
        <w:t>乙方</w:t>
      </w:r>
      <w:r>
        <w:rPr>
          <w:rFonts w:hint="eastAsia" w:ascii="仿宋" w:hAnsi="仿宋" w:eastAsia="仿宋" w:cs="仿宋"/>
          <w:color w:val="000000"/>
          <w:kern w:val="0"/>
          <w:sz w:val="24"/>
          <w:szCs w:val="24"/>
          <w:highlight w:val="none"/>
          <w:lang w:val="en-US" w:eastAsia="zh-CN" w:bidi="ar-SA"/>
        </w:rPr>
        <w:t>于次月25日前提交等额合法有效增值税普通发票到</w:t>
      </w:r>
      <w:r>
        <w:rPr>
          <w:rFonts w:hint="eastAsia" w:ascii="仿宋" w:hAnsi="仿宋" w:cs="仿宋"/>
          <w:color w:val="000000"/>
          <w:kern w:val="0"/>
          <w:sz w:val="24"/>
          <w:szCs w:val="24"/>
          <w:highlight w:val="none"/>
          <w:lang w:val="en-US" w:eastAsia="zh-CN" w:bidi="ar-SA"/>
        </w:rPr>
        <w:t>甲方</w:t>
      </w:r>
      <w:r>
        <w:rPr>
          <w:rFonts w:hint="eastAsia" w:ascii="仿宋" w:hAnsi="仿宋" w:eastAsia="仿宋" w:cs="仿宋"/>
          <w:color w:val="000000"/>
          <w:kern w:val="0"/>
          <w:sz w:val="24"/>
          <w:szCs w:val="24"/>
          <w:highlight w:val="none"/>
          <w:lang w:val="en-US" w:eastAsia="zh-CN" w:bidi="ar-SA"/>
        </w:rPr>
        <w:t>，</w:t>
      </w:r>
      <w:r>
        <w:rPr>
          <w:rFonts w:hint="eastAsia" w:ascii="仿宋" w:hAnsi="仿宋" w:cs="仿宋"/>
          <w:color w:val="000000"/>
          <w:kern w:val="0"/>
          <w:sz w:val="24"/>
          <w:szCs w:val="24"/>
          <w:highlight w:val="none"/>
          <w:lang w:val="en-US" w:eastAsia="zh-CN" w:bidi="ar-SA"/>
        </w:rPr>
        <w:t>乙方</w:t>
      </w:r>
      <w:r>
        <w:rPr>
          <w:rFonts w:hint="eastAsia" w:ascii="仿宋" w:hAnsi="仿宋" w:eastAsia="仿宋" w:cs="仿宋"/>
          <w:color w:val="000000"/>
          <w:kern w:val="0"/>
          <w:sz w:val="24"/>
          <w:szCs w:val="24"/>
          <w:highlight w:val="none"/>
          <w:lang w:val="en-US" w:eastAsia="zh-CN" w:bidi="ar-SA"/>
        </w:rPr>
        <w:t>迟延提供的，</w:t>
      </w:r>
      <w:r>
        <w:rPr>
          <w:rFonts w:hint="eastAsia" w:ascii="仿宋" w:hAnsi="仿宋" w:cs="仿宋"/>
          <w:color w:val="000000"/>
          <w:kern w:val="0"/>
          <w:sz w:val="24"/>
          <w:szCs w:val="24"/>
          <w:highlight w:val="none"/>
          <w:lang w:val="en-US" w:eastAsia="zh-CN" w:bidi="ar-SA"/>
        </w:rPr>
        <w:t>甲方</w:t>
      </w:r>
      <w:r>
        <w:rPr>
          <w:rFonts w:hint="eastAsia" w:ascii="仿宋" w:hAnsi="仿宋" w:eastAsia="仿宋" w:cs="仿宋"/>
          <w:color w:val="000000"/>
          <w:kern w:val="0"/>
          <w:sz w:val="24"/>
          <w:szCs w:val="24"/>
          <w:highlight w:val="none"/>
          <w:lang w:val="en-US" w:eastAsia="zh-CN" w:bidi="ar-SA"/>
        </w:rPr>
        <w:t>有权相应顺延付款时间且不视为违约。乙方每期开具的物业管理服务费发票金额应扣除前期的考核扣、罚的相关金额。如乙方提供服务不足一个月的，以每月服务费除以该月天数后按日计算物业管理服务费。</w:t>
      </w:r>
      <w:r>
        <w:rPr>
          <w:rFonts w:hint="eastAsia" w:ascii="仿宋" w:hAnsi="仿宋" w:cs="仿宋"/>
          <w:color w:val="000000"/>
          <w:kern w:val="0"/>
          <w:sz w:val="24"/>
          <w:szCs w:val="24"/>
          <w:highlight w:val="none"/>
          <w:lang w:val="en-US" w:eastAsia="zh-CN" w:bidi="ar-SA"/>
        </w:rPr>
        <w:t>甲方</w:t>
      </w:r>
      <w:r>
        <w:rPr>
          <w:rFonts w:hint="eastAsia" w:ascii="仿宋" w:hAnsi="仿宋" w:eastAsia="仿宋" w:cs="仿宋"/>
          <w:color w:val="000000"/>
          <w:kern w:val="0"/>
          <w:sz w:val="24"/>
          <w:szCs w:val="24"/>
          <w:highlight w:val="none"/>
          <w:lang w:val="en-US" w:eastAsia="zh-CN" w:bidi="ar-SA"/>
        </w:rPr>
        <w:t>自收到发票后10个工作日内将物业管理费用以银行转账方式支付给</w:t>
      </w:r>
      <w:r>
        <w:rPr>
          <w:rFonts w:hint="eastAsia" w:ascii="仿宋" w:hAnsi="仿宋" w:cs="仿宋"/>
          <w:color w:val="000000"/>
          <w:kern w:val="0"/>
          <w:sz w:val="24"/>
          <w:szCs w:val="24"/>
          <w:highlight w:val="none"/>
          <w:lang w:val="en-US" w:eastAsia="zh-CN" w:bidi="ar-SA"/>
        </w:rPr>
        <w:t>乙方</w:t>
      </w:r>
      <w:r>
        <w:rPr>
          <w:rFonts w:hint="eastAsia" w:ascii="仿宋" w:hAnsi="仿宋" w:eastAsia="仿宋" w:cs="仿宋"/>
          <w:color w:val="000000"/>
          <w:kern w:val="0"/>
          <w:sz w:val="24"/>
          <w:szCs w:val="24"/>
          <w:highlight w:val="none"/>
          <w:lang w:val="en-US" w:eastAsia="zh-CN" w:bidi="ar-SA"/>
        </w:rPr>
        <w:t>。若发生不属于本合同约定服务范围内的项目而</w:t>
      </w:r>
      <w:r>
        <w:rPr>
          <w:rFonts w:hint="eastAsia" w:ascii="仿宋" w:hAnsi="仿宋" w:cs="仿宋"/>
          <w:color w:val="000000"/>
          <w:kern w:val="0"/>
          <w:sz w:val="24"/>
          <w:szCs w:val="24"/>
          <w:highlight w:val="none"/>
          <w:lang w:val="en-US" w:eastAsia="zh-CN" w:bidi="ar-SA"/>
        </w:rPr>
        <w:t>甲方</w:t>
      </w:r>
      <w:r>
        <w:rPr>
          <w:rFonts w:hint="eastAsia" w:ascii="仿宋" w:hAnsi="仿宋" w:eastAsia="仿宋" w:cs="仿宋"/>
          <w:color w:val="000000"/>
          <w:kern w:val="0"/>
          <w:sz w:val="24"/>
          <w:szCs w:val="24"/>
          <w:highlight w:val="none"/>
          <w:lang w:val="en-US" w:eastAsia="zh-CN" w:bidi="ar-SA"/>
        </w:rPr>
        <w:t>要求服务的，其发生的费用由双方协商后另行支付。</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以</w:t>
      </w:r>
      <w:r>
        <w:rPr>
          <w:rFonts w:hint="eastAsia" w:ascii="仿宋" w:hAnsi="仿宋" w:eastAsia="仿宋" w:cs="仿宋"/>
          <w:color w:val="000000"/>
          <w:kern w:val="0"/>
          <w:sz w:val="24"/>
          <w:szCs w:val="24"/>
          <w:highlight w:val="none"/>
          <w:lang w:val="en-US" w:eastAsia="zh-CN" w:bidi="ar-SA"/>
        </w:rPr>
        <w:t>上付款以转账方式进行支付，乙方指定的收款银行账号如下：</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开户名：</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开户行：</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账号：</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第十一条经营制约</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未经甲方同意，乙方无权在服务区域中从事任何广告活动或类似宣传。乙方违约的，甲方有权依照广告法和甲方相关的规定对乙方计收违约金，违约金为因乙方违约从事广告活动或类似宣传导致的实际损失的130%。甲方在该区域发布的广告宣传在不致影响乙方正常工作的情况下，乙方应予以配合。</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乙方不得以甲方的名义从事任何经济活动，且由此发生的一切债权、债务与甲方无关，且甲方有权以此追究乙方违约责任。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第十二条考评办法</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具体考核内容、奖励和处罚及相关表格详见本项目《招标文件》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第十三条违约责任与赔偿损失</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1.乙方提供的服务不符合本合同规定的，甲方有权拒收并要求乙方限期改正直至符合要求，并且要求乙方支付本合同总价5%的违约金。</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乙方未能依约按时提供服务的，从逾期之日起每日按本合同总价3‰的数额向甲方支付违约金，逾期半个月以上的，甲方有权单方面解除合同，乙方应按合同总价20%的数额向甲方支付违约金，由此造成的一切经济损失，由乙方承担。</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3.本合同履约过程中乙方所须承担的违约金和赔偿金，甲方有权在未付款项中先行扣除。</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甲方自收到发票后10个工作日内将资金支付到合同约定的乙方账户，不得将采购文件和合同中未规定的义务作为向乙方付款的条件，甲方逾期付款，则每日按应付未付款的万分之五向乙方偿付违约金，累计违约金总额不超过应付未付款金额的百分之五。</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5.其它违约责任按《中华人民共和国民法典》处理。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第十四条不可抗力</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任何一方由于不可抗力原因不能履行合同时，应在不可抗力事件结束后十五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第十五条保密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甲乙双方在订立合同、合同履约过程中，知悉的商业秘密或者其他应当保密的信息，不得泄露或者不正当地使用。任何一方如果发现应当保密的信息已经泄露，应当立刻通知另一方，并采取合理有效措施阻止泄露范围进一步扩大。泄露、不正当地使用该商业秘密或者信息，造成对方损失的，应当承担赔偿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第十六条合同生效和终止</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1.本合同经甲乙双方法定代表人或其委托人签字、单位盖章后生效。</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2.终止</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outlineLvl w:val="1"/>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2.1提前终止</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2.1.1甲方不得在服务期内无正当合法理由终止合同。否则乙方有权向甲方主管部门或财政监管部门报告，按规定处理。对于因甲方原因导致变更、中止或者终止政府采购合同的，甲方依照损失等价补偿的原则对乙方受到的损失予以赔偿或者补偿。</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2.1.2因乙方在服务期内2次及以上物业服务综合考核未达标，甲方可以单方面终止合同，并追究相关违约责任。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2.1.3如甲方发现乙方出现转租、转让、抵押、违法转包、违法分包等情况，甲方可以单方面终止合同，并按合同约定处理相关事宜。</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2.1.4如果乙方在服务期内无正当合法理由终止合同，甲方将追究乙方违约责任，乙方应赔偿甲方的损失，并上报财政监管部门列入黑名单处理。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2.1.5如果乙方在服务期内由于乙方原因造成重大责任事故或安全事故，甲方可以单方面终止合同，且乙方须赔偿给甲方造成的经济损失，并将相关情况上报监管部门处理。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2.1.6乙方未能履行合同和遵守有关规定，在甲方或财政监管部门发出书面警告后一周内乙方仍无采取补救措施或者补救无果的，甲方可立即终止合同，并按上述2.1.2条处理。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2.1.7乙方出现破产清算、重组及兼并等情况，或被债权人接管经营时，甲方不必通知乙方即可终止合同。</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outlineLvl w:val="1"/>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2.2协议终止</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经双方协商同意，可在任何时候终止协议，但相关协商记录及情况必须上报财政监管部门备案。</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outlineLvl w:val="1"/>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2.3自然终止</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合同规定的服务期满，合同自然终止。</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3.合同终止执行办法</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终止合同不影响根据合同规定进行的赔偿、补偿。合同终止时，双方应进行结算，甲方同时进行乙方服务区域设施、设备状况检查并要求乙方三天内将乙方物品撤离服务区域，否则甲方将代为处理，乙方支付甲方相关代为处理费，费用标准双方提前协商约定或按市场价格计算。</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4.不放弃权利</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甲方接受乙方的服务，但不放弃对乙方违约行为进行追究的权利；同时，若甲方对乙方某一违约行为放弃进行追究的权利，不代表甲方放弃对乙方其他违约行为进行追究的权利。</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第十七条争议的解决</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因本合同引起的争议，甲乙双方应首先通过友好协商解决，如果协商或调解不能解决争议，则任何一方可向甲方所在地人民法院提起诉讼。</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2" w:firstLineChars="200"/>
        <w:jc w:val="left"/>
        <w:textAlignment w:val="auto"/>
        <w:outlineLvl w:val="0"/>
        <w:rPr>
          <w:rFonts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第十八条其他约定事项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1.本合同所有附件、招标文件、投标文件、中标通知书均为合同的有效组成部分，与本合同具有同等法律效力。</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2.在执行本合同的过程中，所有经双方签署确认的文件（包括会议纪要、补充协议、往来信函）即成为本合同的有效组成部分。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3.如一方地址、电话、传真号码有变更，应在变更当日内书面通知对方，否则应承担相应责任。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4.本合同一式肆份，双方各执贰份，由甲乙双方签字盖章后生效，具有同等法律效力。</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firstLine="480" w:firstLineChars="200"/>
        <w:jc w:val="left"/>
        <w:textAlignment w:val="auto"/>
        <w:rPr>
          <w:rFonts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5.合同内容如遇国家法律、法规及政策另有规定的，从其规定。</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right="120" w:firstLine="480" w:firstLineChars="20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甲方(盖章)：</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right="120" w:firstLine="480" w:firstLineChars="20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甲方代表：</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80" w:lineRule="exact"/>
        <w:ind w:right="120" w:firstLine="480" w:firstLineChars="20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联系电话：</w:t>
      </w:r>
    </w:p>
    <w:p>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合同签订日期：</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日</w:t>
      </w:r>
    </w:p>
    <w:p>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仿宋_GB2312" w:hAnsi="仿宋_GB2312" w:eastAsia="仿宋_GB2312" w:cs="仿宋_GB2312"/>
          <w:sz w:val="24"/>
          <w:szCs w:val="24"/>
          <w:highlight w:val="none"/>
          <w:lang w:eastAsia="zh-CN"/>
        </w:rPr>
      </w:pPr>
    </w:p>
    <w:p>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乙方(盖章)：</w:t>
      </w:r>
    </w:p>
    <w:p>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乙方代表：</w:t>
      </w:r>
    </w:p>
    <w:p>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联系电话：</w:t>
      </w:r>
    </w:p>
    <w:p>
      <w:pPr>
        <w:spacing w:line="58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eastAsia="zh-CN"/>
        </w:rPr>
        <w:t>合同签订日期：</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日</w:t>
      </w:r>
    </w:p>
    <w:p>
      <w:pPr>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rPr>
          <w:rFonts w:hint="eastAsia" w:ascii="宋体" w:hAnsi="宋体" w:eastAsia="宋体" w:cs="宋体"/>
          <w:color w:val="auto"/>
          <w:highlight w:val="none"/>
        </w:rPr>
      </w:pPr>
      <w:bookmarkStart w:id="129" w:name="_Toc5995"/>
      <w:r>
        <w:rPr>
          <w:rFonts w:hint="eastAsia" w:ascii="宋体" w:hAnsi="宋体" w:eastAsia="宋体" w:cs="宋体"/>
          <w:color w:val="auto"/>
          <w:highlight w:val="none"/>
        </w:rPr>
        <w:t>第五部分 投标文件内容及格式</w:t>
      </w:r>
      <w:bookmarkEnd w:id="121"/>
      <w:bookmarkEnd w:id="122"/>
      <w:bookmarkEnd w:id="129"/>
    </w:p>
    <w:p>
      <w:pPr>
        <w:pStyle w:val="6"/>
        <w:rPr>
          <w:rFonts w:hint="eastAsia" w:ascii="宋体" w:hAnsi="宋体" w:eastAsia="宋体" w:cs="宋体"/>
          <w:color w:val="auto"/>
          <w:sz w:val="24"/>
          <w:szCs w:val="24"/>
          <w:highlight w:val="none"/>
        </w:rPr>
      </w:pPr>
      <w:bookmarkStart w:id="130" w:name="sys_投标文件内容及格式：Block"/>
      <w:bookmarkEnd w:id="130"/>
      <w:bookmarkStart w:id="131" w:name="投标文件内容及格式：Block"/>
      <w:bookmarkEnd w:id="131"/>
      <w:bookmarkStart w:id="132" w:name="_Toc30528_WPSOffice_Level1"/>
      <w:bookmarkStart w:id="133" w:name="_Toc96523894"/>
      <w:r>
        <w:rPr>
          <w:rFonts w:hint="eastAsia" w:ascii="宋体" w:hAnsi="宋体" w:eastAsia="宋体" w:cs="宋体"/>
          <w:color w:val="auto"/>
          <w:sz w:val="24"/>
          <w:szCs w:val="24"/>
          <w:highlight w:val="none"/>
        </w:rPr>
        <w:t>格式1.投标文件包装信封或外包装格式参考</w:t>
      </w:r>
      <w:bookmarkEnd w:id="132"/>
      <w:bookmarkEnd w:id="133"/>
    </w:p>
    <w:tbl>
      <w:tblPr>
        <w:tblStyle w:val="33"/>
        <w:tblpPr w:leftFromText="180" w:rightFromText="180" w:vertAnchor="text" w:horzAnchor="margin" w:tblpY="1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4" w:hRule="atLeast"/>
        </w:trPr>
        <w:tc>
          <w:tcPr>
            <w:tcW w:w="5000" w:type="pct"/>
          </w:tcPr>
          <w:p>
            <w:pPr>
              <w:pStyle w:val="2"/>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项目编号：（项目编号）    </w:t>
            </w:r>
          </w:p>
          <w:p>
            <w:pPr>
              <w:pStyle w:val="2"/>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项目名称：（项目名称） </w:t>
            </w:r>
          </w:p>
          <w:p>
            <w:pPr>
              <w:pStyle w:val="2"/>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所投包号：第  包（如有）  </w:t>
            </w:r>
          </w:p>
          <w:p>
            <w:pPr>
              <w:pStyle w:val="2"/>
              <w:spacing w:line="400" w:lineRule="exact"/>
              <w:ind w:firstLine="900" w:firstLineChars="320"/>
              <w:rPr>
                <w:rFonts w:hint="eastAsia" w:ascii="宋体" w:hAnsi="宋体" w:eastAsia="宋体" w:cs="宋体"/>
                <w:b/>
                <w:bCs/>
                <w:color w:val="auto"/>
                <w:sz w:val="28"/>
                <w:szCs w:val="28"/>
                <w:highlight w:val="none"/>
                <w:u w:val="single"/>
              </w:rPr>
            </w:pPr>
          </w:p>
          <w:p>
            <w:pPr>
              <w:pStyle w:val="2"/>
              <w:rPr>
                <w:rFonts w:hint="eastAsia" w:ascii="宋体" w:hAnsi="宋体" w:eastAsia="宋体" w:cs="宋体"/>
                <w:b/>
                <w:color w:val="auto"/>
                <w:sz w:val="32"/>
                <w:highlight w:val="none"/>
              </w:rPr>
            </w:pPr>
          </w:p>
          <w:p>
            <w:pPr>
              <w:pStyle w:val="2"/>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pPr>
              <w:pStyle w:val="2"/>
              <w:ind w:firstLine="3398" w:firstLineChars="651"/>
              <w:rPr>
                <w:rFonts w:hint="eastAsia" w:ascii="宋体" w:hAnsi="宋体" w:eastAsia="宋体" w:cs="宋体"/>
                <w:b/>
                <w:color w:val="auto"/>
                <w:sz w:val="32"/>
                <w:highlight w:val="none"/>
              </w:rPr>
            </w:pPr>
            <w:r>
              <w:rPr>
                <w:rFonts w:hint="eastAsia" w:ascii="宋体" w:hAnsi="宋体" w:eastAsia="宋体" w:cs="宋体"/>
                <w:b/>
                <w:color w:val="auto"/>
                <w:sz w:val="52"/>
                <w:szCs w:val="52"/>
                <w:highlight w:val="none"/>
              </w:rPr>
              <w:t xml:space="preserve">口 </w:t>
            </w:r>
            <w:r>
              <w:rPr>
                <w:rFonts w:hint="eastAsia" w:ascii="宋体" w:hAnsi="宋体" w:eastAsia="宋体" w:cs="宋体"/>
                <w:b/>
                <w:color w:val="auto"/>
                <w:sz w:val="32"/>
                <w:highlight w:val="none"/>
              </w:rPr>
              <w:t>正本</w:t>
            </w:r>
          </w:p>
          <w:p>
            <w:pPr>
              <w:pStyle w:val="2"/>
              <w:ind w:firstLine="3398" w:firstLineChars="651"/>
              <w:rPr>
                <w:rFonts w:hint="eastAsia" w:ascii="宋体" w:hAnsi="宋体" w:eastAsia="宋体" w:cs="宋体"/>
                <w:b/>
                <w:color w:val="auto"/>
                <w:sz w:val="32"/>
                <w:highlight w:val="none"/>
              </w:rPr>
            </w:pPr>
            <w:r>
              <w:rPr>
                <w:rFonts w:hint="eastAsia" w:ascii="宋体" w:hAnsi="宋体" w:eastAsia="宋体" w:cs="宋体"/>
                <w:b/>
                <w:color w:val="auto"/>
                <w:sz w:val="52"/>
                <w:szCs w:val="52"/>
                <w:highlight w:val="none"/>
              </w:rPr>
              <w:t xml:space="preserve">口 </w:t>
            </w:r>
            <w:r>
              <w:rPr>
                <w:rFonts w:hint="eastAsia" w:ascii="宋体" w:hAnsi="宋体" w:eastAsia="宋体" w:cs="宋体"/>
                <w:b/>
                <w:color w:val="auto"/>
                <w:sz w:val="32"/>
                <w:highlight w:val="none"/>
              </w:rPr>
              <w:t>副本</w:t>
            </w:r>
          </w:p>
          <w:p>
            <w:pPr>
              <w:pStyle w:val="2"/>
              <w:ind w:firstLine="3398" w:firstLineChars="651"/>
              <w:rPr>
                <w:rFonts w:hint="eastAsia" w:ascii="宋体" w:hAnsi="宋体" w:eastAsia="宋体" w:cs="宋体"/>
                <w:b/>
                <w:color w:val="auto"/>
                <w:sz w:val="32"/>
                <w:highlight w:val="none"/>
              </w:rPr>
            </w:pPr>
            <w:r>
              <w:rPr>
                <w:rFonts w:hint="eastAsia" w:ascii="宋体" w:hAnsi="宋体" w:eastAsia="宋体" w:cs="宋体"/>
                <w:b/>
                <w:color w:val="auto"/>
                <w:sz w:val="52"/>
                <w:szCs w:val="52"/>
                <w:highlight w:val="none"/>
              </w:rPr>
              <w:t xml:space="preserve">口 </w:t>
            </w:r>
            <w:r>
              <w:rPr>
                <w:rFonts w:hint="eastAsia" w:ascii="宋体" w:hAnsi="宋体" w:eastAsia="宋体" w:cs="宋体"/>
                <w:b/>
                <w:color w:val="auto"/>
                <w:sz w:val="32"/>
                <w:highlight w:val="none"/>
              </w:rPr>
              <w:t>保证金信封</w:t>
            </w:r>
          </w:p>
          <w:p>
            <w:pPr>
              <w:pStyle w:val="2"/>
              <w:spacing w:line="400" w:lineRule="exact"/>
              <w:rPr>
                <w:rFonts w:hint="eastAsia" w:ascii="宋体" w:hAnsi="宋体" w:eastAsia="宋体" w:cs="宋体"/>
                <w:b/>
                <w:color w:val="auto"/>
                <w:sz w:val="28"/>
                <w:szCs w:val="28"/>
                <w:highlight w:val="none"/>
              </w:rPr>
            </w:pPr>
          </w:p>
          <w:p>
            <w:pPr>
              <w:pStyle w:val="2"/>
              <w:spacing w:line="400" w:lineRule="exact"/>
              <w:rPr>
                <w:rFonts w:hint="eastAsia" w:ascii="宋体" w:hAnsi="宋体" w:eastAsia="宋体" w:cs="宋体"/>
                <w:b/>
                <w:color w:val="auto"/>
                <w:sz w:val="28"/>
                <w:szCs w:val="28"/>
                <w:highlight w:val="none"/>
              </w:rPr>
            </w:pPr>
          </w:p>
          <w:p>
            <w:pPr>
              <w:pStyle w:val="2"/>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投标人名称：（盖单位章）</w:t>
            </w:r>
          </w:p>
          <w:p>
            <w:pPr>
              <w:pStyle w:val="2"/>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投标人地址：</w:t>
            </w:r>
          </w:p>
          <w:p>
            <w:pPr>
              <w:tabs>
                <w:tab w:val="left" w:pos="720"/>
              </w:tabs>
              <w:snapToGrid w:val="0"/>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收件人名称：（采购代理机构名称）</w:t>
            </w:r>
          </w:p>
          <w:p>
            <w:pPr>
              <w:tabs>
                <w:tab w:val="left" w:pos="720"/>
              </w:tabs>
              <w:snapToGrid w:val="0"/>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（在规定的投标截止时间之前不得启封）</w:t>
            </w:r>
          </w:p>
        </w:tc>
      </w:tr>
    </w:tbl>
    <w:p>
      <w:pPr>
        <w:pStyle w:val="10"/>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sz w:val="24"/>
          <w:szCs w:val="32"/>
          <w:highlight w:val="none"/>
        </w:rPr>
        <w:t>封口格式：</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——于   年  月  日   时之前不准启封（公章）——</w:t>
            </w:r>
          </w:p>
        </w:tc>
      </w:tr>
    </w:tbl>
    <w:p>
      <w:pPr>
        <w:rPr>
          <w:rFonts w:hint="eastAsia" w:ascii="宋体" w:hAnsi="宋体" w:eastAsia="宋体" w:cs="宋体"/>
          <w:color w:val="auto"/>
          <w:highlight w:val="none"/>
        </w:rPr>
      </w:pPr>
    </w:p>
    <w:p>
      <w:pPr>
        <w:pStyle w:val="6"/>
        <w:rPr>
          <w:rFonts w:hint="eastAsia" w:ascii="宋体" w:hAnsi="宋体" w:eastAsia="宋体" w:cs="宋体"/>
          <w:color w:val="auto"/>
          <w:sz w:val="24"/>
          <w:szCs w:val="24"/>
          <w:highlight w:val="none"/>
        </w:rPr>
      </w:pPr>
      <w:bookmarkStart w:id="134" w:name="_Toc4984_WPSOffice_Level1"/>
      <w:bookmarkStart w:id="135" w:name="_Toc96523895"/>
      <w:r>
        <w:rPr>
          <w:rFonts w:hint="eastAsia" w:ascii="宋体" w:hAnsi="宋体" w:eastAsia="宋体" w:cs="宋体"/>
          <w:color w:val="auto"/>
          <w:sz w:val="24"/>
          <w:szCs w:val="24"/>
          <w:highlight w:val="none"/>
        </w:rPr>
        <w:t>格式2.投标文件封面格式参考</w:t>
      </w:r>
      <w:bookmarkEnd w:id="134"/>
      <w:bookmarkEnd w:id="135"/>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r>
        <w:rPr>
          <w:rFonts w:ascii="宋体" w:hAnsi="宋体" w:eastAsia="宋体" w:cs="宋体"/>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1430" b="1651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XXs+2QAAAAoBAAAPAAAAAAAA&#10;AAEAIAAAACIAAABkcnMvZG93bnJldi54bWxQSwECFAAUAAAACACHTuJA6Ns0ShECAABEBAAADgAA&#10;AAAAAAABACAAAAAoAQAAZHJzL2Uyb0RvYy54bWxQSwUGAAAAAAYABgBZAQAAqwUAAAAA&#10;">
                <v:fill on="t" focussize="0,0"/>
                <v:stroke color="#000000" joinstyle="miter"/>
                <v:imagedata o:title=""/>
                <o:lock v:ext="edit" aspectratio="f"/>
                <v:textbox>
                  <w:txbxContent>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宋体" w:hAnsi="宋体" w:eastAsia="宋体" w:cs="宋体"/>
          <w:b/>
          <w:bCs/>
          <w:color w:val="auto"/>
          <w:sz w:val="32"/>
          <w:szCs w:val="32"/>
          <w:highlight w:val="none"/>
        </w:rPr>
        <w:t>投标文件的封皮</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b/>
          <w:bCs/>
          <w:color w:val="auto"/>
          <w:sz w:val="72"/>
          <w:szCs w:val="52"/>
          <w:highlight w:val="none"/>
        </w:rPr>
      </w:pPr>
      <w:bookmarkStart w:id="136" w:name="_Toc32737_WPSOffice_Level1"/>
      <w:r>
        <w:rPr>
          <w:rFonts w:hint="eastAsia" w:ascii="宋体" w:hAnsi="宋体" w:eastAsia="宋体" w:cs="宋体"/>
          <w:b/>
          <w:bCs/>
          <w:color w:val="auto"/>
          <w:sz w:val="72"/>
          <w:szCs w:val="52"/>
          <w:highlight w:val="none"/>
        </w:rPr>
        <w:t>投  标  文  件</w:t>
      </w:r>
      <w:bookmarkEnd w:id="136"/>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bookmarkStart w:id="137" w:name="_Toc1508_WPSOffice_Level1"/>
      <w:r>
        <w:rPr>
          <w:rFonts w:hint="eastAsia" w:ascii="宋体" w:hAnsi="宋体" w:eastAsia="宋体" w:cs="宋体"/>
          <w:color w:val="auto"/>
          <w:sz w:val="28"/>
          <w:szCs w:val="28"/>
          <w:highlight w:val="none"/>
        </w:rPr>
        <w:t>所投包号：第  包</w:t>
      </w:r>
      <w:bookmarkEnd w:id="137"/>
    </w:p>
    <w:p>
      <w:pPr>
        <w:rPr>
          <w:rFonts w:hint="eastAsia" w:ascii="宋体" w:hAnsi="宋体" w:eastAsia="宋体" w:cs="宋体"/>
          <w:color w:val="auto"/>
          <w:sz w:val="28"/>
          <w:szCs w:val="28"/>
          <w:highlight w:val="none"/>
        </w:rPr>
      </w:pPr>
      <w:bookmarkStart w:id="138" w:name="_Toc9940_WPSOffice_Level1"/>
      <w:r>
        <w:rPr>
          <w:rFonts w:hint="eastAsia" w:ascii="宋体" w:hAnsi="宋体" w:eastAsia="宋体" w:cs="宋体"/>
          <w:color w:val="auto"/>
          <w:sz w:val="28"/>
          <w:szCs w:val="28"/>
          <w:highlight w:val="none"/>
        </w:rPr>
        <w:t>项目名称：（项目名称）</w:t>
      </w:r>
      <w:bookmarkEnd w:id="138"/>
    </w:p>
    <w:p>
      <w:pPr>
        <w:rPr>
          <w:rFonts w:hint="eastAsia" w:ascii="宋体" w:hAnsi="宋体" w:eastAsia="宋体" w:cs="宋体"/>
          <w:color w:val="auto"/>
          <w:sz w:val="28"/>
          <w:szCs w:val="28"/>
          <w:highlight w:val="none"/>
        </w:rPr>
      </w:pPr>
      <w:bookmarkStart w:id="139" w:name="_Toc11532_WPSOffice_Level1"/>
      <w:r>
        <w:rPr>
          <w:rFonts w:hint="eastAsia" w:ascii="宋体" w:hAnsi="宋体" w:eastAsia="宋体" w:cs="宋体"/>
          <w:color w:val="auto"/>
          <w:sz w:val="28"/>
          <w:szCs w:val="28"/>
          <w:highlight w:val="none"/>
        </w:rPr>
        <w:t>项目编号：（项目编号）</w:t>
      </w:r>
      <w:bookmarkEnd w:id="139"/>
    </w:p>
    <w:p>
      <w:pPr>
        <w:rPr>
          <w:rFonts w:hint="eastAsia" w:ascii="宋体" w:hAnsi="宋体" w:eastAsia="宋体" w:cs="宋体"/>
          <w:color w:val="auto"/>
          <w:sz w:val="28"/>
          <w:szCs w:val="28"/>
          <w:highlight w:val="none"/>
        </w:rPr>
      </w:pPr>
      <w:bookmarkStart w:id="140" w:name="_Toc6521_WPSOffice_Level1"/>
      <w:r>
        <w:rPr>
          <w:rFonts w:hint="eastAsia" w:ascii="宋体" w:hAnsi="宋体" w:eastAsia="宋体" w:cs="宋体"/>
          <w:color w:val="auto"/>
          <w:sz w:val="28"/>
          <w:szCs w:val="28"/>
          <w:highlight w:val="none"/>
        </w:rPr>
        <w:t>投标人名称：（盖单位章）</w:t>
      </w:r>
      <w:bookmarkEnd w:id="140"/>
    </w:p>
    <w:p>
      <w:pPr>
        <w:rPr>
          <w:rFonts w:hint="eastAsia" w:ascii="宋体" w:hAnsi="宋体" w:eastAsia="宋体" w:cs="宋体"/>
          <w:color w:val="auto"/>
          <w:sz w:val="24"/>
          <w:highlight w:val="none"/>
        </w:rPr>
      </w:pPr>
      <w:bookmarkStart w:id="141" w:name="_Toc26721_WPSOffice_Level1"/>
      <w:r>
        <w:rPr>
          <w:rFonts w:hint="eastAsia" w:ascii="宋体" w:hAnsi="宋体" w:eastAsia="宋体" w:cs="宋体"/>
          <w:color w:val="auto"/>
          <w:sz w:val="28"/>
          <w:szCs w:val="28"/>
          <w:highlight w:val="none"/>
        </w:rPr>
        <w:t>投标人地址：</w:t>
      </w: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4"/>
          <w:highlight w:val="none"/>
        </w:rPr>
        <w:t>格式3.目录（参考）</w:t>
      </w:r>
      <w:bookmarkEnd w:id="141"/>
    </w:p>
    <w:p>
      <w:pPr>
        <w:jc w:val="center"/>
        <w:rPr>
          <w:rFonts w:hint="eastAsia" w:ascii="宋体" w:hAnsi="宋体" w:eastAsia="宋体" w:cs="宋体"/>
          <w:b/>
          <w:bCs/>
          <w:color w:val="auto"/>
          <w:sz w:val="32"/>
          <w:szCs w:val="32"/>
          <w:highlight w:val="none"/>
        </w:rPr>
      </w:pPr>
      <w:bookmarkStart w:id="142" w:name="_Toc19148_WPSOffice_Level1"/>
      <w:bookmarkStart w:id="143" w:name="_Toc21414_WPSOffice_Level2"/>
      <w:bookmarkStart w:id="144" w:name="_Toc2304_WPSOffice_Level2"/>
      <w:r>
        <w:rPr>
          <w:rFonts w:hint="eastAsia" w:ascii="宋体" w:hAnsi="宋体" w:eastAsia="宋体" w:cs="宋体"/>
          <w:b/>
          <w:bCs/>
          <w:color w:val="auto"/>
          <w:sz w:val="32"/>
          <w:szCs w:val="32"/>
          <w:highlight w:val="none"/>
        </w:rPr>
        <w:t>目  录</w:t>
      </w:r>
      <w:bookmarkEnd w:id="142"/>
      <w:bookmarkEnd w:id="143"/>
      <w:bookmarkEnd w:id="144"/>
    </w:p>
    <w:tbl>
      <w:tblPr>
        <w:tblStyle w:val="33"/>
        <w:tblW w:w="8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2"/>
        <w:gridCol w:w="618"/>
        <w:gridCol w:w="4579"/>
        <w:gridCol w:w="746"/>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32"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类型名称</w:t>
            </w:r>
          </w:p>
        </w:tc>
        <w:tc>
          <w:tcPr>
            <w:tcW w:w="61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4579" w:type="dxa"/>
            <w:vAlign w:val="center"/>
          </w:tcPr>
          <w:p>
            <w:pPr>
              <w:widowControl/>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文件名称</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页码</w:t>
            </w: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32" w:type="dxa"/>
            <w:vMerge w:val="restart"/>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索引</w:t>
            </w:r>
          </w:p>
        </w:tc>
        <w:tc>
          <w:tcPr>
            <w:tcW w:w="618" w:type="dxa"/>
            <w:tcBorders>
              <w:left w:val="single" w:color="auto" w:sz="4" w:space="0"/>
            </w:tcBorders>
            <w:vAlign w:val="center"/>
          </w:tcPr>
          <w:p>
            <w:pPr>
              <w:widowControl/>
              <w:numPr>
                <w:ilvl w:val="0"/>
                <w:numId w:val="14"/>
              </w:numPr>
              <w:spacing w:line="300" w:lineRule="exact"/>
              <w:jc w:val="center"/>
              <w:rPr>
                <w:rFonts w:hint="eastAsia" w:ascii="宋体" w:hAnsi="宋体" w:eastAsia="宋体" w:cs="宋体"/>
                <w:b/>
                <w:bCs/>
                <w:color w:val="auto"/>
                <w:szCs w:val="21"/>
                <w:highlight w:val="none"/>
              </w:rPr>
            </w:pPr>
          </w:p>
        </w:tc>
        <w:tc>
          <w:tcPr>
            <w:tcW w:w="4579" w:type="dxa"/>
            <w:vAlign w:val="center"/>
          </w:tcPr>
          <w:p>
            <w:pPr>
              <w:widowControl/>
              <w:spacing w:line="3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资格、符合性审查自查表</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4"/>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评审要素投标资料索引表</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restart"/>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资格审查文件</w:t>
            </w:r>
          </w:p>
        </w:tc>
        <w:tc>
          <w:tcPr>
            <w:tcW w:w="618" w:type="dxa"/>
            <w:tcBorders>
              <w:left w:val="single" w:color="auto" w:sz="4" w:space="0"/>
            </w:tcBorders>
            <w:vAlign w:val="center"/>
          </w:tcPr>
          <w:p>
            <w:pPr>
              <w:widowControl/>
              <w:numPr>
                <w:ilvl w:val="0"/>
                <w:numId w:val="15"/>
              </w:numPr>
              <w:spacing w:line="300" w:lineRule="exact"/>
              <w:jc w:val="center"/>
              <w:rPr>
                <w:rFonts w:hint="eastAsia" w:ascii="宋体" w:hAnsi="宋体" w:eastAsia="宋体" w:cs="宋体"/>
                <w:b/>
                <w:bCs/>
                <w:color w:val="auto"/>
                <w:highlight w:val="none"/>
              </w:rPr>
            </w:pPr>
          </w:p>
        </w:tc>
        <w:tc>
          <w:tcPr>
            <w:tcW w:w="4579" w:type="dxa"/>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供应商具备《政府采购法》第二十二条所规定的条件：</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1.1</w:t>
            </w:r>
          </w:p>
        </w:tc>
        <w:tc>
          <w:tcPr>
            <w:tcW w:w="4579" w:type="dxa"/>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w:t>
            </w:r>
            <w:r>
              <w:rPr>
                <w:rFonts w:hint="eastAsia" w:ascii="宋体" w:hAnsi="宋体" w:eastAsia="宋体" w:cs="宋体"/>
                <w:b/>
                <w:bCs/>
                <w:color w:val="auto"/>
                <w:highlight w:val="none"/>
              </w:rPr>
              <w:t>按规定格式盖章签署，否则将导致不能通过资格审查</w:t>
            </w:r>
            <w:r>
              <w:rPr>
                <w:rFonts w:hint="eastAsia" w:ascii="宋体" w:hAnsi="宋体" w:eastAsia="宋体" w:cs="宋体"/>
                <w:b/>
                <w:color w:val="auto"/>
                <w:szCs w:val="21"/>
                <w:highlight w:val="none"/>
              </w:rPr>
              <w:t>）</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附件1</w:t>
            </w:r>
          </w:p>
        </w:tc>
        <w:tc>
          <w:tcPr>
            <w:tcW w:w="4579" w:type="dxa"/>
          </w:tcPr>
          <w:p>
            <w:pPr>
              <w:tabs>
                <w:tab w:val="left" w:pos="709"/>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提供最新的投标人营业执照（或事业单位法人证书，或社会团体法人登记证书，或执业许可证）副本复印件；如投标人为自然人的需提供自然人身份证明。</w:t>
            </w:r>
          </w:p>
          <w:p>
            <w:pPr>
              <w:tabs>
                <w:tab w:val="left" w:pos="709"/>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若以不具有独立承担民事责任能力的分支机构投标，须取得具有法人资格的总公司的授权书，并提供总公司营业执照副本复印件；</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5"/>
              </w:numPr>
              <w:spacing w:line="300" w:lineRule="exact"/>
              <w:jc w:val="center"/>
              <w:rPr>
                <w:rFonts w:hint="eastAsia" w:ascii="宋体" w:hAnsi="宋体" w:eastAsia="宋体" w:cs="宋体"/>
                <w:b/>
                <w:bCs/>
                <w:color w:val="auto"/>
                <w:highlight w:val="none"/>
              </w:rPr>
            </w:pPr>
          </w:p>
        </w:tc>
        <w:tc>
          <w:tcPr>
            <w:tcW w:w="4579" w:type="dxa"/>
          </w:tcPr>
          <w:p>
            <w:pPr>
              <w:tabs>
                <w:tab w:val="left" w:pos="709"/>
              </w:tabs>
              <w:spacing w:line="440" w:lineRule="exact"/>
              <w:rPr>
                <w:rFonts w:hint="eastAsia" w:ascii="宋体" w:hAnsi="宋体" w:eastAsia="宋体" w:cs="宋体"/>
                <w:color w:val="auto"/>
                <w:highlight w:val="none"/>
              </w:rPr>
            </w:pPr>
            <w:r>
              <w:rPr>
                <w:rFonts w:hint="eastAsia" w:ascii="宋体" w:hAnsi="宋体" w:eastAsia="宋体" w:cs="宋体"/>
                <w:b/>
                <w:color w:val="auto"/>
                <w:szCs w:val="21"/>
                <w:highlight w:val="none"/>
              </w:rPr>
              <w:t>落实政府采购政策需满足的资格要求：</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5"/>
              </w:numPr>
              <w:spacing w:line="300" w:lineRule="exact"/>
              <w:jc w:val="center"/>
              <w:rPr>
                <w:rFonts w:hint="eastAsia" w:ascii="宋体" w:hAnsi="宋体" w:eastAsia="宋体" w:cs="宋体"/>
                <w:b/>
                <w:bCs/>
                <w:color w:val="auto"/>
                <w:highlight w:val="none"/>
              </w:rPr>
            </w:pPr>
          </w:p>
        </w:tc>
        <w:tc>
          <w:tcPr>
            <w:tcW w:w="4579" w:type="dxa"/>
            <w:vAlign w:val="center"/>
          </w:tcPr>
          <w:p>
            <w:pPr>
              <w:tabs>
                <w:tab w:val="left" w:pos="709"/>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（根据项目属性提出的特定要求）</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5"/>
              </w:numPr>
              <w:spacing w:line="300" w:lineRule="exact"/>
              <w:jc w:val="center"/>
              <w:rPr>
                <w:rFonts w:hint="eastAsia" w:ascii="宋体" w:hAnsi="宋体" w:eastAsia="宋体" w:cs="宋体"/>
                <w:b/>
                <w:bCs/>
                <w:color w:val="auto"/>
                <w:highlight w:val="none"/>
              </w:rPr>
            </w:pPr>
          </w:p>
        </w:tc>
        <w:tc>
          <w:tcPr>
            <w:tcW w:w="4579" w:type="dxa"/>
            <w:vAlign w:val="center"/>
          </w:tcPr>
          <w:p>
            <w:pPr>
              <w:tabs>
                <w:tab w:val="left" w:pos="709"/>
              </w:tabs>
              <w:rPr>
                <w:rFonts w:hint="eastAsia" w:ascii="宋体" w:hAnsi="宋体" w:eastAsia="宋体" w:cs="宋体"/>
                <w:color w:val="auto"/>
                <w:szCs w:val="21"/>
                <w:highlight w:val="none"/>
              </w:rPr>
            </w:pPr>
            <w:r>
              <w:rPr>
                <w:rFonts w:hint="eastAsia" w:ascii="宋体" w:hAnsi="宋体" w:eastAsia="宋体" w:cs="宋体"/>
                <w:b/>
                <w:bCs/>
                <w:color w:val="auto"/>
                <w:highlight w:val="none"/>
              </w:rPr>
              <w:t>投标人认为必要的其他文件。</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restart"/>
            <w:tcBorders>
              <w:right w:val="single" w:color="auto" w:sz="4" w:space="0"/>
            </w:tcBorders>
            <w:vAlign w:val="center"/>
          </w:tcPr>
          <w:p>
            <w:pPr>
              <w:widowControl/>
              <w:spacing w:line="240" w:lineRule="atLeas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投标函（按规定格式盖章签署，否则将导致投标无效）</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法定代表人证明书及法定代表人授权委托书（如适用）</w:t>
            </w:r>
          </w:p>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（按规定格式盖章签署，否则将导致投标无效）</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开标一览表</w:t>
            </w:r>
          </w:p>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（按规定格式盖章签署，否则将导致投标无效）</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政策适用性说明</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color w:val="auto"/>
                <w:szCs w:val="21"/>
                <w:highlight w:val="none"/>
              </w:rPr>
              <w:t>中小企业声明函（可选）</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szCs w:val="21"/>
                <w:highlight w:val="none"/>
              </w:rPr>
            </w:pPr>
          </w:p>
        </w:tc>
        <w:tc>
          <w:tcPr>
            <w:tcW w:w="4579" w:type="dxa"/>
            <w:vAlign w:val="center"/>
          </w:tcPr>
          <w:p>
            <w:pPr>
              <w:widowControl/>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残疾人福利性单位声明函（可选）</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szCs w:val="21"/>
                <w:highlight w:val="none"/>
              </w:rPr>
            </w:pPr>
          </w:p>
        </w:tc>
        <w:tc>
          <w:tcPr>
            <w:tcW w:w="4579" w:type="dxa"/>
            <w:vAlign w:val="center"/>
          </w:tcPr>
          <w:p>
            <w:pPr>
              <w:widowControl/>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监狱企业相关证明（可选）</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实质性响应条款一览表</w:t>
            </w:r>
          </w:p>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（按规定格式盖章签署，否则将导致投标无效）</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投标响应与招标文件差异一览表</w:t>
            </w:r>
          </w:p>
          <w:p>
            <w:pPr>
              <w:widowControl/>
              <w:spacing w:line="3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（按规定格式盖章签署，否则将导致投标无效）</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投标人基本情况表</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项目运营管理服务人员简历表</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配置的人员情况表/人员清单一览表</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类似项目业绩一览表</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投标保证金退还说明</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投标人认为必要的其他商务资料</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银行保函</w:t>
            </w:r>
            <w:r>
              <w:rPr>
                <w:rFonts w:hint="eastAsia" w:ascii="宋体" w:hAnsi="宋体" w:eastAsia="宋体" w:cs="宋体"/>
                <w:color w:val="auto"/>
                <w:highlight w:val="none"/>
              </w:rPr>
              <w:t>（已通过其他方式提交投标保证金的，无须提供）</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color w:val="auto"/>
                <w:highlight w:val="none"/>
              </w:rPr>
              <w:t>政府采购投标担保函（已通过其他方式提交投标保证金的，无须提供）</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联合体共同投标协议书（如项目允许联合体投标，联合体各方需签订）</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widowControl/>
              <w:spacing w:line="300" w:lineRule="exact"/>
              <w:rPr>
                <w:rFonts w:hint="eastAsia" w:ascii="宋体" w:hAnsi="宋体" w:eastAsia="宋体" w:cs="宋体"/>
                <w:bCs/>
                <w:color w:val="auto"/>
                <w:highlight w:val="none"/>
              </w:rPr>
            </w:pPr>
            <w:r>
              <w:rPr>
                <w:rFonts w:hint="eastAsia" w:ascii="宋体" w:hAnsi="宋体" w:eastAsia="宋体" w:cs="宋体"/>
                <w:bCs/>
                <w:color w:val="auto"/>
                <w:highlight w:val="none"/>
              </w:rPr>
              <w:t>分包意向协议书（如项目允许分包，拟分包的各方需签订）</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restart"/>
            <w:tcBorders>
              <w:top w:val="single" w:color="auto" w:sz="4" w:space="0"/>
              <w:right w:val="single" w:color="auto" w:sz="4" w:space="0"/>
            </w:tcBorders>
            <w:vAlign w:val="center"/>
          </w:tcPr>
          <w:p>
            <w:pPr>
              <w:widowControl/>
              <w:spacing w:line="240" w:lineRule="atLeas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服务部分</w:t>
            </w:r>
          </w:p>
        </w:tc>
        <w:tc>
          <w:tcPr>
            <w:tcW w:w="618" w:type="dxa"/>
            <w:tcBorders>
              <w:top w:val="single" w:color="auto" w:sz="4" w:space="0"/>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tcBorders>
              <w:top w:val="single" w:color="auto" w:sz="4" w:space="0"/>
            </w:tcBorders>
            <w:vAlign w:val="center"/>
          </w:tcPr>
          <w:p>
            <w:pPr>
              <w:autoSpaceDE w:val="0"/>
              <w:autoSpaceDN w:val="0"/>
              <w:adjustRightInd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详见《第四章 投标文件</w:t>
            </w:r>
            <w:r>
              <w:rPr>
                <w:rFonts w:hint="eastAsia" w:ascii="宋体" w:hAnsi="宋体" w:eastAsia="宋体" w:cs="宋体"/>
                <w:b/>
                <w:bCs/>
                <w:color w:val="auto"/>
                <w:highlight w:val="none"/>
              </w:rPr>
              <w:t>服务</w:t>
            </w:r>
            <w:r>
              <w:rPr>
                <w:rFonts w:hint="eastAsia" w:ascii="宋体" w:hAnsi="宋体" w:eastAsia="宋体" w:cs="宋体"/>
                <w:b/>
                <w:bCs/>
                <w:color w:val="auto"/>
                <w:szCs w:val="21"/>
                <w:highlight w:val="none"/>
              </w:rPr>
              <w:t>部分》</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6"/>
              </w:numPr>
              <w:spacing w:line="300" w:lineRule="exact"/>
              <w:jc w:val="center"/>
              <w:rPr>
                <w:rFonts w:hint="eastAsia" w:ascii="宋体" w:hAnsi="宋体" w:eastAsia="宋体" w:cs="宋体"/>
                <w:b/>
                <w:bCs/>
                <w:color w:val="auto"/>
                <w:highlight w:val="none"/>
              </w:rPr>
            </w:pPr>
          </w:p>
        </w:tc>
        <w:tc>
          <w:tcPr>
            <w:tcW w:w="4579" w:type="dxa"/>
            <w:vAlign w:val="center"/>
          </w:tcPr>
          <w:p>
            <w:pPr>
              <w:pStyle w:val="18"/>
              <w:spacing w:line="240" w:lineRule="exact"/>
              <w:rPr>
                <w:rFonts w:hint="eastAsia" w:hAnsi="宋体" w:eastAsia="宋体" w:cs="宋体"/>
                <w:b/>
                <w:bCs/>
                <w:color w:val="auto"/>
                <w:highlight w:val="none"/>
              </w:rPr>
            </w:pPr>
            <w:r>
              <w:rPr>
                <w:rFonts w:hint="eastAsia" w:hAnsi="宋体" w:eastAsia="宋体" w:cs="宋体"/>
                <w:b/>
                <w:bCs/>
                <w:color w:val="auto"/>
                <w:highlight w:val="none"/>
              </w:rPr>
              <w:t>投标人认为必要的其他服务资料</w:t>
            </w:r>
          </w:p>
        </w:tc>
        <w:tc>
          <w:tcPr>
            <w:tcW w:w="746" w:type="dxa"/>
            <w:tcBorders>
              <w:righ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hint="eastAsia" w:ascii="宋体" w:hAnsi="宋体" w:eastAsia="宋体" w:cs="宋体"/>
                <w:b/>
                <w:bCs/>
                <w:color w:val="auto"/>
                <w:highlight w:val="none"/>
              </w:rPr>
            </w:pPr>
          </w:p>
        </w:tc>
      </w:tr>
    </w:tbl>
    <w:p>
      <w:pPr>
        <w:pStyle w:val="5"/>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45" w:name="_Toc96523896"/>
      <w:bookmarkStart w:id="146" w:name="_Toc21269_WPSOffice_Level1"/>
      <w:r>
        <w:rPr>
          <w:rFonts w:hint="eastAsia" w:ascii="宋体" w:hAnsi="宋体" w:eastAsia="宋体" w:cs="宋体"/>
          <w:color w:val="auto"/>
          <w:highlight w:val="none"/>
        </w:rPr>
        <w:t>第一章 索引</w:t>
      </w:r>
      <w:bookmarkEnd w:id="145"/>
      <w:bookmarkEnd w:id="146"/>
    </w:p>
    <w:p>
      <w:pPr>
        <w:pStyle w:val="7"/>
        <w:rPr>
          <w:rFonts w:hint="eastAsia" w:ascii="宋体" w:hAnsi="宋体" w:eastAsia="宋体" w:cs="宋体"/>
          <w:color w:val="auto"/>
          <w:highlight w:val="none"/>
        </w:rPr>
      </w:pPr>
      <w:r>
        <w:rPr>
          <w:rFonts w:hint="eastAsia" w:ascii="宋体" w:hAnsi="宋体" w:eastAsia="宋体" w:cs="宋体"/>
          <w:color w:val="auto"/>
          <w:highlight w:val="none"/>
        </w:rPr>
        <w:t>1.资格性自查表</w:t>
      </w:r>
    </w:p>
    <w:p>
      <w:pPr>
        <w:autoSpaceDE w:val="0"/>
        <w:autoSpaceDN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资格性自查表</w:t>
      </w:r>
    </w:p>
    <w:p>
      <w:pPr>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采购项目名称：(项目名称)</w:t>
      </w:r>
    </w:p>
    <w:p>
      <w:pPr>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采购包号：</w:t>
      </w:r>
    </w:p>
    <w:tbl>
      <w:tblPr>
        <w:tblStyle w:val="33"/>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4618"/>
        <w:gridCol w:w="1463"/>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621" w:type="dxa"/>
            <w:vAlign w:val="center"/>
          </w:tcPr>
          <w:p>
            <w:pPr>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w:t>
            </w:r>
          </w:p>
          <w:p>
            <w:pPr>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c>
          <w:tcPr>
            <w:tcW w:w="4618" w:type="dxa"/>
            <w:vAlign w:val="center"/>
          </w:tcPr>
          <w:p>
            <w:pPr>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1463" w:type="dxa"/>
            <w:vAlign w:val="center"/>
          </w:tcPr>
          <w:p>
            <w:pPr>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自查结论</w:t>
            </w:r>
          </w:p>
        </w:tc>
        <w:tc>
          <w:tcPr>
            <w:tcW w:w="1625" w:type="dxa"/>
            <w:vAlign w:val="center"/>
          </w:tcPr>
          <w:p>
            <w:pPr>
              <w:ind w:left="-171"/>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证</w:t>
            </w:r>
            <w:r>
              <w:rPr>
                <w:rFonts w:hint="eastAsia" w:ascii="宋体" w:hAnsi="宋体" w:eastAsia="宋体" w:cs="宋体"/>
                <w:b/>
                <w:bCs/>
                <w:color w:val="auto"/>
                <w:szCs w:val="21"/>
                <w:highlight w:val="none"/>
              </w:rPr>
              <w:t>明资料</w:t>
            </w:r>
          </w:p>
          <w:p>
            <w:pPr>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所在页码范围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jc w:val="center"/>
        </w:trPr>
        <w:tc>
          <w:tcPr>
            <w:tcW w:w="621" w:type="dxa"/>
            <w:vMerge w:val="restart"/>
            <w:vAlign w:val="center"/>
          </w:tcPr>
          <w:p>
            <w:pPr>
              <w:ind w:left="113"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资格检查</w:t>
            </w:r>
          </w:p>
        </w:tc>
        <w:tc>
          <w:tcPr>
            <w:tcW w:w="4618" w:type="dxa"/>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1.供应商具备《政府采购法》第二十二条所规定的条件：</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tcPr>
          <w:p>
            <w:pPr>
              <w:tabs>
                <w:tab w:val="left" w:pos="709"/>
              </w:tabs>
              <w:spacing w:line="44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具有独立承担民事责任的能力(在中华人民共和国境内注册的法人或其他组织</w:t>
            </w:r>
            <w:r>
              <w:rPr>
                <w:rFonts w:hint="eastAsia" w:ascii="宋体" w:hAnsi="宋体" w:eastAsia="宋体" w:cs="宋体"/>
                <w:color w:val="auto"/>
                <w:szCs w:val="21"/>
                <w:highlight w:val="none"/>
              </w:rPr>
              <w:t>或自然人</w:t>
            </w:r>
            <w:r>
              <w:rPr>
                <w:rFonts w:hint="eastAsia" w:ascii="宋体" w:hAnsi="宋体" w:eastAsia="宋体" w:cs="宋体"/>
                <w:color w:val="auto"/>
                <w:kern w:val="0"/>
                <w:szCs w:val="21"/>
                <w:highlight w:val="none"/>
              </w:rPr>
              <w:t>,投标(响应)时提交有效的营业执照(或事业法人登记证或身份证等相关证明)副本复印件。</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tcPr>
          <w:p>
            <w:pPr>
              <w:tabs>
                <w:tab w:val="left" w:pos="709"/>
              </w:tabs>
              <w:spacing w:line="44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具有良好的商业信誉和健全的财务会计制度：</w:t>
            </w:r>
            <w:r>
              <w:rPr>
                <w:rFonts w:hint="eastAsia" w:ascii="宋体" w:hAnsi="宋体" w:eastAsia="宋体" w:cs="宋体"/>
                <w:color w:val="auto"/>
                <w:kern w:val="0"/>
                <w:szCs w:val="21"/>
                <w:highlight w:val="none"/>
              </w:rPr>
              <w:t>提供经会计师事务所审计的202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年度财务状况报表或基本开户行出具的资信证明。</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6"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tcPr>
          <w:p>
            <w:pPr>
              <w:tabs>
                <w:tab w:val="left" w:pos="709"/>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有依法缴纳税收和社会保障资金的良好记录：</w:t>
            </w:r>
            <w:r>
              <w:rPr>
                <w:rFonts w:ascii="宋体" w:hAnsi="宋体" w:eastAsia="宋体" w:cs="宋体"/>
                <w:color w:val="auto"/>
                <w:kern w:val="0"/>
                <w:szCs w:val="21"/>
                <w:highlight w:val="none"/>
              </w:rPr>
              <w:t>提供投标截止日前6个月内任意1个月依法缴纳税收和社会保障资金的相关材料。如依法免税或不需要缴纳社会保障资金的,提供相应证明材料</w:t>
            </w:r>
            <w:r>
              <w:rPr>
                <w:rFonts w:hint="eastAsia" w:ascii="宋体" w:hAnsi="宋体" w:eastAsia="宋体" w:cs="宋体"/>
                <w:color w:val="auto"/>
                <w:szCs w:val="21"/>
                <w:highlight w:val="none"/>
              </w:rPr>
              <w:t>。</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tcPr>
          <w:p>
            <w:pPr>
              <w:tabs>
                <w:tab w:val="left" w:pos="709"/>
              </w:tabs>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具有履行合同所必须的设备和专业技术能力：</w:t>
            </w:r>
            <w:r>
              <w:rPr>
                <w:rFonts w:hint="eastAsia" w:ascii="宋体" w:hAnsi="宋体" w:eastAsia="宋体" w:cs="宋体"/>
                <w:color w:val="auto"/>
                <w:kern w:val="0"/>
                <w:szCs w:val="21"/>
                <w:highlight w:val="none"/>
              </w:rPr>
              <w:t>提供</w:t>
            </w:r>
            <w:r>
              <w:rPr>
                <w:rFonts w:hint="eastAsia" w:ascii="宋体" w:hAnsi="宋体" w:eastAsia="宋体" w:cs="宋体"/>
                <w:color w:val="auto"/>
                <w:szCs w:val="21"/>
                <w:highlight w:val="none"/>
              </w:rPr>
              <w:t>按照招标文件的格式签署盖章的《资格声明函》</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kern w:val="0"/>
                <w:szCs w:val="21"/>
                <w:highlight w:val="none"/>
              </w:rPr>
              <w:t>相关证明材料</w:t>
            </w:r>
            <w:r>
              <w:rPr>
                <w:rFonts w:hint="eastAsia" w:ascii="宋体" w:hAnsi="宋体" w:eastAsia="宋体" w:cs="宋体"/>
                <w:color w:val="auto"/>
                <w:kern w:val="0"/>
                <w:szCs w:val="21"/>
                <w:highlight w:val="none"/>
                <w:lang w:eastAsia="zh-CN"/>
              </w:rPr>
              <w:t>。</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tcPr>
          <w:p>
            <w:pPr>
              <w:tabs>
                <w:tab w:val="left" w:pos="709"/>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采购活动前三年内，在经营活动中没有重大违法记录：提供按照招标文件的格式签署盖章的《资格声明函》。重大违法记录，是指投标人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tcPr>
          <w:p>
            <w:pPr>
              <w:tabs>
                <w:tab w:val="left" w:pos="709"/>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符合法律、行政法规规定的其他条件：单位负责人为同一人或者存在直接控股、管理关系的不同供应商，</w:t>
            </w:r>
            <w:r>
              <w:rPr>
                <w:rFonts w:hint="eastAsia" w:ascii="宋体" w:hAnsi="宋体" w:eastAsia="宋体" w:cs="宋体"/>
                <w:color w:val="auto"/>
                <w:kern w:val="0"/>
                <w:szCs w:val="21"/>
                <w:highlight w:val="none"/>
              </w:rPr>
              <w:t>不得同时参加本采购项目（或同一合同项下）</w:t>
            </w:r>
            <w:r>
              <w:rPr>
                <w:rFonts w:hint="eastAsia" w:ascii="宋体" w:hAnsi="宋体" w:eastAsia="宋体" w:cs="宋体"/>
                <w:color w:val="auto"/>
                <w:szCs w:val="21"/>
                <w:highlight w:val="none"/>
              </w:rPr>
              <w:t>投标。为本项目提供整体设计、规范编制或者项目管理、监理、检测等服务的投标人，不得再参与本项目投标。（提供按照招标文件的格式签署盖章的《资格声明函》）。</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vAlign w:val="center"/>
          </w:tcPr>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本项目专门面向</w:t>
            </w:r>
            <w:r>
              <w:rPr>
                <w:rFonts w:hint="eastAsia" w:ascii="宋体" w:hAnsi="宋体" w:eastAsia="宋体" w:cs="宋体"/>
                <w:color w:val="auto"/>
                <w:kern w:val="0"/>
                <w:szCs w:val="21"/>
                <w:highlight w:val="none"/>
                <w:lang w:eastAsia="zh-CN"/>
              </w:rPr>
              <w:t>小微</w:t>
            </w:r>
            <w:r>
              <w:rPr>
                <w:rFonts w:hint="eastAsia" w:ascii="宋体" w:hAnsi="宋体" w:eastAsia="宋体" w:cs="宋体"/>
                <w:color w:val="auto"/>
                <w:kern w:val="0"/>
                <w:szCs w:val="21"/>
                <w:highlight w:val="none"/>
              </w:rPr>
              <w:t>企业采购，所属行业为:</w:t>
            </w:r>
            <w:r>
              <w:rPr>
                <w:rFonts w:hint="eastAsia" w:ascii="宋体" w:hAnsi="宋体" w:eastAsia="宋体" w:cs="宋体"/>
                <w:color w:val="auto"/>
                <w:kern w:val="0"/>
                <w:szCs w:val="21"/>
                <w:highlight w:val="none"/>
                <w:lang w:val="en-US" w:eastAsia="zh-CN"/>
              </w:rPr>
              <w:t>物业管理</w:t>
            </w:r>
            <w:r>
              <w:rPr>
                <w:rFonts w:hint="eastAsia" w:ascii="宋体" w:hAnsi="宋体" w:eastAsia="宋体" w:cs="宋体"/>
                <w:color w:val="auto"/>
                <w:kern w:val="0"/>
                <w:szCs w:val="21"/>
                <w:highlight w:val="none"/>
              </w:rPr>
              <w:t>。</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val="en-US" w:eastAsia="zh-CN"/>
              </w:rPr>
              <w:t>小微</w:t>
            </w:r>
            <w:r>
              <w:rPr>
                <w:rFonts w:hint="eastAsia" w:ascii="宋体" w:hAnsi="宋体" w:eastAsia="宋体" w:cs="宋体"/>
                <w:color w:val="auto"/>
                <w:kern w:val="0"/>
                <w:szCs w:val="21"/>
                <w:highlight w:val="none"/>
              </w:rPr>
              <w:t>企业以供应商《中小企业声明函》为判定标准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监狱企业以供应商提供由省级以上监狱管理局、戒毒管理局(含新疆生产建设兵团)出具的属于监狱企业的证明文件为判定标准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残疾人福利性单位以供应商填写的《残疾人福利性单位声明函》为判定标准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0"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tcPr>
          <w:p>
            <w:pPr>
              <w:tabs>
                <w:tab w:val="left" w:pos="709"/>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未被列入“信用中国网站(www.creditchina.gov.cn)”重大税收违法失信主体；未被列入“中国执行信息公开网（http://zxgk.court.gov.cn/）”失信被执行人记录名单；未被列入“中国政府采购网(http://www.ccgp.gov.cn/)”政府采购严重违法失信行为记录名单中的禁止参加政府采购活动期间，若投标人具有分公司的，其所属分公司有上述不良信用记录的，视同该投标人存在不良信用记录。若投标人为分公司的，其所属总公司（总所）存在上述不良信用记录的，视同该分公司存在不良信用记录。（以采购代理机构于评标当天在“信用中国网站(www.creditchina.gov.cn)、中国执行信息公开网（http://zxgk.court.gov.cn/）及中国政府采购网（http://www.ccgp.gov.cn/）查询结果为准，如相关失信记录已失效，投标人需提供相关证明资料）。</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vAlign w:val="center"/>
          </w:tcPr>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4</w:t>
            </w:r>
            <w:r>
              <w:rPr>
                <w:rFonts w:hint="eastAsia" w:ascii="宋体" w:hAnsi="宋体" w:eastAsia="宋体" w:cs="宋体"/>
                <w:iCs/>
                <w:color w:val="auto"/>
                <w:szCs w:val="21"/>
                <w:highlight w:val="none"/>
              </w:rPr>
              <w:t>.投标人已按招标公告的规定获取了招标文件。</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621" w:type="dxa"/>
            <w:vMerge w:val="continue"/>
            <w:vAlign w:val="center"/>
          </w:tcPr>
          <w:p>
            <w:pPr>
              <w:jc w:val="center"/>
              <w:rPr>
                <w:rFonts w:hint="eastAsia" w:ascii="宋体" w:hAnsi="宋体" w:eastAsia="宋体" w:cs="宋体"/>
                <w:color w:val="auto"/>
                <w:szCs w:val="21"/>
                <w:highlight w:val="none"/>
              </w:rPr>
            </w:pPr>
          </w:p>
        </w:tc>
        <w:tc>
          <w:tcPr>
            <w:tcW w:w="4618" w:type="dxa"/>
            <w:vAlign w:val="center"/>
          </w:tcPr>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.本项目不接受联合体投标。不接受备选投标方案。</w:t>
            </w:r>
          </w:p>
        </w:tc>
        <w:tc>
          <w:tcPr>
            <w:tcW w:w="146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62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bl>
    <w:p>
      <w:pPr>
        <w:pStyle w:val="10"/>
        <w:rPr>
          <w:rFonts w:hint="eastAsia" w:ascii="宋体" w:hAnsi="宋体" w:eastAsia="宋体" w:cs="宋体"/>
          <w:color w:val="auto"/>
          <w:highlight w:val="none"/>
        </w:rPr>
      </w:pPr>
    </w:p>
    <w:p>
      <w:pPr>
        <w:autoSpaceDE w:val="0"/>
        <w:autoSpaceDN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1.以上材料将作为投标人资格性审核的重要内容</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rPr>
        <w:t>按照其内容及序列要求在投标文件中对应如实提供，对资格证明文件的任何缺漏和不符合项将会直接导致无效投标！</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2.请根据自身响应情况勾选（在□内打√）“自查结论”栏目相应结论。</w:t>
      </w:r>
    </w:p>
    <w:p>
      <w:pPr>
        <w:autoSpaceDE w:val="0"/>
        <w:autoSpaceDN w:val="0"/>
        <w:spacing w:line="360" w:lineRule="auto"/>
        <w:ind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3.供应商资格条件详见招标公告及本文件《招标公告》“二、申请人的资格要求”，</w:t>
      </w:r>
      <w:r>
        <w:rPr>
          <w:rFonts w:hint="eastAsia" w:ascii="宋体" w:hAnsi="宋体" w:eastAsia="宋体" w:cs="宋体"/>
          <w:b/>
          <w:color w:val="auto"/>
          <w:szCs w:val="21"/>
          <w:highlight w:val="none"/>
        </w:rPr>
        <w:t>有关证明材料按投标文件格式第4.条的说明提供。</w:t>
      </w:r>
    </w:p>
    <w:p>
      <w:pPr>
        <w:pStyle w:val="7"/>
        <w:tabs>
          <w:tab w:val="left" w:pos="945"/>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Cs w:val="24"/>
          <w:highlight w:val="none"/>
        </w:rPr>
        <w:t>2.符合性自查表</w:t>
      </w:r>
    </w:p>
    <w:p>
      <w:pPr>
        <w:autoSpaceDE w:val="0"/>
        <w:autoSpaceDN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符合性审查自查表</w:t>
      </w:r>
    </w:p>
    <w:p>
      <w:pPr>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采购项目名称：(项目名称)</w:t>
      </w:r>
    </w:p>
    <w:p>
      <w:pPr>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采购包号： </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5"/>
        <w:gridCol w:w="1429"/>
        <w:gridCol w:w="2922"/>
        <w:gridCol w:w="1582"/>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1242" w:type="pct"/>
            <w:gridSpan w:val="2"/>
            <w:vAlign w:val="center"/>
          </w:tcPr>
          <w:p>
            <w:pPr>
              <w:spacing w:line="320" w:lineRule="atLeast"/>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1758" w:type="pct"/>
            <w:vAlign w:val="center"/>
          </w:tcPr>
          <w:p>
            <w:pPr>
              <w:spacing w:line="320" w:lineRule="atLeast"/>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952" w:type="pct"/>
            <w:vAlign w:val="center"/>
          </w:tcPr>
          <w:p>
            <w:pPr>
              <w:spacing w:line="320" w:lineRule="atLeast"/>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自查结论</w:t>
            </w:r>
          </w:p>
        </w:tc>
        <w:tc>
          <w:tcPr>
            <w:tcW w:w="1046" w:type="pct"/>
            <w:vAlign w:val="center"/>
          </w:tcPr>
          <w:p>
            <w:pPr>
              <w:spacing w:line="320" w:lineRule="atLeast"/>
              <w:ind w:left="-17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5" w:hRule="atLeast"/>
          <w:jc w:val="center"/>
        </w:trPr>
        <w:tc>
          <w:tcPr>
            <w:tcW w:w="382" w:type="pct"/>
            <w:vMerge w:val="restar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w:t>
            </w:r>
          </w:p>
        </w:tc>
        <w:tc>
          <w:tcPr>
            <w:tcW w:w="860" w:type="pct"/>
            <w:vMerge w:val="restar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投标函（自投标截止之日起90日历天）</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Merge w:val="restart"/>
            <w:vAlign w:val="center"/>
          </w:tcPr>
          <w:p>
            <w:pPr>
              <w:spacing w:line="320" w:lineRule="atLeast"/>
              <w:ind w:left="124" w:leftChars="59" w:right="124" w:rightChars="5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投标文件照招标文件规定要求签署、盖章合格</w:t>
            </w: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Merge w:val="continue"/>
            <w:vAlign w:val="center"/>
          </w:tcPr>
          <w:p>
            <w:pPr>
              <w:spacing w:line="320" w:lineRule="atLeast"/>
              <w:jc w:val="center"/>
              <w:rPr>
                <w:rFonts w:hint="eastAsia" w:ascii="宋体" w:hAnsi="宋体" w:eastAsia="宋体" w:cs="宋体"/>
                <w:color w:val="auto"/>
                <w:szCs w:val="21"/>
                <w:highlight w:val="none"/>
              </w:rPr>
            </w:pP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法定代表人证明书及法定代表人授权委托书</w:t>
            </w:r>
            <w:r>
              <w:rPr>
                <w:rFonts w:hint="eastAsia" w:ascii="宋体" w:hAnsi="宋体" w:eastAsia="宋体" w:cs="宋体"/>
                <w:bCs/>
                <w:color w:val="auto"/>
                <w:highlight w:val="none"/>
              </w:rPr>
              <w:t>（如适用）</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Merge w:val="continue"/>
            <w:vAlign w:val="center"/>
          </w:tcPr>
          <w:p>
            <w:pPr>
              <w:spacing w:line="320" w:lineRule="atLeast"/>
              <w:jc w:val="center"/>
              <w:rPr>
                <w:rFonts w:hint="eastAsia" w:ascii="宋体" w:hAnsi="宋体" w:eastAsia="宋体" w:cs="宋体"/>
                <w:color w:val="auto"/>
                <w:szCs w:val="21"/>
                <w:highlight w:val="none"/>
              </w:rPr>
            </w:pP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Merge w:val="continue"/>
            <w:vAlign w:val="center"/>
          </w:tcPr>
          <w:p>
            <w:pPr>
              <w:spacing w:line="320" w:lineRule="atLeast"/>
              <w:jc w:val="center"/>
              <w:rPr>
                <w:rFonts w:hint="eastAsia" w:ascii="宋体" w:hAnsi="宋体" w:eastAsia="宋体" w:cs="宋体"/>
                <w:color w:val="auto"/>
                <w:szCs w:val="21"/>
                <w:highlight w:val="none"/>
              </w:rPr>
            </w:pP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实质性响应条款一览表</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Merge w:val="continue"/>
            <w:vAlign w:val="center"/>
          </w:tcPr>
          <w:p>
            <w:pPr>
              <w:spacing w:line="320" w:lineRule="atLeast"/>
              <w:jc w:val="center"/>
              <w:rPr>
                <w:rFonts w:hint="eastAsia" w:ascii="宋体" w:hAnsi="宋体" w:eastAsia="宋体" w:cs="宋体"/>
                <w:color w:val="auto"/>
                <w:szCs w:val="21"/>
                <w:highlight w:val="none"/>
              </w:rPr>
            </w:pP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投标响应与招标文件差异一览表</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Merge w:val="continue"/>
            <w:vAlign w:val="center"/>
          </w:tcPr>
          <w:p>
            <w:pPr>
              <w:spacing w:line="320" w:lineRule="atLeast"/>
              <w:jc w:val="center"/>
              <w:rPr>
                <w:rFonts w:hint="eastAsia" w:ascii="宋体" w:hAnsi="宋体" w:eastAsia="宋体" w:cs="宋体"/>
                <w:color w:val="auto"/>
                <w:szCs w:val="21"/>
                <w:highlight w:val="none"/>
              </w:rPr>
            </w:pP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投标文件有修改的地方已签署或盖章</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报价要求</w:t>
            </w: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投标报价满足招标文件的报价要求</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招标文件中标注“★”的条款</w:t>
            </w:r>
          </w:p>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（如果有）</w:t>
            </w: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满足招标文件中标注“★”的条款</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382" w:type="pct"/>
            <w:vMerge w:val="continue"/>
            <w:vAlign w:val="center"/>
          </w:tcPr>
          <w:p>
            <w:pPr>
              <w:spacing w:line="320" w:lineRule="atLeast"/>
              <w:jc w:val="center"/>
              <w:rPr>
                <w:rFonts w:hint="eastAsia" w:ascii="宋体" w:hAnsi="宋体" w:eastAsia="宋体" w:cs="宋体"/>
                <w:color w:val="auto"/>
                <w:szCs w:val="21"/>
                <w:highlight w:val="none"/>
              </w:rPr>
            </w:pPr>
          </w:p>
        </w:tc>
        <w:tc>
          <w:tcPr>
            <w:tcW w:w="860"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758" w:type="pct"/>
            <w:vAlign w:val="center"/>
          </w:tcPr>
          <w:p>
            <w:pPr>
              <w:spacing w:line="320" w:lineRule="atLeast"/>
              <w:ind w:left="124" w:leftChars="59" w:right="124" w:rightChars="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未出现有关法律、法规、规章或招标文件规定的属于投标无效的情形</w:t>
            </w:r>
          </w:p>
        </w:tc>
        <w:tc>
          <w:tcPr>
            <w:tcW w:w="952"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046" w:type="pct"/>
            <w:vAlign w:val="center"/>
          </w:tcPr>
          <w:p>
            <w:pPr>
              <w:spacing w:line="3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bl>
    <w:p>
      <w:pPr>
        <w:autoSpaceDE w:val="0"/>
        <w:autoSpaceDN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1.以上材料将作为投标人有效性审核的重要内容之一，投标人应当严格按照其内容及序列要求在投标文件中对应如实提供，对符合性证明文件的任何缺漏和不符合项将会直接导致无效投标！</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2.请根据自身响应情况勾选（在□内打√）“自查结论”栏目相应结论。</w:t>
      </w:r>
    </w:p>
    <w:p>
      <w:pPr>
        <w:pStyle w:val="7"/>
        <w:tabs>
          <w:tab w:val="left" w:pos="945"/>
        </w:tabs>
        <w:spacing w:line="360" w:lineRule="auto"/>
        <w:rPr>
          <w:rFonts w:hint="eastAsia" w:ascii="宋体" w:hAnsi="宋体" w:eastAsia="宋体" w:cs="宋体"/>
          <w:color w:val="auto"/>
          <w:highlight w:val="none"/>
        </w:rPr>
      </w:pPr>
      <w:bookmarkStart w:id="147" w:name="_Toc22806194"/>
      <w:r>
        <w:rPr>
          <w:rFonts w:hint="eastAsia" w:ascii="宋体" w:hAnsi="宋体" w:eastAsia="宋体" w:cs="宋体"/>
          <w:color w:val="auto"/>
          <w:szCs w:val="24"/>
          <w:highlight w:val="none"/>
        </w:rPr>
        <w:br w:type="page"/>
      </w:r>
      <w:bookmarkEnd w:id="147"/>
      <w:bookmarkStart w:id="148" w:name="_Toc1498"/>
      <w:r>
        <w:rPr>
          <w:rFonts w:hint="eastAsia" w:ascii="宋体" w:hAnsi="宋体" w:eastAsia="宋体" w:cs="宋体"/>
          <w:color w:val="auto"/>
          <w:highlight w:val="none"/>
        </w:rPr>
        <w:t>3.评审要素投标资料表</w:t>
      </w:r>
      <w:bookmarkEnd w:id="148"/>
    </w:p>
    <w:p>
      <w:pPr>
        <w:pStyle w:val="10"/>
        <w:ind w:firstLine="0"/>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bookmarkStart w:id="149" w:name="_Toc5327_WPSOffice_Level1"/>
      <w:r>
        <w:rPr>
          <w:rFonts w:hint="eastAsia" w:ascii="宋体" w:hAnsi="宋体" w:eastAsia="宋体" w:cs="宋体"/>
          <w:b/>
          <w:color w:val="auto"/>
          <w:highlight w:val="none"/>
        </w:rPr>
        <w:t>评审要素投标资料表</w:t>
      </w:r>
      <w:bookmarkEnd w:id="149"/>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3804"/>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8" w:type="pct"/>
            <w:vAlign w:val="center"/>
          </w:tcPr>
          <w:p>
            <w:pPr>
              <w:pStyle w:val="65"/>
              <w:keepNext w:val="0"/>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商务评审分项</w:t>
            </w:r>
          </w:p>
        </w:tc>
        <w:tc>
          <w:tcPr>
            <w:tcW w:w="2233" w:type="pct"/>
            <w:vAlign w:val="center"/>
          </w:tcPr>
          <w:p>
            <w:pPr>
              <w:pStyle w:val="65"/>
              <w:keepNext w:val="0"/>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商务评审细则</w:t>
            </w:r>
          </w:p>
        </w:tc>
        <w:tc>
          <w:tcPr>
            <w:tcW w:w="1837" w:type="pct"/>
            <w:vAlign w:val="center"/>
          </w:tcPr>
          <w:p>
            <w:pPr>
              <w:pStyle w:val="65"/>
              <w:keepNext w:val="0"/>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pStyle w:val="70"/>
              <w:spacing w:before="0" w:after="0" w:line="360" w:lineRule="auto"/>
              <w:rPr>
                <w:rFonts w:hint="eastAsia" w:ascii="宋体" w:hAnsi="宋体" w:cs="宋体"/>
                <w:color w:val="auto"/>
                <w:sz w:val="21"/>
                <w:szCs w:val="21"/>
                <w:highlight w:val="none"/>
              </w:rPr>
            </w:pPr>
          </w:p>
        </w:tc>
        <w:tc>
          <w:tcPr>
            <w:tcW w:w="2233" w:type="pct"/>
            <w:vAlign w:val="center"/>
          </w:tcPr>
          <w:p>
            <w:pPr>
              <w:pStyle w:val="24"/>
              <w:spacing w:line="360" w:lineRule="auto"/>
              <w:ind w:left="10" w:leftChars="5"/>
              <w:rPr>
                <w:rFonts w:hint="eastAsia" w:ascii="宋体" w:hAnsi="宋体" w:cs="宋体"/>
                <w:bCs/>
                <w:iCs/>
                <w:color w:val="auto"/>
                <w:szCs w:val="21"/>
                <w:highlight w:val="none"/>
              </w:rPr>
            </w:pPr>
          </w:p>
        </w:tc>
        <w:tc>
          <w:tcPr>
            <w:tcW w:w="1837" w:type="pct"/>
            <w:vAlign w:val="center"/>
          </w:tcPr>
          <w:p>
            <w:pPr>
              <w:pStyle w:val="24"/>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rPr>
                <w:rFonts w:hint="eastAsia" w:ascii="宋体" w:hAnsi="宋体" w:eastAsia="宋体" w:cs="宋体"/>
                <w:color w:val="auto"/>
                <w:szCs w:val="21"/>
                <w:highlight w:val="none"/>
              </w:rPr>
            </w:pPr>
          </w:p>
        </w:tc>
        <w:tc>
          <w:tcPr>
            <w:tcW w:w="2233" w:type="pct"/>
            <w:vAlign w:val="center"/>
          </w:tcPr>
          <w:p>
            <w:pPr>
              <w:pStyle w:val="24"/>
              <w:spacing w:line="360" w:lineRule="auto"/>
              <w:ind w:left="10" w:leftChars="5"/>
              <w:rPr>
                <w:rFonts w:hint="eastAsia" w:ascii="宋体" w:hAnsi="宋体" w:cs="宋体"/>
                <w:color w:val="auto"/>
                <w:szCs w:val="21"/>
                <w:highlight w:val="none"/>
              </w:rPr>
            </w:pPr>
          </w:p>
        </w:tc>
        <w:tc>
          <w:tcPr>
            <w:tcW w:w="1837" w:type="pct"/>
            <w:vAlign w:val="center"/>
          </w:tcPr>
          <w:p>
            <w:pPr>
              <w:pStyle w:val="24"/>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rPr>
                <w:rFonts w:hint="eastAsia" w:ascii="宋体" w:hAnsi="宋体" w:eastAsia="宋体" w:cs="宋体"/>
                <w:color w:val="auto"/>
                <w:szCs w:val="21"/>
                <w:highlight w:val="none"/>
              </w:rPr>
            </w:pPr>
          </w:p>
        </w:tc>
        <w:tc>
          <w:tcPr>
            <w:tcW w:w="2233" w:type="pct"/>
            <w:vAlign w:val="center"/>
          </w:tcPr>
          <w:p>
            <w:pPr>
              <w:pStyle w:val="24"/>
              <w:spacing w:line="360" w:lineRule="auto"/>
              <w:ind w:left="10" w:leftChars="5"/>
              <w:rPr>
                <w:rFonts w:hint="eastAsia" w:ascii="宋体" w:hAnsi="宋体" w:cs="宋体"/>
                <w:bCs/>
                <w:iCs/>
                <w:color w:val="auto"/>
                <w:szCs w:val="21"/>
                <w:highlight w:val="none"/>
              </w:rPr>
            </w:pPr>
          </w:p>
        </w:tc>
        <w:tc>
          <w:tcPr>
            <w:tcW w:w="1837" w:type="pct"/>
            <w:vAlign w:val="center"/>
          </w:tcPr>
          <w:p>
            <w:pPr>
              <w:pStyle w:val="24"/>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rPr>
                <w:rFonts w:hint="eastAsia" w:ascii="宋体" w:hAnsi="宋体" w:eastAsia="宋体" w:cs="宋体"/>
                <w:color w:val="auto"/>
                <w:szCs w:val="21"/>
                <w:highlight w:val="none"/>
              </w:rPr>
            </w:pPr>
          </w:p>
        </w:tc>
        <w:tc>
          <w:tcPr>
            <w:tcW w:w="2233" w:type="pct"/>
            <w:vAlign w:val="center"/>
          </w:tcPr>
          <w:p>
            <w:pPr>
              <w:pStyle w:val="24"/>
              <w:spacing w:line="360" w:lineRule="auto"/>
              <w:ind w:left="10" w:leftChars="5"/>
              <w:rPr>
                <w:rFonts w:hint="eastAsia" w:ascii="宋体" w:hAnsi="宋体" w:cs="宋体"/>
                <w:color w:val="auto"/>
                <w:szCs w:val="21"/>
                <w:highlight w:val="none"/>
              </w:rPr>
            </w:pPr>
          </w:p>
        </w:tc>
        <w:tc>
          <w:tcPr>
            <w:tcW w:w="1837" w:type="pct"/>
            <w:vAlign w:val="center"/>
          </w:tcPr>
          <w:p>
            <w:pPr>
              <w:pStyle w:val="24"/>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rPr>
                <w:rFonts w:hint="eastAsia" w:ascii="宋体" w:hAnsi="宋体" w:eastAsia="宋体" w:cs="宋体"/>
                <w:color w:val="auto"/>
                <w:szCs w:val="21"/>
                <w:highlight w:val="none"/>
              </w:rPr>
            </w:pPr>
          </w:p>
        </w:tc>
        <w:tc>
          <w:tcPr>
            <w:tcW w:w="2233" w:type="pct"/>
            <w:vAlign w:val="center"/>
          </w:tcPr>
          <w:p>
            <w:pPr>
              <w:pStyle w:val="24"/>
              <w:spacing w:line="360" w:lineRule="auto"/>
              <w:ind w:left="10" w:leftChars="5"/>
              <w:rPr>
                <w:rFonts w:hint="eastAsia" w:ascii="宋体" w:hAnsi="宋体" w:cs="宋体"/>
                <w:color w:val="auto"/>
                <w:szCs w:val="21"/>
                <w:highlight w:val="none"/>
              </w:rPr>
            </w:pPr>
          </w:p>
        </w:tc>
        <w:tc>
          <w:tcPr>
            <w:tcW w:w="1837" w:type="pct"/>
            <w:vAlign w:val="center"/>
          </w:tcPr>
          <w:p>
            <w:pPr>
              <w:pStyle w:val="24"/>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rPr>
                <w:rFonts w:hint="eastAsia" w:ascii="宋体" w:hAnsi="宋体" w:eastAsia="宋体" w:cs="宋体"/>
                <w:color w:val="auto"/>
                <w:szCs w:val="21"/>
                <w:highlight w:val="none"/>
              </w:rPr>
            </w:pPr>
          </w:p>
        </w:tc>
        <w:tc>
          <w:tcPr>
            <w:tcW w:w="2233" w:type="pct"/>
            <w:vAlign w:val="center"/>
          </w:tcPr>
          <w:p>
            <w:pPr>
              <w:pStyle w:val="24"/>
              <w:spacing w:line="360" w:lineRule="auto"/>
              <w:ind w:left="10" w:leftChars="5"/>
              <w:rPr>
                <w:rFonts w:hint="eastAsia" w:ascii="宋体" w:hAnsi="宋体" w:cs="宋体"/>
                <w:color w:val="auto"/>
                <w:szCs w:val="21"/>
                <w:highlight w:val="none"/>
              </w:rPr>
            </w:pPr>
          </w:p>
        </w:tc>
        <w:tc>
          <w:tcPr>
            <w:tcW w:w="1837" w:type="pct"/>
            <w:vAlign w:val="center"/>
          </w:tcPr>
          <w:p>
            <w:pPr>
              <w:pStyle w:val="24"/>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33" w:type="pct"/>
            <w:vAlign w:val="center"/>
          </w:tcPr>
          <w:p>
            <w:pPr>
              <w:pStyle w:val="24"/>
              <w:spacing w:line="360" w:lineRule="auto"/>
              <w:ind w:left="10" w:leftChars="5"/>
              <w:rPr>
                <w:rFonts w:hint="eastAsia" w:ascii="宋体" w:hAnsi="宋体" w:cs="宋体"/>
                <w:color w:val="auto"/>
                <w:szCs w:val="21"/>
                <w:highlight w:val="none"/>
              </w:rPr>
            </w:pPr>
            <w:r>
              <w:rPr>
                <w:rFonts w:hint="eastAsia" w:ascii="宋体" w:hAnsi="宋体" w:cs="宋体"/>
                <w:color w:val="auto"/>
                <w:szCs w:val="21"/>
                <w:highlight w:val="none"/>
              </w:rPr>
              <w:t>……</w:t>
            </w:r>
          </w:p>
        </w:tc>
        <w:tc>
          <w:tcPr>
            <w:tcW w:w="1837" w:type="pct"/>
            <w:vAlign w:val="center"/>
          </w:tcPr>
          <w:p>
            <w:pPr>
              <w:pStyle w:val="24"/>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pStyle w:val="65"/>
              <w:keepNext w:val="0"/>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服务评审分项</w:t>
            </w:r>
          </w:p>
        </w:tc>
        <w:tc>
          <w:tcPr>
            <w:tcW w:w="2233" w:type="pct"/>
            <w:vAlign w:val="center"/>
          </w:tcPr>
          <w:p>
            <w:pPr>
              <w:pStyle w:val="65"/>
              <w:keepNext w:val="0"/>
              <w:adjustRightInd/>
              <w:spacing w:before="0" w:after="0" w:line="360" w:lineRule="auto"/>
              <w:ind w:left="10" w:leftChars="5"/>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服务评审细则</w:t>
            </w:r>
          </w:p>
        </w:tc>
        <w:tc>
          <w:tcPr>
            <w:tcW w:w="1837" w:type="pct"/>
            <w:vAlign w:val="center"/>
          </w:tcPr>
          <w:p>
            <w:pPr>
              <w:pStyle w:val="65"/>
              <w:keepNext w:val="0"/>
              <w:adjustRightInd/>
              <w:spacing w:before="0" w:after="0" w:line="360" w:lineRule="auto"/>
              <w:jc w:val="center"/>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rPr>
                <w:rFonts w:hint="eastAsia" w:ascii="宋体" w:hAnsi="宋体" w:eastAsia="宋体" w:cs="宋体"/>
                <w:color w:val="auto"/>
                <w:szCs w:val="21"/>
                <w:highlight w:val="none"/>
              </w:rPr>
            </w:pPr>
          </w:p>
        </w:tc>
        <w:tc>
          <w:tcPr>
            <w:tcW w:w="2233" w:type="pct"/>
            <w:vAlign w:val="center"/>
          </w:tcPr>
          <w:p>
            <w:pPr>
              <w:pStyle w:val="24"/>
              <w:spacing w:line="360" w:lineRule="auto"/>
              <w:ind w:left="10" w:leftChars="5"/>
              <w:rPr>
                <w:rFonts w:hint="eastAsia" w:ascii="宋体" w:hAnsi="宋体" w:cs="宋体"/>
                <w:color w:val="auto"/>
                <w:szCs w:val="21"/>
                <w:highlight w:val="none"/>
              </w:rPr>
            </w:pPr>
          </w:p>
        </w:tc>
        <w:tc>
          <w:tcPr>
            <w:tcW w:w="1837" w:type="pct"/>
            <w:vAlign w:val="center"/>
          </w:tcPr>
          <w:p>
            <w:pPr>
              <w:pStyle w:val="24"/>
              <w:spacing w:line="360" w:lineRule="auto"/>
              <w:ind w:left="-34" w:leftChars="-16"/>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rPr>
                <w:rFonts w:hint="eastAsia" w:ascii="宋体" w:hAnsi="宋体" w:eastAsia="宋体" w:cs="宋体"/>
                <w:color w:val="auto"/>
                <w:szCs w:val="21"/>
                <w:highlight w:val="none"/>
              </w:rPr>
            </w:pPr>
          </w:p>
        </w:tc>
        <w:tc>
          <w:tcPr>
            <w:tcW w:w="2233" w:type="pct"/>
            <w:vAlign w:val="center"/>
          </w:tcPr>
          <w:p>
            <w:pPr>
              <w:spacing w:line="360" w:lineRule="auto"/>
              <w:ind w:left="10" w:leftChars="5"/>
              <w:rPr>
                <w:rFonts w:hint="eastAsia" w:ascii="宋体" w:hAnsi="宋体" w:eastAsia="宋体" w:cs="宋体"/>
                <w:color w:val="auto"/>
                <w:szCs w:val="21"/>
                <w:highlight w:val="none"/>
              </w:rPr>
            </w:pPr>
          </w:p>
        </w:tc>
        <w:tc>
          <w:tcPr>
            <w:tcW w:w="1837" w:type="pct"/>
            <w:vAlign w:val="center"/>
          </w:tcPr>
          <w:p>
            <w:pPr>
              <w:spacing w:line="360" w:lineRule="auto"/>
              <w:ind w:left="-34" w:leftChars="-1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pStyle w:val="24"/>
              <w:spacing w:line="360" w:lineRule="auto"/>
              <w:jc w:val="left"/>
              <w:rPr>
                <w:rFonts w:hint="eastAsia" w:ascii="宋体" w:hAnsi="宋体" w:cs="宋体"/>
                <w:color w:val="auto"/>
                <w:szCs w:val="21"/>
                <w:highlight w:val="none"/>
              </w:rPr>
            </w:pPr>
          </w:p>
        </w:tc>
        <w:tc>
          <w:tcPr>
            <w:tcW w:w="2233" w:type="pct"/>
            <w:vAlign w:val="center"/>
          </w:tcPr>
          <w:p>
            <w:pPr>
              <w:spacing w:line="360" w:lineRule="auto"/>
              <w:ind w:left="10" w:leftChars="5"/>
              <w:rPr>
                <w:rFonts w:hint="eastAsia" w:ascii="宋体" w:hAnsi="宋体" w:eastAsia="宋体" w:cs="宋体"/>
                <w:color w:val="auto"/>
                <w:szCs w:val="21"/>
                <w:highlight w:val="none"/>
              </w:rPr>
            </w:pPr>
          </w:p>
        </w:tc>
        <w:tc>
          <w:tcPr>
            <w:tcW w:w="1837" w:type="pct"/>
            <w:vAlign w:val="center"/>
          </w:tcPr>
          <w:p>
            <w:pPr>
              <w:spacing w:line="360" w:lineRule="auto"/>
              <w:ind w:left="-34" w:leftChars="-1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jc w:val="left"/>
              <w:rPr>
                <w:rFonts w:hint="eastAsia" w:ascii="宋体" w:hAnsi="宋体" w:eastAsia="宋体" w:cs="宋体"/>
                <w:color w:val="auto"/>
                <w:szCs w:val="21"/>
                <w:highlight w:val="none"/>
              </w:rPr>
            </w:pPr>
          </w:p>
        </w:tc>
        <w:tc>
          <w:tcPr>
            <w:tcW w:w="2233" w:type="pct"/>
            <w:vAlign w:val="center"/>
          </w:tcPr>
          <w:p>
            <w:pPr>
              <w:spacing w:line="360" w:lineRule="auto"/>
              <w:ind w:left="10" w:leftChars="5"/>
              <w:rPr>
                <w:rFonts w:hint="eastAsia" w:ascii="宋体" w:hAnsi="宋体" w:eastAsia="宋体" w:cs="宋体"/>
                <w:color w:val="auto"/>
                <w:szCs w:val="21"/>
                <w:highlight w:val="none"/>
              </w:rPr>
            </w:pPr>
          </w:p>
        </w:tc>
        <w:tc>
          <w:tcPr>
            <w:tcW w:w="1837" w:type="pct"/>
            <w:vAlign w:val="center"/>
          </w:tcPr>
          <w:p>
            <w:pPr>
              <w:spacing w:line="360" w:lineRule="auto"/>
              <w:ind w:left="-34" w:leftChars="-1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jc w:val="left"/>
              <w:rPr>
                <w:rFonts w:hint="eastAsia" w:ascii="宋体" w:hAnsi="宋体" w:eastAsia="宋体" w:cs="宋体"/>
                <w:color w:val="auto"/>
                <w:szCs w:val="21"/>
                <w:highlight w:val="none"/>
              </w:rPr>
            </w:pPr>
          </w:p>
        </w:tc>
        <w:tc>
          <w:tcPr>
            <w:tcW w:w="2233" w:type="pct"/>
            <w:vAlign w:val="center"/>
          </w:tcPr>
          <w:p>
            <w:pPr>
              <w:spacing w:line="360" w:lineRule="auto"/>
              <w:ind w:left="10" w:leftChars="5"/>
              <w:rPr>
                <w:rFonts w:hint="eastAsia" w:ascii="宋体" w:hAnsi="宋体" w:eastAsia="宋体" w:cs="宋体"/>
                <w:color w:val="auto"/>
                <w:szCs w:val="21"/>
                <w:highlight w:val="none"/>
              </w:rPr>
            </w:pPr>
          </w:p>
        </w:tc>
        <w:tc>
          <w:tcPr>
            <w:tcW w:w="1837" w:type="pct"/>
            <w:vAlign w:val="center"/>
          </w:tcPr>
          <w:p>
            <w:pPr>
              <w:spacing w:line="360" w:lineRule="auto"/>
              <w:ind w:left="-34" w:leftChars="-1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jc w:val="left"/>
              <w:rPr>
                <w:rFonts w:hint="eastAsia" w:ascii="宋体" w:hAnsi="宋体" w:eastAsia="宋体" w:cs="宋体"/>
                <w:color w:val="auto"/>
                <w:szCs w:val="21"/>
                <w:highlight w:val="none"/>
              </w:rPr>
            </w:pPr>
          </w:p>
        </w:tc>
        <w:tc>
          <w:tcPr>
            <w:tcW w:w="2233" w:type="pct"/>
            <w:vAlign w:val="center"/>
          </w:tcPr>
          <w:p>
            <w:pPr>
              <w:spacing w:line="360" w:lineRule="auto"/>
              <w:ind w:left="10" w:leftChars="5"/>
              <w:rPr>
                <w:rFonts w:hint="eastAsia" w:ascii="宋体" w:hAnsi="宋体" w:eastAsia="宋体" w:cs="宋体"/>
                <w:color w:val="auto"/>
                <w:szCs w:val="21"/>
                <w:highlight w:val="none"/>
              </w:rPr>
            </w:pPr>
          </w:p>
        </w:tc>
        <w:tc>
          <w:tcPr>
            <w:tcW w:w="1837" w:type="pct"/>
            <w:vAlign w:val="center"/>
          </w:tcPr>
          <w:p>
            <w:pPr>
              <w:spacing w:line="360" w:lineRule="auto"/>
              <w:ind w:left="-34" w:leftChars="-1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33" w:type="pct"/>
            <w:vAlign w:val="center"/>
          </w:tcPr>
          <w:p>
            <w:pPr>
              <w:pStyle w:val="24"/>
              <w:spacing w:line="360" w:lineRule="auto"/>
              <w:ind w:left="10" w:leftChars="5"/>
              <w:rPr>
                <w:rFonts w:hint="eastAsia" w:ascii="宋体" w:hAnsi="宋体" w:cs="宋体"/>
                <w:color w:val="auto"/>
                <w:szCs w:val="21"/>
                <w:highlight w:val="none"/>
              </w:rPr>
            </w:pPr>
            <w:r>
              <w:rPr>
                <w:rFonts w:hint="eastAsia" w:ascii="宋体" w:hAnsi="宋体" w:cs="宋体"/>
                <w:color w:val="auto"/>
                <w:szCs w:val="21"/>
                <w:highlight w:val="none"/>
              </w:rPr>
              <w:t>……</w:t>
            </w:r>
          </w:p>
        </w:tc>
        <w:tc>
          <w:tcPr>
            <w:tcW w:w="1837" w:type="pct"/>
            <w:vAlign w:val="center"/>
          </w:tcPr>
          <w:p>
            <w:pPr>
              <w:pStyle w:val="24"/>
              <w:spacing w:line="360" w:lineRule="auto"/>
              <w:ind w:left="-34" w:leftChars="-16"/>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注：1.投标供应商应根据《</w:t>
      </w:r>
      <w:r>
        <w:rPr>
          <w:rFonts w:hint="eastAsia" w:ascii="宋体" w:hAnsi="宋体" w:eastAsia="宋体" w:cs="宋体"/>
          <w:snapToGrid w:val="0"/>
          <w:color w:val="auto"/>
          <w:szCs w:val="21"/>
          <w:highlight w:val="none"/>
        </w:rPr>
        <w:t>服务</w:t>
      </w:r>
      <w:r>
        <w:rPr>
          <w:rFonts w:hint="eastAsia" w:ascii="宋体" w:hAnsi="宋体" w:eastAsia="宋体" w:cs="宋体"/>
          <w:color w:val="auto"/>
          <w:szCs w:val="21"/>
          <w:highlight w:val="none"/>
        </w:rPr>
        <w:t>评审表》和《商务评审表》的各项内容填写此表，表格可延长。</w:t>
      </w:r>
    </w:p>
    <w:p>
      <w:pPr>
        <w:adjustRightInd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2.按评审项的顺序填写。</w:t>
      </w:r>
    </w:p>
    <w:p>
      <w:pPr>
        <w:pStyle w:val="10"/>
        <w:ind w:firstLine="0"/>
        <w:rPr>
          <w:rFonts w:hint="eastAsia" w:ascii="宋体" w:hAnsi="宋体" w:eastAsia="宋体" w:cs="宋体"/>
          <w:color w:val="auto"/>
          <w:highlight w:val="none"/>
        </w:rPr>
      </w:pPr>
    </w:p>
    <w:p>
      <w:pPr>
        <w:pStyle w:val="5"/>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50" w:name="_Toc17487_WPSOffice_Level1"/>
      <w:bookmarkStart w:id="151" w:name="_Toc96523897"/>
      <w:r>
        <w:rPr>
          <w:rFonts w:hint="eastAsia" w:ascii="宋体" w:hAnsi="宋体" w:eastAsia="宋体" w:cs="宋体"/>
          <w:color w:val="auto"/>
          <w:highlight w:val="none"/>
        </w:rPr>
        <w:t>第二章 资格审查文件</w:t>
      </w:r>
      <w:bookmarkEnd w:id="150"/>
      <w:bookmarkEnd w:id="151"/>
    </w:p>
    <w:p>
      <w:pPr>
        <w:pStyle w:val="6"/>
        <w:rPr>
          <w:rFonts w:hint="eastAsia" w:ascii="宋体" w:hAnsi="宋体" w:eastAsia="宋体" w:cs="宋体"/>
          <w:color w:val="auto"/>
          <w:sz w:val="24"/>
          <w:szCs w:val="24"/>
          <w:highlight w:val="none"/>
        </w:rPr>
      </w:pPr>
      <w:bookmarkStart w:id="152" w:name="_Toc96523898"/>
      <w:r>
        <w:rPr>
          <w:rFonts w:hint="eastAsia" w:ascii="宋体" w:hAnsi="宋体" w:eastAsia="宋体" w:cs="宋体"/>
          <w:color w:val="auto"/>
          <w:sz w:val="24"/>
          <w:szCs w:val="24"/>
          <w:highlight w:val="none"/>
        </w:rPr>
        <w:t>格式4.资格声明函</w:t>
      </w:r>
      <w:bookmarkEnd w:id="152"/>
    </w:p>
    <w:p>
      <w:pPr>
        <w:pStyle w:val="18"/>
        <w:spacing w:line="360" w:lineRule="auto"/>
        <w:jc w:val="center"/>
        <w:rPr>
          <w:rFonts w:hint="eastAsia" w:hAnsi="宋体" w:eastAsia="宋体" w:cs="宋体"/>
          <w:b/>
          <w:color w:val="auto"/>
          <w:sz w:val="32"/>
          <w:szCs w:val="32"/>
          <w:highlight w:val="none"/>
        </w:rPr>
      </w:pPr>
      <w:bookmarkStart w:id="153" w:name="_Toc2680_WPSOffice_Level1"/>
      <w:r>
        <w:rPr>
          <w:rFonts w:hint="eastAsia" w:hAnsi="宋体" w:eastAsia="宋体" w:cs="宋体"/>
          <w:b/>
          <w:color w:val="auto"/>
          <w:sz w:val="32"/>
          <w:szCs w:val="32"/>
          <w:highlight w:val="none"/>
        </w:rPr>
        <w:t>资格声明函</w:t>
      </w:r>
      <w:bookmarkEnd w:id="153"/>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（采购代理机构名称）：</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关于贵方发布</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（项目编号）]</w:t>
      </w:r>
      <w:r>
        <w:rPr>
          <w:rFonts w:hint="eastAsia" w:ascii="宋体" w:hAnsi="宋体" w:eastAsia="宋体" w:cs="宋体"/>
          <w:color w:val="auto"/>
          <w:szCs w:val="21"/>
          <w:highlight w:val="none"/>
        </w:rPr>
        <w:t>的招标公告，本单位愿意参加上述项目/采购包号</w:t>
      </w:r>
      <w:r>
        <w:rPr>
          <w:rFonts w:hint="eastAsia" w:ascii="宋体" w:hAnsi="宋体" w:eastAsia="宋体" w:cs="宋体"/>
          <w:i/>
          <w:color w:val="auto"/>
          <w:szCs w:val="21"/>
          <w:highlight w:val="none"/>
          <w:u w:val="single"/>
        </w:rPr>
        <w:t>（如有，填写投标采购包号）</w:t>
      </w:r>
      <w:r>
        <w:rPr>
          <w:rFonts w:hint="eastAsia" w:ascii="宋体" w:hAnsi="宋体" w:eastAsia="宋体" w:cs="宋体"/>
          <w:color w:val="auto"/>
          <w:szCs w:val="21"/>
          <w:highlight w:val="none"/>
        </w:rPr>
        <w:t>投标，并已清楚招标文件的要求及有关文件规定，声明如下：</w:t>
      </w:r>
    </w:p>
    <w:p>
      <w:pPr>
        <w:pStyle w:val="45"/>
        <w:tabs>
          <w:tab w:val="left" w:pos="993"/>
        </w:tabs>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（一）我方具备《中华人民共和国政府采购法》第二十二条所规定的条件：</w:t>
      </w:r>
    </w:p>
    <w:p>
      <w:pPr>
        <w:pStyle w:val="45"/>
        <w:tabs>
          <w:tab w:val="left" w:pos="993"/>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pPr>
        <w:pStyle w:val="45"/>
        <w:tabs>
          <w:tab w:val="left" w:pos="993"/>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（2）具有履行合同所必需的设备和专业技术能力；</w:t>
      </w:r>
    </w:p>
    <w:p>
      <w:pPr>
        <w:pStyle w:val="45"/>
        <w:tabs>
          <w:tab w:val="left" w:pos="993"/>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（3）我方（如前三年内有名称变更的，含变更前名称）参加本项目政府采购活动前三年内在经营活动中没有重大违法记录；</w:t>
      </w:r>
    </w:p>
    <w:p>
      <w:pPr>
        <w:pStyle w:val="45"/>
        <w:tabs>
          <w:tab w:val="left" w:pos="993"/>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（4）我方符合法律、行政法规规定的其他条件，不存在以下不得参加本项目（同一采购包）投标的情形之一：</w:t>
      </w:r>
    </w:p>
    <w:p>
      <w:pPr>
        <w:pStyle w:val="45"/>
        <w:tabs>
          <w:tab w:val="left" w:pos="993"/>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①不同供应商的单位负责人为同一人或者存在直接控股、管理关系；</w:t>
      </w:r>
    </w:p>
    <w:p>
      <w:pPr>
        <w:pStyle w:val="45"/>
        <w:tabs>
          <w:tab w:val="left" w:pos="993"/>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②供应商为采购项目提供整体设计、规范编制或者项目管理、监理、检测等服务。</w:t>
      </w:r>
    </w:p>
    <w:p>
      <w:pPr>
        <w:pStyle w:val="45"/>
        <w:tabs>
          <w:tab w:val="left" w:pos="993"/>
        </w:tabs>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（二）我方已按招标公告及招标文件的规定获取了招标文件。</w:t>
      </w:r>
    </w:p>
    <w:p>
      <w:pPr>
        <w:pStyle w:val="45"/>
        <w:tabs>
          <w:tab w:val="left" w:pos="993"/>
        </w:tabs>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（三）若本项目不接受联合体报价的，我方承诺以独立供应商名义即非联合体方式参加本项目的投标。</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郑重承诺公平竞争：我方保证所提交的相关资质文件和证明材料的真实性，有良好的历史诚信记录，并将依法参与本项目（采购包）的公平竞争，不以任何不正当行为谋取不当利益，否则承担相应的法律责任。</w:t>
      </w:r>
    </w:p>
    <w:p>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以上内容如有虚假或与事实不符的，评标委员会可将我方做无效投标处理。我方承诺在本次采购活动中，如有违法、违规、弄虚作假行为，所造成的损失、不良后果及法律责任，一律由我方承担。</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snapToGrid w:val="0"/>
        <w:spacing w:line="360" w:lineRule="auto"/>
        <w:rPr>
          <w:rFonts w:hint="eastAsia" w:ascii="宋体" w:hAnsi="宋体" w:eastAsia="宋体" w:cs="宋体"/>
          <w:b/>
          <w:color w:val="auto"/>
          <w:szCs w:val="21"/>
          <w:highlight w:val="none"/>
        </w:rPr>
      </w:pPr>
    </w:p>
    <w:p>
      <w:pPr>
        <w:pStyle w:val="10"/>
        <w:spacing w:line="360" w:lineRule="auto"/>
        <w:rPr>
          <w:rFonts w:hint="eastAsia" w:ascii="宋体" w:hAnsi="宋体" w:eastAsia="宋体" w:cs="宋体"/>
          <w:color w:val="auto"/>
          <w:highlight w:val="none"/>
        </w:rPr>
      </w:pPr>
    </w:p>
    <w:p>
      <w:pPr>
        <w:pStyle w:val="1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投标人法定代表人或授权代表（签字或盖章）：</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日期：年月日</w:t>
      </w:r>
    </w:p>
    <w:p>
      <w:pPr>
        <w:snapToGrid w:val="0"/>
        <w:spacing w:line="360" w:lineRule="auto"/>
        <w:rPr>
          <w:rFonts w:hint="eastAsia" w:ascii="宋体" w:hAnsi="宋体" w:eastAsia="宋体" w:cs="宋体"/>
          <w:b/>
          <w:color w:val="auto"/>
          <w:szCs w:val="21"/>
          <w:highlight w:val="none"/>
        </w:rPr>
      </w:pPr>
    </w:p>
    <w:p>
      <w:pPr>
        <w:pStyle w:val="1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numPr>
          <w:ilvl w:val="0"/>
          <w:numId w:val="17"/>
        </w:numPr>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bookmarkStart w:id="154" w:name="_Toc25074_WPSOffice_Level1"/>
      <w:r>
        <w:rPr>
          <w:rFonts w:hint="eastAsia" w:ascii="宋体" w:hAnsi="宋体" w:eastAsia="宋体" w:cs="宋体"/>
          <w:color w:val="auto"/>
          <w:szCs w:val="21"/>
          <w:highlight w:val="none"/>
        </w:rPr>
        <w:t>本声明函必须提供且内容不得擅自删改，否则视为</w:t>
      </w:r>
      <w:r>
        <w:rPr>
          <w:rFonts w:hint="eastAsia" w:ascii="宋体" w:hAnsi="宋体" w:eastAsia="宋体" w:cs="宋体"/>
          <w:b/>
          <w:bCs/>
          <w:color w:val="auto"/>
          <w:szCs w:val="21"/>
          <w:highlight w:val="none"/>
        </w:rPr>
        <w:t>无效投标</w:t>
      </w:r>
      <w:r>
        <w:rPr>
          <w:rFonts w:hint="eastAsia" w:ascii="宋体" w:hAnsi="宋体" w:eastAsia="宋体" w:cs="宋体"/>
          <w:color w:val="auto"/>
          <w:szCs w:val="21"/>
          <w:highlight w:val="none"/>
        </w:rPr>
        <w:t>。</w:t>
      </w:r>
      <w:bookmarkEnd w:id="154"/>
    </w:p>
    <w:p>
      <w:pPr>
        <w:numPr>
          <w:ilvl w:val="0"/>
          <w:numId w:val="17"/>
        </w:numPr>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bookmarkStart w:id="155" w:name="_Toc9685_WPSOffice_Level1"/>
      <w:r>
        <w:rPr>
          <w:rFonts w:hint="eastAsia" w:ascii="宋体" w:hAnsi="宋体" w:eastAsia="宋体" w:cs="宋体"/>
          <w:color w:val="auto"/>
          <w:szCs w:val="21"/>
          <w:highlight w:val="none"/>
        </w:rPr>
        <w:t>本声明函如有虚假或与事实不符的，作</w:t>
      </w:r>
      <w:r>
        <w:rPr>
          <w:rFonts w:hint="eastAsia" w:ascii="宋体" w:hAnsi="宋体" w:eastAsia="宋体" w:cs="宋体"/>
          <w:b/>
          <w:color w:val="auto"/>
          <w:szCs w:val="21"/>
          <w:highlight w:val="none"/>
        </w:rPr>
        <w:t>无效投标</w:t>
      </w:r>
      <w:r>
        <w:rPr>
          <w:rFonts w:hint="eastAsia" w:ascii="宋体" w:hAnsi="宋体" w:eastAsia="宋体" w:cs="宋体"/>
          <w:color w:val="auto"/>
          <w:szCs w:val="21"/>
          <w:highlight w:val="none"/>
        </w:rPr>
        <w:t>处理。</w:t>
      </w:r>
      <w:bookmarkEnd w:id="155"/>
    </w:p>
    <w:p>
      <w:pPr>
        <w:pStyle w:val="10"/>
        <w:ind w:firstLine="0"/>
        <w:rPr>
          <w:rFonts w:hint="eastAsia" w:ascii="宋体" w:hAnsi="宋体" w:eastAsia="宋体" w:cs="宋体"/>
          <w:color w:val="auto"/>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pPr>
        <w:tabs>
          <w:tab w:val="left" w:pos="567"/>
        </w:tabs>
        <w:adjustRightInd w:val="0"/>
        <w:snapToGrid w:val="0"/>
        <w:spacing w:line="360" w:lineRule="auto"/>
        <w:rPr>
          <w:rFonts w:hint="eastAsia" w:ascii="宋体" w:hAnsi="宋体" w:eastAsia="宋体" w:cs="宋体"/>
          <w:b/>
          <w:color w:val="auto"/>
          <w:szCs w:val="21"/>
          <w:highlight w:val="none"/>
        </w:rPr>
      </w:pPr>
      <w:bookmarkStart w:id="156" w:name="_Toc25252_WPSOffice_Level1"/>
      <w:r>
        <w:rPr>
          <w:rFonts w:hint="eastAsia" w:ascii="宋体" w:hAnsi="宋体" w:eastAsia="宋体" w:cs="宋体"/>
          <w:b/>
          <w:color w:val="auto"/>
          <w:szCs w:val="21"/>
          <w:highlight w:val="none"/>
        </w:rPr>
        <w:t>附件1：</w:t>
      </w:r>
      <w:bookmarkEnd w:id="156"/>
    </w:p>
    <w:p>
      <w:pPr>
        <w:widowControl/>
        <w:shd w:val="clear" w:color="auto" w:fill="FFFFFF"/>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pStyle w:val="10"/>
        <w:ind w:firstLine="0"/>
        <w:rPr>
          <w:rFonts w:hint="eastAsia" w:ascii="宋体" w:hAnsi="宋体" w:eastAsia="宋体" w:cs="宋体"/>
          <w:color w:val="auto"/>
          <w:highlight w:val="none"/>
        </w:rPr>
      </w:pPr>
    </w:p>
    <w:p>
      <w:pPr>
        <w:tabs>
          <w:tab w:val="left" w:pos="567"/>
        </w:tabs>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bookmarkStart w:id="157" w:name="_Toc7298_WPSOffice_Level1"/>
      <w:r>
        <w:rPr>
          <w:rFonts w:hint="eastAsia" w:ascii="宋体" w:hAnsi="宋体" w:eastAsia="宋体" w:cs="宋体"/>
          <w:b/>
          <w:color w:val="auto"/>
          <w:szCs w:val="21"/>
          <w:highlight w:val="none"/>
        </w:rPr>
        <w:t>附件2：</w:t>
      </w:r>
      <w:bookmarkEnd w:id="157"/>
    </w:p>
    <w:p>
      <w:pPr>
        <w:jc w:val="center"/>
        <w:rPr>
          <w:rFonts w:hint="eastAsia" w:ascii="宋体" w:hAnsi="宋体" w:eastAsia="宋体" w:cs="宋体"/>
          <w:color w:val="auto"/>
          <w:szCs w:val="21"/>
          <w:highlight w:val="none"/>
        </w:rPr>
      </w:pPr>
      <w:bookmarkStart w:id="158" w:name="_Toc16628_WPSOffice_Level1"/>
      <w:r>
        <w:rPr>
          <w:rFonts w:hint="eastAsia" w:ascii="宋体" w:hAnsi="宋体" w:eastAsia="宋体" w:cs="宋体"/>
          <w:b/>
          <w:bCs/>
          <w:color w:val="auto"/>
          <w:szCs w:val="21"/>
          <w:highlight w:val="none"/>
        </w:rPr>
        <w:t>与供应商存在关联关系的单位名称说明</w:t>
      </w:r>
      <w:bookmarkEnd w:id="158"/>
    </w:p>
    <w:p>
      <w:pPr>
        <w:ind w:firstLine="42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一、与我方的法定代表人（单位负责人）为同一人的单位名称如下：</w:t>
      </w:r>
    </w:p>
    <w:p>
      <w:pPr>
        <w:spacing w:line="360" w:lineRule="auto"/>
        <w:ind w:firstLine="420" w:firstLineChars="200"/>
        <w:rPr>
          <w:rFonts w:hint="eastAsia" w:ascii="宋体" w:hAnsi="宋体" w:eastAsia="宋体" w:cs="宋体"/>
          <w:color w:val="auto"/>
          <w:szCs w:val="21"/>
          <w:highlight w:val="none"/>
          <w:u w:val="singl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二、我方的控股股东名称如下（我方的母公司、对我方直接或间接持股50％及以上的投资单位）：</w:t>
      </w:r>
    </w:p>
    <w:p>
      <w:pPr>
        <w:spacing w:line="360" w:lineRule="auto"/>
        <w:ind w:firstLine="420" w:firstLineChars="200"/>
        <w:rPr>
          <w:rFonts w:hint="eastAsia" w:ascii="宋体" w:hAnsi="宋体" w:eastAsia="宋体" w:cs="宋体"/>
          <w:color w:val="auto"/>
          <w:szCs w:val="21"/>
          <w:highlight w:val="none"/>
          <w:u w:val="singl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三、我方直接控股的单位名称如下（直接或间接持股50％及以上的被投资单位）：</w:t>
      </w:r>
    </w:p>
    <w:p>
      <w:pPr>
        <w:spacing w:line="360" w:lineRule="auto"/>
        <w:ind w:firstLine="420" w:firstLineChars="200"/>
        <w:rPr>
          <w:rFonts w:hint="eastAsia" w:ascii="宋体" w:hAnsi="宋体" w:eastAsia="宋体" w:cs="宋体"/>
          <w:color w:val="auto"/>
          <w:szCs w:val="21"/>
          <w:highlight w:val="none"/>
          <w:u w:val="singl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四、与我方存在管理、被管理关系的单位名称如下：</w:t>
      </w:r>
    </w:p>
    <w:p>
      <w:pPr>
        <w:spacing w:line="360" w:lineRule="auto"/>
        <w:rPr>
          <w:rFonts w:hint="eastAsia" w:ascii="宋体" w:hAnsi="宋体" w:eastAsia="宋体" w:cs="宋体"/>
          <w:color w:val="auto"/>
          <w:szCs w:val="21"/>
          <w:highlight w:val="none"/>
          <w:u w:val="singl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我方承诺上述有关联关系的单位不参与本项目的投标，如有参与投标，我方投标文件为无效投标文件。</w:t>
      </w:r>
    </w:p>
    <w:p>
      <w:pPr>
        <w:spacing w:line="360" w:lineRule="auto"/>
        <w:ind w:firstLine="420" w:firstLineChars="200"/>
        <w:rPr>
          <w:rFonts w:hint="eastAsia" w:ascii="宋体" w:hAnsi="宋体" w:eastAsia="宋体" w:cs="宋体"/>
          <w:color w:val="auto"/>
          <w:szCs w:val="21"/>
          <w:highlight w:val="none"/>
        </w:rPr>
      </w:pPr>
    </w:p>
    <w:p>
      <w:pPr>
        <w:tabs>
          <w:tab w:val="left" w:pos="2268"/>
        </w:tabs>
        <w:spacing w:line="420" w:lineRule="exact"/>
        <w:ind w:firstLine="420" w:firstLineChars="200"/>
        <w:rPr>
          <w:rFonts w:hint="eastAsia" w:ascii="宋体" w:hAnsi="宋体" w:eastAsia="宋体" w:cs="宋体"/>
          <w:color w:val="auto"/>
          <w:szCs w:val="21"/>
          <w:highlight w:val="none"/>
        </w:rPr>
      </w:pPr>
    </w:p>
    <w:p>
      <w:pPr>
        <w:tabs>
          <w:tab w:val="left" w:pos="2268"/>
        </w:tabs>
        <w:spacing w:line="420" w:lineRule="exact"/>
        <w:ind w:firstLine="420" w:firstLineChars="200"/>
        <w:rPr>
          <w:rFonts w:hint="eastAsia" w:ascii="宋体" w:hAnsi="宋体" w:eastAsia="宋体" w:cs="宋体"/>
          <w:color w:val="auto"/>
          <w:szCs w:val="21"/>
          <w:highlight w:val="none"/>
        </w:rPr>
      </w:pPr>
    </w:p>
    <w:p>
      <w:pPr>
        <w:tabs>
          <w:tab w:val="left" w:pos="2268"/>
        </w:tabs>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tabs>
          <w:tab w:val="left" w:pos="2268"/>
        </w:tabs>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投标人法定代表人或其委托人签字或印鉴：</w:t>
      </w:r>
    </w:p>
    <w:p>
      <w:pPr>
        <w:tabs>
          <w:tab w:val="left" w:pos="2268"/>
        </w:tabs>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rPr>
          <w:rFonts w:hint="eastAsia" w:ascii="宋体" w:hAnsi="宋体" w:eastAsia="宋体" w:cs="宋体"/>
          <w:color w:val="auto"/>
          <w:szCs w:val="21"/>
          <w:highlight w:val="none"/>
        </w:rPr>
      </w:pPr>
    </w:p>
    <w:p>
      <w:pPr>
        <w:snapToGrid w:val="0"/>
        <w:spacing w:line="360" w:lineRule="auto"/>
        <w:ind w:firstLine="480" w:firstLineChars="22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注：有以上情况的单位名称请应列尽列，若无相关情况请填写“无”。</w:t>
      </w:r>
    </w:p>
    <w:p>
      <w:pPr>
        <w:pStyle w:val="10"/>
        <w:ind w:firstLine="0"/>
        <w:rPr>
          <w:rFonts w:hint="eastAsia" w:ascii="宋体" w:hAnsi="宋体" w:eastAsia="宋体" w:cs="宋体"/>
          <w:color w:val="auto"/>
          <w:highlight w:val="none"/>
        </w:rPr>
      </w:pPr>
    </w:p>
    <w:p>
      <w:pPr>
        <w:spacing w:before="319" w:beforeLines="100" w:after="319" w:afterLines="100" w:line="480" w:lineRule="exact"/>
        <w:ind w:right="630" w:rightChars="300"/>
        <w:jc w:val="center"/>
        <w:rPr>
          <w:rFonts w:hint="eastAsia" w:ascii="宋体" w:hAnsi="宋体" w:eastAsia="宋体" w:cs="宋体"/>
          <w:b/>
          <w:color w:val="auto"/>
          <w:sz w:val="28"/>
          <w:szCs w:val="28"/>
          <w:highlight w:val="none"/>
        </w:rPr>
      </w:pPr>
    </w:p>
    <w:p>
      <w:pPr>
        <w:pStyle w:val="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59" w:name="_Toc96523899"/>
      <w:r>
        <w:rPr>
          <w:rFonts w:hint="eastAsia" w:ascii="宋体" w:hAnsi="宋体" w:eastAsia="宋体" w:cs="宋体"/>
          <w:color w:val="auto"/>
          <w:sz w:val="24"/>
          <w:szCs w:val="24"/>
          <w:highlight w:val="none"/>
        </w:rPr>
        <w:t>格式5.符合“供应商资格”要求的其他证明文件</w:t>
      </w:r>
      <w:bookmarkEnd w:id="159"/>
    </w:p>
    <w:p>
      <w:pPr>
        <w:pStyle w:val="64"/>
        <w:spacing w:line="360" w:lineRule="auto"/>
        <w:rPr>
          <w:rFonts w:hint="eastAsia" w:ascii="宋体" w:hAnsi="宋体" w:cs="宋体"/>
          <w:color w:val="auto"/>
          <w:highlight w:val="none"/>
        </w:rPr>
      </w:pPr>
    </w:p>
    <w:p>
      <w:pPr>
        <w:pStyle w:val="64"/>
        <w:spacing w:line="360" w:lineRule="auto"/>
        <w:rPr>
          <w:rFonts w:hint="eastAsia" w:ascii="宋体" w:hAnsi="宋体" w:cs="宋体"/>
          <w:color w:val="auto"/>
          <w:highlight w:val="none"/>
        </w:rPr>
      </w:pPr>
      <w:r>
        <w:rPr>
          <w:rFonts w:hint="eastAsia" w:ascii="宋体" w:hAnsi="宋体" w:cs="宋体"/>
          <w:color w:val="auto"/>
          <w:highlight w:val="none"/>
        </w:rPr>
        <w:t>附件1：供应商认为必要的其他材料，如已经成功领取采购文件的证明材料（含采购代理机构邮件发送采购文件电子版的截图或者采购代理机构开具的本次采购文件获取的发票或者采购代理机构成功领取采购文件的登记截图）</w:t>
      </w:r>
    </w:p>
    <w:p>
      <w:pPr>
        <w:rPr>
          <w:rFonts w:hint="eastAsia" w:ascii="宋体" w:hAnsi="宋体" w:eastAsia="宋体" w:cs="宋体"/>
          <w:color w:val="auto"/>
          <w:highlight w:val="none"/>
        </w:rPr>
      </w:pPr>
    </w:p>
    <w:p>
      <w:pPr>
        <w:spacing w:before="319" w:beforeLines="100" w:after="319" w:afterLines="100" w:line="480" w:lineRule="exact"/>
        <w:ind w:right="630" w:rightChars="300"/>
        <w:jc w:val="center"/>
        <w:rPr>
          <w:rFonts w:hint="eastAsia" w:ascii="宋体" w:hAnsi="宋体" w:eastAsia="宋体" w:cs="宋体"/>
          <w:color w:val="auto"/>
          <w:szCs w:val="21"/>
          <w:highlight w:val="none"/>
        </w:rPr>
      </w:pPr>
    </w:p>
    <w:p>
      <w:pPr>
        <w:pStyle w:val="5"/>
        <w:rPr>
          <w:rFonts w:hint="eastAsia" w:ascii="宋体" w:hAnsi="宋体" w:eastAsia="宋体" w:cs="宋体"/>
          <w:color w:val="auto"/>
          <w:szCs w:val="28"/>
          <w:highlight w:val="none"/>
        </w:rPr>
      </w:pPr>
      <w:r>
        <w:rPr>
          <w:rFonts w:hint="eastAsia" w:ascii="宋体" w:hAnsi="宋体" w:eastAsia="宋体" w:cs="宋体"/>
          <w:color w:val="auto"/>
          <w:szCs w:val="21"/>
          <w:highlight w:val="none"/>
        </w:rPr>
        <w:br w:type="page"/>
      </w:r>
      <w:bookmarkStart w:id="160" w:name="_Toc96523900"/>
      <w:bookmarkStart w:id="161" w:name="_Toc13483_WPSOffice_Level1"/>
      <w:r>
        <w:rPr>
          <w:rFonts w:hint="eastAsia" w:ascii="宋体" w:hAnsi="宋体" w:eastAsia="宋体" w:cs="宋体"/>
          <w:color w:val="auto"/>
          <w:highlight w:val="none"/>
        </w:rPr>
        <w:t>第三章 投标文件商务部分</w:t>
      </w:r>
      <w:bookmarkEnd w:id="160"/>
      <w:bookmarkEnd w:id="161"/>
    </w:p>
    <w:p>
      <w:pPr>
        <w:pStyle w:val="64"/>
        <w:rPr>
          <w:rFonts w:hint="eastAsia" w:ascii="宋体" w:hAnsi="宋体" w:cs="宋体"/>
          <w:color w:val="auto"/>
          <w:highlight w:val="none"/>
        </w:rPr>
      </w:pPr>
    </w:p>
    <w:p>
      <w:pPr>
        <w:pStyle w:val="6"/>
        <w:rPr>
          <w:rFonts w:hint="eastAsia" w:ascii="宋体" w:hAnsi="宋体" w:eastAsia="宋体" w:cs="宋体"/>
          <w:color w:val="auto"/>
          <w:sz w:val="24"/>
          <w:szCs w:val="24"/>
          <w:highlight w:val="none"/>
        </w:rPr>
      </w:pPr>
      <w:bookmarkStart w:id="162" w:name="_Toc96523901"/>
      <w:r>
        <w:rPr>
          <w:rFonts w:hint="eastAsia" w:ascii="宋体" w:hAnsi="宋体" w:eastAsia="宋体" w:cs="宋体"/>
          <w:color w:val="auto"/>
          <w:sz w:val="24"/>
          <w:szCs w:val="24"/>
          <w:highlight w:val="none"/>
        </w:rPr>
        <w:t>格式6.投标函</w:t>
      </w:r>
      <w:bookmarkEnd w:id="162"/>
    </w:p>
    <w:p>
      <w:pPr>
        <w:spacing w:before="319" w:beforeLines="100" w:after="319" w:afterLines="100" w:line="480" w:lineRule="exact"/>
        <w:ind w:right="-21" w:rightChars="-10"/>
        <w:jc w:val="center"/>
        <w:rPr>
          <w:rFonts w:hint="eastAsia" w:ascii="宋体" w:hAnsi="宋体" w:eastAsia="宋体" w:cs="宋体"/>
          <w:b/>
          <w:color w:val="auto"/>
          <w:sz w:val="32"/>
          <w:szCs w:val="32"/>
          <w:highlight w:val="none"/>
        </w:rPr>
      </w:pPr>
      <w:bookmarkStart w:id="163" w:name="_Toc28883_WPSOffice_Level1"/>
      <w:bookmarkStart w:id="164" w:name="_Toc24841_WPSOffice_Level2"/>
      <w:bookmarkStart w:id="165" w:name="_Toc14782_WPSOffice_Level2"/>
      <w:r>
        <w:rPr>
          <w:rFonts w:hint="eastAsia" w:ascii="宋体" w:hAnsi="宋体" w:eastAsia="宋体" w:cs="宋体"/>
          <w:b/>
          <w:color w:val="auto"/>
          <w:sz w:val="32"/>
          <w:szCs w:val="32"/>
          <w:highlight w:val="none"/>
        </w:rPr>
        <w:t>投标函</w:t>
      </w:r>
      <w:bookmarkEnd w:id="163"/>
      <w:bookmarkEnd w:id="164"/>
      <w:bookmarkEnd w:id="165"/>
    </w:p>
    <w:p>
      <w:pPr>
        <w:adjustRightInd w:val="0"/>
        <w:snapToGrid w:val="0"/>
        <w:spacing w:line="360" w:lineRule="auto"/>
        <w:ind w:right="630" w:right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（采购人或采购代理机构）</w:t>
      </w:r>
    </w:p>
    <w:p>
      <w:pPr>
        <w:spacing w:line="440" w:lineRule="exact"/>
        <w:ind w:left="158" w:leftChars="75" w:firstLine="500" w:firstLineChars="200"/>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我方收到贵方关于</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pacing w:val="20"/>
          <w:szCs w:val="21"/>
          <w:highlight w:val="none"/>
        </w:rPr>
        <w:t>（项目编号：</w:t>
      </w:r>
      <w:r>
        <w:rPr>
          <w:rFonts w:hint="eastAsia" w:ascii="宋体" w:hAnsi="宋体" w:eastAsia="宋体" w:cs="宋体"/>
          <w:color w:val="auto"/>
          <w:szCs w:val="21"/>
          <w:highlight w:val="none"/>
          <w:u w:val="single"/>
        </w:rPr>
        <w:t xml:space="preserve">（项目编号） </w:t>
      </w:r>
      <w:r>
        <w:rPr>
          <w:rFonts w:hint="eastAsia" w:ascii="宋体" w:hAnsi="宋体" w:eastAsia="宋体" w:cs="宋体"/>
          <w:color w:val="auto"/>
          <w:spacing w:val="20"/>
          <w:szCs w:val="21"/>
          <w:highlight w:val="none"/>
        </w:rPr>
        <w:t>）的招标文件，</w:t>
      </w:r>
      <w:r>
        <w:rPr>
          <w:rFonts w:hint="eastAsia" w:ascii="宋体" w:hAnsi="宋体" w:eastAsia="宋体" w:cs="宋体"/>
          <w:color w:val="auto"/>
          <w:szCs w:val="21"/>
          <w:highlight w:val="none"/>
        </w:rPr>
        <w:t>我方完全理解招标文件的所有内容，现决定投标本项目，据此我方承诺如下：</w:t>
      </w:r>
    </w:p>
    <w:p>
      <w:pPr>
        <w:tabs>
          <w:tab w:val="left" w:pos="420"/>
          <w:tab w:val="left" w:pos="510"/>
        </w:tabs>
        <w:spacing w:line="440" w:lineRule="exact"/>
        <w:ind w:left="5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1.我方的投标文件在投标截止日后90天（日历天）内保持有效，如中标，有效期将延至本项目《采购合同》执行期满日为止。</w:t>
      </w:r>
    </w:p>
    <w:p>
      <w:pPr>
        <w:tabs>
          <w:tab w:val="left" w:pos="420"/>
          <w:tab w:val="left" w:pos="510"/>
        </w:tabs>
        <w:spacing w:line="440" w:lineRule="exact"/>
        <w:ind w:left="51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参与投标前已仔细研究了招标文件和所有相关资料，我方完全明白并认为此招标文件没有倾向性，也没有存在排斥潜在投标人的内容，我方同意招标文件的相关条款，放弃对招标文件提出询问和质疑的一切权利。</w:t>
      </w:r>
    </w:p>
    <w:p>
      <w:pPr>
        <w:tabs>
          <w:tab w:val="left" w:pos="420"/>
          <w:tab w:val="left" w:pos="510"/>
        </w:tabs>
        <w:spacing w:line="440" w:lineRule="exact"/>
        <w:ind w:left="51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作为在法律、财务和运作上独立于采购方、采购代理机构的投标供应商，在此保证所提交的所有文件和全部说明是真实的和正确的。由于我方提供资料不实而造成的责任和后果由我方承担。我方同意按照贵方提出的要求，提供与投标有关的任何其它数据或信息。</w:t>
      </w:r>
    </w:p>
    <w:p>
      <w:pPr>
        <w:tabs>
          <w:tab w:val="left" w:pos="420"/>
          <w:tab w:val="left" w:pos="510"/>
        </w:tabs>
        <w:spacing w:line="440" w:lineRule="exact"/>
        <w:ind w:left="51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4.我方理解贵方不一定接受最低报价的投标。</w:t>
      </w:r>
    </w:p>
    <w:p>
      <w:pPr>
        <w:tabs>
          <w:tab w:val="left" w:pos="420"/>
          <w:tab w:val="left" w:pos="510"/>
        </w:tabs>
        <w:spacing w:line="440" w:lineRule="exact"/>
        <w:ind w:left="51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5.我方同意如在本项目开标后、投标有效期之内撤回投标的，贵方将不退还投标保证金（如有）。</w:t>
      </w:r>
    </w:p>
    <w:p>
      <w:pPr>
        <w:tabs>
          <w:tab w:val="left" w:pos="420"/>
          <w:tab w:val="left" w:pos="510"/>
        </w:tabs>
        <w:spacing w:line="440" w:lineRule="exact"/>
        <w:ind w:left="51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6.我方如果中标，保证履行投标文件中承诺的全部责任和义务，切实履行《采购合同》中的全部条款并按照《招标文件》的要求向贵司足额交纳招标代理服务费。</w:t>
      </w:r>
    </w:p>
    <w:p>
      <w:pPr>
        <w:tabs>
          <w:tab w:val="left" w:pos="420"/>
          <w:tab w:val="left" w:pos="510"/>
        </w:tabs>
        <w:spacing w:line="440" w:lineRule="exact"/>
        <w:ind w:left="51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pPr>
        <w:tabs>
          <w:tab w:val="left" w:pos="420"/>
          <w:tab w:val="left" w:pos="510"/>
        </w:tabs>
        <w:spacing w:line="440" w:lineRule="exact"/>
        <w:ind w:left="51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8.与本投标有关的一切正式往来通讯请寄：</w:t>
      </w:r>
    </w:p>
    <w:p>
      <w:pPr>
        <w:tabs>
          <w:tab w:val="left" w:pos="900"/>
          <w:tab w:val="left" w:pos="5529"/>
        </w:tabs>
        <w:spacing w:line="440" w:lineRule="exact"/>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邮编：</w:t>
      </w:r>
    </w:p>
    <w:p>
      <w:pPr>
        <w:tabs>
          <w:tab w:val="left" w:pos="900"/>
          <w:tab w:val="left" w:pos="5529"/>
        </w:tabs>
        <w:spacing w:line="440" w:lineRule="exact"/>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传真：</w:t>
      </w:r>
    </w:p>
    <w:p>
      <w:pPr>
        <w:tabs>
          <w:tab w:val="left" w:pos="900"/>
        </w:tabs>
        <w:spacing w:line="440" w:lineRule="exact"/>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投标人代表姓名、职务（印刷体）：电话：</w:t>
      </w:r>
    </w:p>
    <w:p>
      <w:pPr>
        <w:tabs>
          <w:tab w:val="left" w:pos="900"/>
        </w:tabs>
        <w:spacing w:line="440" w:lineRule="exact"/>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tabs>
          <w:tab w:val="left" w:pos="900"/>
        </w:tabs>
        <w:spacing w:line="440" w:lineRule="exact"/>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投标人法定代表人或其委托人签字或盖章：</w:t>
      </w:r>
    </w:p>
    <w:p>
      <w:pPr>
        <w:tabs>
          <w:tab w:val="left" w:pos="900"/>
        </w:tabs>
        <w:spacing w:line="440" w:lineRule="exact"/>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pPr>
        <w:tabs>
          <w:tab w:val="left" w:pos="900"/>
        </w:tabs>
        <w:spacing w:line="440" w:lineRule="exact"/>
        <w:ind w:left="54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注：法定代表人委托全权代表人，需附法定代表人签字或印鉴的授权书。</w:t>
      </w:r>
    </w:p>
    <w:p>
      <w:pPr>
        <w:pStyle w:val="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66" w:name="_Toc96523902"/>
      <w:r>
        <w:rPr>
          <w:rFonts w:hint="eastAsia" w:ascii="宋体" w:hAnsi="宋体" w:eastAsia="宋体" w:cs="宋体"/>
          <w:color w:val="auto"/>
          <w:sz w:val="24"/>
          <w:szCs w:val="24"/>
          <w:highlight w:val="none"/>
        </w:rPr>
        <w:t>格式7.</w:t>
      </w:r>
      <w:bookmarkStart w:id="167" w:name="_Toc2734"/>
      <w:r>
        <w:rPr>
          <w:rFonts w:hint="eastAsia" w:ascii="宋体" w:hAnsi="宋体" w:eastAsia="宋体" w:cs="宋体"/>
          <w:color w:val="auto"/>
          <w:sz w:val="24"/>
          <w:szCs w:val="24"/>
          <w:highlight w:val="none"/>
        </w:rPr>
        <w:t xml:space="preserve"> 法定代表人证明书</w:t>
      </w:r>
      <w:bookmarkEnd w:id="166"/>
      <w:bookmarkEnd w:id="167"/>
    </w:p>
    <w:p>
      <w:pPr>
        <w:jc w:val="center"/>
        <w:rPr>
          <w:rFonts w:hint="eastAsia" w:ascii="宋体" w:hAnsi="宋体" w:eastAsia="宋体" w:cs="宋体"/>
          <w:b/>
          <w:bCs/>
          <w:color w:val="auto"/>
          <w:sz w:val="32"/>
          <w:szCs w:val="32"/>
          <w:highlight w:val="none"/>
        </w:rPr>
      </w:pPr>
      <w:bookmarkStart w:id="168" w:name="_Toc3401_WPSOffice_Level2"/>
      <w:bookmarkStart w:id="169" w:name="_Toc16924_WPSOffice_Level2"/>
    </w:p>
    <w:bookmarkEnd w:id="168"/>
    <w:bookmarkEnd w:id="169"/>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法定代表人证明书和法定代表人授权书按以下格式填写，如由法定代表人投标并签署投标文件，需提供法定代表人证明书，否则需提供法定代表人证明书和法定代表人授权书。</w:t>
      </w:r>
    </w:p>
    <w:p>
      <w:pPr>
        <w:pStyle w:val="10"/>
        <w:jc w:val="center"/>
        <w:rPr>
          <w:rFonts w:hint="eastAsia" w:ascii="宋体" w:hAnsi="宋体" w:eastAsia="宋体" w:cs="宋体"/>
          <w:b/>
          <w:color w:val="auto"/>
          <w:szCs w:val="21"/>
          <w:highlight w:val="none"/>
        </w:rPr>
      </w:pPr>
    </w:p>
    <w:p>
      <w:pPr>
        <w:pStyle w:val="10"/>
        <w:jc w:val="center"/>
        <w:rPr>
          <w:rFonts w:hint="eastAsia" w:ascii="宋体" w:hAnsi="宋体" w:eastAsia="宋体" w:cs="宋体"/>
          <w:b/>
          <w:color w:val="auto"/>
          <w:szCs w:val="21"/>
          <w:highlight w:val="none"/>
        </w:rPr>
      </w:pPr>
      <w:bookmarkStart w:id="170" w:name="_Toc1829_WPSOffice_Level1"/>
      <w:r>
        <w:rPr>
          <w:rFonts w:hint="eastAsia" w:ascii="宋体" w:hAnsi="宋体" w:eastAsia="宋体" w:cs="宋体"/>
          <w:b/>
          <w:color w:val="auto"/>
          <w:szCs w:val="21"/>
          <w:highlight w:val="none"/>
        </w:rPr>
        <w:t>法定代表人证明书</w:t>
      </w:r>
      <w:bookmarkEnd w:id="170"/>
    </w:p>
    <w:p>
      <w:pPr>
        <w:spacing w:line="360" w:lineRule="auto"/>
        <w:rPr>
          <w:rFonts w:hint="eastAsia" w:ascii="宋体" w:hAnsi="宋体" w:eastAsia="宋体" w:cs="宋体"/>
          <w:b/>
          <w:bCs/>
          <w:color w:val="auto"/>
          <w:szCs w:val="21"/>
          <w:highlight w:val="none"/>
        </w:rPr>
      </w:pPr>
    </w:p>
    <w:p>
      <w:pPr>
        <w:spacing w:line="360" w:lineRule="auto"/>
        <w:ind w:left="640" w:leftChars="30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同志，现任我单位职务，为法定代表人，特此证明。</w:t>
      </w:r>
    </w:p>
    <w:p>
      <w:pPr>
        <w:spacing w:line="360" w:lineRule="auto"/>
        <w:ind w:left="712" w:leftChars="119" w:hanging="462" w:hangingChars="2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签发日期：年月日</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营业执照/登记证书（注册号或登记号）： </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经济性质：</w:t>
      </w:r>
    </w:p>
    <w:p>
      <w:pPr>
        <w:spacing w:line="360" w:lineRule="auto"/>
        <w:ind w:left="748" w:hanging="5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主营（产）：</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兼营（产）：</w:t>
      </w: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spacing w:line="400" w:lineRule="exact"/>
        <w:ind w:left="748" w:hanging="567"/>
        <w:rPr>
          <w:rFonts w:hint="eastAsia" w:ascii="宋体" w:hAnsi="宋体" w:eastAsia="宋体" w:cs="宋体"/>
          <w:color w:val="auto"/>
          <w:szCs w:val="21"/>
          <w:highlight w:val="none"/>
        </w:rPr>
      </w:pPr>
    </w:p>
    <w:p>
      <w:pPr>
        <w:pStyle w:val="10"/>
        <w:rPr>
          <w:rFonts w:hint="eastAsia" w:ascii="宋体" w:hAnsi="宋体" w:eastAsia="宋体" w:cs="宋体"/>
          <w:b/>
          <w:color w:val="auto"/>
          <w:szCs w:val="21"/>
          <w:highlight w:val="none"/>
        </w:rPr>
      </w:pPr>
      <w:r>
        <w:rPr>
          <w:rFonts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2846705</wp:posOffset>
                </wp:positionH>
                <wp:positionV relativeFrom="paragraph">
                  <wp:posOffset>355600</wp:posOffset>
                </wp:positionV>
                <wp:extent cx="2491740" cy="1596390"/>
                <wp:effectExtent l="4445" t="4445" r="5715" b="12065"/>
                <wp:wrapNone/>
                <wp:docPr id="8" name="矩形 1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pPr>
                              <w:jc w:val="center"/>
                            </w:pPr>
                          </w:p>
                          <w:p>
                            <w:pPr>
                              <w:jc w:val="center"/>
                              <w:rPr>
                                <w:szCs w:val="21"/>
                              </w:rPr>
                            </w:pPr>
                            <w:r>
                              <w:rPr>
                                <w:rFonts w:hint="eastAsia"/>
                                <w:szCs w:val="21"/>
                              </w:rPr>
                              <w:t>法定代表人</w:t>
                            </w:r>
                          </w:p>
                          <w:p>
                            <w:pPr>
                              <w:jc w:val="center"/>
                              <w:rPr>
                                <w:szCs w:val="21"/>
                              </w:rPr>
                            </w:pPr>
                            <w:r>
                              <w:rPr>
                                <w:rFonts w:hint="eastAsia"/>
                                <w:b/>
                                <w:szCs w:val="21"/>
                                <w:u w:val="single"/>
                              </w:rPr>
                              <w:t>有效期内的</w:t>
                            </w:r>
                            <w:r>
                              <w:rPr>
                                <w:rFonts w:hint="eastAsia"/>
                                <w:szCs w:val="21"/>
                              </w:rPr>
                              <w:t>居民身份证复印件（反面）粘贴处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6" o:spid="_x0000_s1026" o:spt="1" style="position:absolute;left:0pt;margin-left:224.15pt;margin-top:28pt;height:125.7pt;width:196.2pt;z-index:251661312;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&#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dwp+NkAAAAKAQAADwAAAAAAAAABACAAAAAiAAAA&#10;ZHJzL2Rvd25yZXYueG1sUEsBAhQAFAAAAAgAh07iQHSPisI/AgAAigQAAA4AAAAAAAAAAQAgAAAA&#10;KAEAAGRycy9lMm9Eb2MueG1sUEsFBgAAAAAGAAYAWQEAANkFAAAAAA==&#10;">
                <v:fill on="t" focussize="0,0"/>
                <v:stroke color="#000000" miterlimit="8" joinstyle="miter"/>
                <v:imagedata o:title=""/>
                <o:lock v:ext="edit" aspectratio="f"/>
                <v:textbox>
                  <w:txbxContent>
                    <w:p>
                      <w:pPr>
                        <w:jc w:val="center"/>
                      </w:pPr>
                    </w:p>
                    <w:p>
                      <w:pPr>
                        <w:jc w:val="center"/>
                        <w:rPr>
                          <w:szCs w:val="21"/>
                        </w:rPr>
                      </w:pPr>
                      <w:r>
                        <w:rPr>
                          <w:rFonts w:hint="eastAsia"/>
                          <w:szCs w:val="21"/>
                        </w:rPr>
                        <w:t>法定代表人</w:t>
                      </w:r>
                    </w:p>
                    <w:p>
                      <w:pPr>
                        <w:jc w:val="center"/>
                        <w:rPr>
                          <w:szCs w:val="21"/>
                        </w:rPr>
                      </w:pPr>
                      <w:r>
                        <w:rPr>
                          <w:rFonts w:hint="eastAsia"/>
                          <w:b/>
                          <w:szCs w:val="21"/>
                          <w:u w:val="single"/>
                        </w:rPr>
                        <w:t>有效期内的</w:t>
                      </w:r>
                      <w:r>
                        <w:rPr>
                          <w:rFonts w:hint="eastAsia"/>
                          <w:szCs w:val="21"/>
                        </w:rPr>
                        <w:t>居民身份证复印件（反面）粘贴处</w:t>
                      </w:r>
                    </w:p>
                    <w:p>
                      <w:pPr>
                        <w:jc w:val="center"/>
                        <w:rPr>
                          <w:szCs w:val="21"/>
                        </w:rPr>
                      </w:pPr>
                    </w:p>
                  </w:txbxContent>
                </v:textbox>
              </v:rect>
            </w:pict>
          </mc:Fallback>
        </mc:AlternateContent>
      </w:r>
      <w:r>
        <w:rPr>
          <w:rFonts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355600</wp:posOffset>
                </wp:positionV>
                <wp:extent cx="2479675" cy="1596390"/>
                <wp:effectExtent l="5080" t="4445" r="4445" b="12065"/>
                <wp:wrapNone/>
                <wp:docPr id="7" name="矩形 1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pPr>
                              <w:jc w:val="center"/>
                            </w:pPr>
                          </w:p>
                          <w:p>
                            <w:pPr>
                              <w:jc w:val="center"/>
                              <w:rPr>
                                <w:szCs w:val="21"/>
                              </w:rPr>
                            </w:pPr>
                            <w:r>
                              <w:rPr>
                                <w:rFonts w:hint="eastAsia"/>
                                <w:szCs w:val="21"/>
                              </w:rPr>
                              <w:t>法定代表人</w:t>
                            </w:r>
                          </w:p>
                          <w:p>
                            <w:pPr>
                              <w:jc w:val="center"/>
                              <w:rPr>
                                <w:szCs w:val="21"/>
                              </w:rPr>
                            </w:pPr>
                            <w:r>
                              <w:rPr>
                                <w:rFonts w:hint="eastAsia"/>
                                <w:b/>
                                <w:szCs w:val="21"/>
                                <w:u w:val="single"/>
                              </w:rPr>
                              <w:t>有效期内的</w:t>
                            </w:r>
                            <w:r>
                              <w:rPr>
                                <w:rFonts w:hint="eastAsia"/>
                                <w:szCs w:val="21"/>
                              </w:rPr>
                              <w:t>居民身份证复印件（正面）粘贴处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13.25pt;margin-top:28pt;height:125.7pt;width:195.25pt;z-index:251660288;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RX9ca2AAAAAkBAAAPAAAAAAAAAAEAIAAAACIA&#10;AABkcnMvZG93bnJldi54bWxQSwECFAAUAAAACACHTuJAko/1gUICAACKBAAADgAAAAAAAAABACAA&#10;AAAnAQAAZHJzL2Uyb0RvYy54bWxQSwUGAAAAAAYABgBZAQAA2wUAAAAA&#10;">
                <v:fill on="t" focussize="0,0"/>
                <v:stroke color="#000000" miterlimit="8" joinstyle="miter"/>
                <v:imagedata o:title=""/>
                <o:lock v:ext="edit" aspectratio="f"/>
                <v:textbox>
                  <w:txbxContent>
                    <w:p>
                      <w:pPr>
                        <w:jc w:val="center"/>
                      </w:pPr>
                    </w:p>
                    <w:p>
                      <w:pPr>
                        <w:jc w:val="center"/>
                        <w:rPr>
                          <w:szCs w:val="21"/>
                        </w:rPr>
                      </w:pPr>
                      <w:r>
                        <w:rPr>
                          <w:rFonts w:hint="eastAsia"/>
                          <w:szCs w:val="21"/>
                        </w:rPr>
                        <w:t>法定代表人</w:t>
                      </w:r>
                    </w:p>
                    <w:p>
                      <w:pPr>
                        <w:jc w:val="center"/>
                        <w:rPr>
                          <w:szCs w:val="21"/>
                        </w:rPr>
                      </w:pPr>
                      <w:r>
                        <w:rPr>
                          <w:rFonts w:hint="eastAsia"/>
                          <w:b/>
                          <w:szCs w:val="21"/>
                          <w:u w:val="single"/>
                        </w:rPr>
                        <w:t>有效期内的</w:t>
                      </w:r>
                      <w:r>
                        <w:rPr>
                          <w:rFonts w:hint="eastAsia"/>
                          <w:szCs w:val="21"/>
                        </w:rPr>
                        <w:t>居民身份证复印件（正面）粘贴处</w:t>
                      </w:r>
                    </w:p>
                    <w:p>
                      <w:pPr>
                        <w:jc w:val="center"/>
                        <w:rPr>
                          <w:szCs w:val="21"/>
                        </w:rPr>
                      </w:pPr>
                    </w:p>
                  </w:txbxContent>
                </v:textbox>
              </v:rect>
            </w:pict>
          </mc:Fallback>
        </mc:AlternateContent>
      </w:r>
    </w:p>
    <w:p>
      <w:pPr>
        <w:pStyle w:val="10"/>
        <w:rPr>
          <w:rFonts w:hint="eastAsia" w:ascii="宋体" w:hAnsi="宋体" w:eastAsia="宋体" w:cs="宋体"/>
          <w:b/>
          <w:color w:val="auto"/>
          <w:szCs w:val="21"/>
          <w:highlight w:val="none"/>
        </w:rPr>
      </w:pPr>
    </w:p>
    <w:p>
      <w:pPr>
        <w:pStyle w:val="10"/>
        <w:rPr>
          <w:rFonts w:hint="eastAsia" w:ascii="宋体" w:hAnsi="宋体" w:eastAsia="宋体" w:cs="宋体"/>
          <w:b/>
          <w:color w:val="auto"/>
          <w:szCs w:val="21"/>
          <w:highlight w:val="none"/>
        </w:rPr>
      </w:pPr>
    </w:p>
    <w:p>
      <w:pPr>
        <w:pStyle w:val="10"/>
        <w:rPr>
          <w:rFonts w:hint="eastAsia" w:ascii="宋体" w:hAnsi="宋体" w:eastAsia="宋体" w:cs="宋体"/>
          <w:b/>
          <w:color w:val="auto"/>
          <w:szCs w:val="21"/>
          <w:highlight w:val="none"/>
        </w:rPr>
      </w:pPr>
    </w:p>
    <w:p>
      <w:pPr>
        <w:pStyle w:val="10"/>
        <w:rPr>
          <w:rFonts w:hint="eastAsia" w:ascii="宋体" w:hAnsi="宋体" w:eastAsia="宋体" w:cs="宋体"/>
          <w:b/>
          <w:color w:val="auto"/>
          <w:szCs w:val="21"/>
          <w:highlight w:val="none"/>
        </w:rPr>
      </w:pPr>
    </w:p>
    <w:p>
      <w:pPr>
        <w:pStyle w:val="10"/>
        <w:spacing w:line="480" w:lineRule="auto"/>
        <w:ind w:firstLine="0"/>
        <w:rPr>
          <w:rFonts w:hint="eastAsia" w:ascii="宋体" w:hAnsi="宋体" w:eastAsia="宋体" w:cs="宋体"/>
          <w:b/>
          <w:color w:val="auto"/>
          <w:szCs w:val="21"/>
          <w:highlight w:val="none"/>
        </w:rPr>
      </w:pPr>
    </w:p>
    <w:p>
      <w:pPr>
        <w:pStyle w:val="6"/>
        <w:rPr>
          <w:rFonts w:hint="eastAsia" w:ascii="宋体" w:hAnsi="宋体" w:eastAsia="宋体" w:cs="宋体"/>
          <w:color w:val="auto"/>
          <w:sz w:val="24"/>
          <w:szCs w:val="24"/>
          <w:highlight w:val="none"/>
        </w:rPr>
      </w:pPr>
      <w:r>
        <w:rPr>
          <w:rFonts w:hint="eastAsia" w:ascii="宋体" w:hAnsi="宋体" w:eastAsia="宋体" w:cs="宋体"/>
          <w:b w:val="0"/>
          <w:color w:val="auto"/>
          <w:szCs w:val="21"/>
          <w:highlight w:val="none"/>
        </w:rPr>
        <w:br w:type="page"/>
      </w:r>
      <w:bookmarkStart w:id="171" w:name="_Toc96523903"/>
      <w:r>
        <w:rPr>
          <w:rFonts w:hint="eastAsia" w:ascii="宋体" w:hAnsi="宋体" w:eastAsia="宋体" w:cs="宋体"/>
          <w:color w:val="auto"/>
          <w:sz w:val="24"/>
          <w:szCs w:val="24"/>
          <w:highlight w:val="none"/>
        </w:rPr>
        <w:t>格式8. 法定代表人授权书</w:t>
      </w:r>
      <w:bookmarkEnd w:id="171"/>
    </w:p>
    <w:p>
      <w:pPr>
        <w:spacing w:line="360" w:lineRule="auto"/>
        <w:ind w:left="748" w:hanging="567"/>
        <w:jc w:val="center"/>
        <w:rPr>
          <w:rFonts w:hint="eastAsia" w:ascii="宋体" w:hAnsi="宋体" w:eastAsia="宋体" w:cs="宋体"/>
          <w:b/>
          <w:color w:val="auto"/>
          <w:szCs w:val="21"/>
          <w:highlight w:val="none"/>
        </w:rPr>
      </w:pPr>
    </w:p>
    <w:p>
      <w:pPr>
        <w:pStyle w:val="10"/>
        <w:jc w:val="center"/>
        <w:rPr>
          <w:rFonts w:hint="eastAsia" w:ascii="宋体" w:hAnsi="宋体" w:eastAsia="宋体" w:cs="宋体"/>
          <w:b/>
          <w:color w:val="auto"/>
          <w:szCs w:val="21"/>
          <w:highlight w:val="none"/>
        </w:rPr>
      </w:pPr>
      <w:bookmarkStart w:id="172" w:name="_Toc29120_WPSOffice_Level1"/>
      <w:r>
        <w:rPr>
          <w:rFonts w:hint="eastAsia" w:ascii="宋体" w:hAnsi="宋体" w:eastAsia="宋体" w:cs="宋体"/>
          <w:b/>
          <w:color w:val="auto"/>
          <w:szCs w:val="21"/>
          <w:highlight w:val="none"/>
        </w:rPr>
        <w:t>法定代表人授权书</w:t>
      </w:r>
      <w:bookmarkEnd w:id="172"/>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致：（采购代理机构名称）</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 xml:space="preserve">        （国家或地区）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在下面签字（或盖印鉴）的</w:t>
      </w:r>
      <w:r>
        <w:rPr>
          <w:rFonts w:hint="eastAsia" w:ascii="宋体" w:hAnsi="宋体" w:eastAsia="宋体" w:cs="宋体"/>
          <w:color w:val="auto"/>
          <w:szCs w:val="21"/>
          <w:highlight w:val="none"/>
          <w:u w:val="single"/>
        </w:rPr>
        <w:t xml:space="preserve">   （法定代表人姓名、职务）</w:t>
      </w:r>
      <w:r>
        <w:rPr>
          <w:rFonts w:hint="eastAsia" w:ascii="宋体" w:hAnsi="宋体" w:eastAsia="宋体" w:cs="宋体"/>
          <w:color w:val="auto"/>
          <w:szCs w:val="21"/>
          <w:highlight w:val="none"/>
        </w:rPr>
        <w:t>代表本单位授权在下面签字（或盖印鉴）的</w:t>
      </w:r>
      <w:r>
        <w:rPr>
          <w:rFonts w:hint="eastAsia" w:ascii="宋体" w:hAnsi="宋体" w:eastAsia="宋体" w:cs="宋体"/>
          <w:color w:val="auto"/>
          <w:szCs w:val="21"/>
          <w:highlight w:val="none"/>
          <w:u w:val="single"/>
        </w:rPr>
        <w:t xml:space="preserve">                          （被授权人的姓名、职务）</w:t>
      </w:r>
      <w:r>
        <w:rPr>
          <w:rFonts w:hint="eastAsia" w:ascii="宋体" w:hAnsi="宋体" w:eastAsia="宋体" w:cs="宋体"/>
          <w:color w:val="auto"/>
          <w:szCs w:val="21"/>
          <w:highlight w:val="none"/>
        </w:rPr>
        <w:t>为本单位的合法代表人，就</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（项目编号：）的投标活动，作为投标人代表以我方的名义处理有关事务。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年    月    日</w:t>
      </w:r>
      <w:r>
        <w:rPr>
          <w:rFonts w:hint="eastAsia" w:ascii="宋体" w:hAnsi="宋体" w:eastAsia="宋体" w:cs="宋体"/>
          <w:color w:val="auto"/>
          <w:szCs w:val="21"/>
          <w:highlight w:val="none"/>
        </w:rPr>
        <w:t>签字（或盖印鉴）生效，特此声明。</w:t>
      </w: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 名 称（并加盖公章）：</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法定代表人（签字或印鉴）：</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被授权人（签字或印鉴）：</w:t>
      </w: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p>
      <w:pPr>
        <w:spacing w:line="400" w:lineRule="exact"/>
        <w:ind w:left="748" w:hanging="567"/>
        <w:rPr>
          <w:rFonts w:hint="eastAsia" w:ascii="宋体" w:hAnsi="宋体" w:eastAsia="宋体" w:cs="宋体"/>
          <w:color w:val="auto"/>
          <w:szCs w:val="21"/>
          <w:highlight w:val="none"/>
        </w:rPr>
      </w:pPr>
    </w:p>
    <w:p>
      <w:pPr>
        <w:spacing w:line="400" w:lineRule="exact"/>
        <w:ind w:left="748" w:hanging="567"/>
        <w:rPr>
          <w:rFonts w:hint="eastAsia" w:ascii="宋体" w:hAnsi="宋体" w:eastAsia="宋体" w:cs="宋体"/>
          <w:color w:val="auto"/>
          <w:szCs w:val="21"/>
          <w:highlight w:val="none"/>
        </w:rPr>
      </w:pPr>
    </w:p>
    <w:p>
      <w:pPr>
        <w:spacing w:line="400" w:lineRule="exact"/>
        <w:ind w:left="748" w:hanging="567"/>
        <w:rPr>
          <w:rFonts w:hint="eastAsia" w:ascii="宋体" w:hAnsi="宋体" w:eastAsia="宋体" w:cs="宋体"/>
          <w:color w:val="auto"/>
          <w:szCs w:val="21"/>
          <w:highlight w:val="none"/>
        </w:rPr>
      </w:pPr>
    </w:p>
    <w:p>
      <w:pPr>
        <w:spacing w:line="400" w:lineRule="exact"/>
        <w:ind w:left="748" w:hanging="567"/>
        <w:rPr>
          <w:rFonts w:hint="eastAsia" w:ascii="宋体" w:hAnsi="宋体" w:eastAsia="宋体" w:cs="宋体"/>
          <w:color w:val="auto"/>
          <w:szCs w:val="21"/>
          <w:highlight w:val="none"/>
        </w:rPr>
      </w:pPr>
      <w:r>
        <w:rPr>
          <w:rFonts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2999105</wp:posOffset>
                </wp:positionH>
                <wp:positionV relativeFrom="paragraph">
                  <wp:posOffset>220345</wp:posOffset>
                </wp:positionV>
                <wp:extent cx="2491740" cy="1596390"/>
                <wp:effectExtent l="4445" t="4445" r="5715" b="12065"/>
                <wp:wrapNone/>
                <wp:docPr id="6" name="矩形 18"/>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pPr>
                              <w:jc w:val="center"/>
                            </w:pPr>
                          </w:p>
                          <w:p>
                            <w:pPr>
                              <w:jc w:val="center"/>
                              <w:rPr>
                                <w:szCs w:val="21"/>
                              </w:rPr>
                            </w:pPr>
                            <w:r>
                              <w:rPr>
                                <w:rFonts w:hint="eastAsia"/>
                                <w:szCs w:val="21"/>
                              </w:rPr>
                              <w:t>被授权人（授权代表）</w:t>
                            </w:r>
                          </w:p>
                          <w:p>
                            <w:pPr>
                              <w:jc w:val="center"/>
                              <w:rPr>
                                <w:szCs w:val="21"/>
                              </w:rPr>
                            </w:pPr>
                            <w:r>
                              <w:rPr>
                                <w:rFonts w:hint="eastAsia"/>
                                <w:b/>
                                <w:szCs w:val="21"/>
                                <w:u w:val="single"/>
                              </w:rPr>
                              <w:t>有效期内的</w:t>
                            </w:r>
                            <w:r>
                              <w:rPr>
                                <w:rFonts w:hint="eastAsia"/>
                                <w:szCs w:val="21"/>
                              </w:rPr>
                              <w:t>居民身份证复印件（反面）粘贴处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236.15pt;margin-top:17.35pt;height:125.7pt;width:196.2pt;z-index:251663360;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DyEjrZAAAACgEAAA8AAAAAAAAAAQAgAAAAIgAA&#10;AGRycy9kb3ducmV2LnhtbFBLAQIUABQAAAAIAIdO4kCzlekDQAIAAIoEAAAOAAAAAAAAAAEAIAAA&#10;ACgBAABkcnMvZTJvRG9jLnhtbFBLBQYAAAAABgAGAFkBAADaBQAAAAA=&#10;">
                <v:fill on="t" focussize="0,0"/>
                <v:stroke color="#000000" miterlimit="8" joinstyle="miter"/>
                <v:imagedata o:title=""/>
                <o:lock v:ext="edit" aspectratio="f"/>
                <v:textbox>
                  <w:txbxContent>
                    <w:p>
                      <w:pPr>
                        <w:jc w:val="center"/>
                      </w:pPr>
                    </w:p>
                    <w:p>
                      <w:pPr>
                        <w:jc w:val="center"/>
                        <w:rPr>
                          <w:szCs w:val="21"/>
                        </w:rPr>
                      </w:pPr>
                      <w:r>
                        <w:rPr>
                          <w:rFonts w:hint="eastAsia"/>
                          <w:szCs w:val="21"/>
                        </w:rPr>
                        <w:t>被授权人（授权代表）</w:t>
                      </w:r>
                    </w:p>
                    <w:p>
                      <w:pPr>
                        <w:jc w:val="center"/>
                        <w:rPr>
                          <w:szCs w:val="21"/>
                        </w:rPr>
                      </w:pPr>
                      <w:r>
                        <w:rPr>
                          <w:rFonts w:hint="eastAsia"/>
                          <w:b/>
                          <w:szCs w:val="21"/>
                          <w:u w:val="single"/>
                        </w:rPr>
                        <w:t>有效期内的</w:t>
                      </w:r>
                      <w:r>
                        <w:rPr>
                          <w:rFonts w:hint="eastAsia"/>
                          <w:szCs w:val="21"/>
                        </w:rPr>
                        <w:t>居民身份证复印件（反面）粘贴处</w:t>
                      </w:r>
                    </w:p>
                    <w:p>
                      <w:pPr>
                        <w:jc w:val="center"/>
                        <w:rPr>
                          <w:szCs w:val="21"/>
                        </w:rPr>
                      </w:pPr>
                    </w:p>
                  </w:txbxContent>
                </v:textbox>
              </v:rect>
            </w:pict>
          </mc:Fallback>
        </mc:AlternateContent>
      </w:r>
      <w:r>
        <w:rPr>
          <w:rFonts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220345</wp:posOffset>
                </wp:positionV>
                <wp:extent cx="2479675" cy="1596390"/>
                <wp:effectExtent l="5080" t="4445" r="4445" b="12065"/>
                <wp:wrapNone/>
                <wp:docPr id="5" name="矩形 17"/>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pPr>
                              <w:jc w:val="center"/>
                            </w:pPr>
                          </w:p>
                          <w:p>
                            <w:pPr>
                              <w:jc w:val="center"/>
                              <w:rPr>
                                <w:szCs w:val="21"/>
                              </w:rPr>
                            </w:pPr>
                            <w:r>
                              <w:rPr>
                                <w:rFonts w:hint="eastAsia"/>
                                <w:szCs w:val="21"/>
                              </w:rPr>
                              <w:t>被授权人（授权代表）</w:t>
                            </w:r>
                          </w:p>
                          <w:p>
                            <w:pPr>
                              <w:jc w:val="center"/>
                              <w:rPr>
                                <w:szCs w:val="21"/>
                              </w:rPr>
                            </w:pPr>
                            <w:r>
                              <w:rPr>
                                <w:rFonts w:hint="eastAsia"/>
                                <w:b/>
                                <w:szCs w:val="21"/>
                                <w:u w:val="single"/>
                              </w:rPr>
                              <w:t>有效期内的</w:t>
                            </w:r>
                            <w:r>
                              <w:rPr>
                                <w:rFonts w:hint="eastAsia"/>
                                <w:szCs w:val="21"/>
                              </w:rPr>
                              <w:t>居民身份证复印件（正面）粘贴处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25.25pt;margin-top:17.35pt;height:125.7pt;width:195.25pt;z-index:251662336;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b5rbnYAAAACQEAAA8AAAAAAAAAAQAgAAAAIgAA&#10;AGRycy9kb3ducmV2LnhtbFBLAQIUABQAAAAIAIdO4kDTijisQQIAAIoEAAAOAAAAAAAAAAEAIAAA&#10;ACcBAABkcnMvZTJvRG9jLnhtbFBLBQYAAAAABgAGAFkBAADaBQAAAAA=&#10;">
                <v:fill on="t" focussize="0,0"/>
                <v:stroke color="#000000" miterlimit="8" joinstyle="miter"/>
                <v:imagedata o:title=""/>
                <o:lock v:ext="edit" aspectratio="f"/>
                <v:textbox>
                  <w:txbxContent>
                    <w:p>
                      <w:pPr>
                        <w:jc w:val="center"/>
                      </w:pPr>
                    </w:p>
                    <w:p>
                      <w:pPr>
                        <w:jc w:val="center"/>
                        <w:rPr>
                          <w:szCs w:val="21"/>
                        </w:rPr>
                      </w:pPr>
                      <w:r>
                        <w:rPr>
                          <w:rFonts w:hint="eastAsia"/>
                          <w:szCs w:val="21"/>
                        </w:rPr>
                        <w:t>被授权人（授权代表）</w:t>
                      </w:r>
                    </w:p>
                    <w:p>
                      <w:pPr>
                        <w:jc w:val="center"/>
                        <w:rPr>
                          <w:szCs w:val="21"/>
                        </w:rPr>
                      </w:pPr>
                      <w:r>
                        <w:rPr>
                          <w:rFonts w:hint="eastAsia"/>
                          <w:b/>
                          <w:szCs w:val="21"/>
                          <w:u w:val="single"/>
                        </w:rPr>
                        <w:t>有效期内的</w:t>
                      </w:r>
                      <w:r>
                        <w:rPr>
                          <w:rFonts w:hint="eastAsia"/>
                          <w:szCs w:val="21"/>
                        </w:rPr>
                        <w:t>居民身份证复印件（正面）粘贴处</w:t>
                      </w:r>
                    </w:p>
                    <w:p>
                      <w:pPr>
                        <w:jc w:val="center"/>
                        <w:rPr>
                          <w:szCs w:val="21"/>
                        </w:rPr>
                      </w:pPr>
                    </w:p>
                  </w:txbxContent>
                </v:textbox>
              </v:rect>
            </w:pict>
          </mc:Fallback>
        </mc:AlternateContent>
      </w: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p>
    <w:p>
      <w:pPr>
        <w:spacing w:line="400" w:lineRule="exact"/>
        <w:ind w:left="748" w:hanging="567"/>
        <w:rPr>
          <w:rFonts w:hint="eastAsia" w:ascii="宋体" w:hAnsi="宋体" w:eastAsia="宋体" w:cs="宋体"/>
          <w:color w:val="auto"/>
          <w:szCs w:val="21"/>
          <w:highlight w:val="none"/>
        </w:rPr>
      </w:pPr>
    </w:p>
    <w:p>
      <w:pPr>
        <w:spacing w:line="400" w:lineRule="exact"/>
        <w:ind w:left="748" w:hanging="567"/>
        <w:rPr>
          <w:rFonts w:hint="eastAsia" w:ascii="宋体" w:hAnsi="宋体" w:eastAsia="宋体" w:cs="宋体"/>
          <w:color w:val="auto"/>
          <w:szCs w:val="21"/>
          <w:highlight w:val="none"/>
        </w:rPr>
      </w:pPr>
    </w:p>
    <w:p>
      <w:pPr>
        <w:spacing w:line="400" w:lineRule="exact"/>
        <w:ind w:left="748" w:hanging="567"/>
        <w:rPr>
          <w:rFonts w:hint="eastAsia" w:ascii="宋体" w:hAnsi="宋体" w:eastAsia="宋体" w:cs="宋体"/>
          <w:color w:val="auto"/>
          <w:szCs w:val="21"/>
          <w:highlight w:val="none"/>
        </w:rPr>
      </w:pPr>
    </w:p>
    <w:p>
      <w:pPr>
        <w:spacing w:line="400" w:lineRule="exact"/>
        <w:ind w:left="748" w:hanging="567"/>
        <w:rPr>
          <w:rFonts w:hint="eastAsia" w:ascii="宋体" w:hAnsi="宋体" w:eastAsia="宋体" w:cs="宋体"/>
          <w:color w:val="auto"/>
          <w:szCs w:val="21"/>
          <w:highlight w:val="none"/>
        </w:rPr>
      </w:pPr>
    </w:p>
    <w:p>
      <w:pPr>
        <w:pStyle w:val="6"/>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u w:val="single"/>
        </w:rPr>
        <w:br w:type="page"/>
      </w:r>
      <w:bookmarkStart w:id="173" w:name="_Toc96523904"/>
      <w:r>
        <w:rPr>
          <w:rFonts w:hint="eastAsia" w:ascii="宋体" w:hAnsi="宋体" w:eastAsia="宋体" w:cs="宋体"/>
          <w:color w:val="auto"/>
          <w:sz w:val="24"/>
          <w:szCs w:val="24"/>
          <w:highlight w:val="none"/>
        </w:rPr>
        <w:t>格式9. 开标一览表</w:t>
      </w:r>
      <w:bookmarkEnd w:id="173"/>
    </w:p>
    <w:p>
      <w:pPr>
        <w:adjustRightInd w:val="0"/>
        <w:snapToGrid w:val="0"/>
        <w:spacing w:line="360" w:lineRule="auto"/>
        <w:ind w:right="105" w:rightChars="50"/>
        <w:jc w:val="center"/>
        <w:rPr>
          <w:rFonts w:hint="eastAsia" w:ascii="宋体" w:hAnsi="宋体" w:eastAsia="宋体" w:cs="宋体"/>
          <w:b/>
          <w:bCs/>
          <w:color w:val="auto"/>
          <w:szCs w:val="21"/>
          <w:highlight w:val="none"/>
        </w:rPr>
      </w:pPr>
      <w:bookmarkStart w:id="174" w:name="_Toc2673_WPSOffice_Level2"/>
      <w:bookmarkStart w:id="175" w:name="_Toc11267_WPSOffice_Level2"/>
      <w:r>
        <w:rPr>
          <w:rFonts w:hint="eastAsia" w:ascii="宋体" w:hAnsi="宋体" w:eastAsia="宋体" w:cs="宋体"/>
          <w:b/>
          <w:bCs/>
          <w:color w:val="auto"/>
          <w:sz w:val="24"/>
          <w:highlight w:val="none"/>
        </w:rPr>
        <w:t>9.1开标一览表</w:t>
      </w:r>
      <w:bookmarkEnd w:id="174"/>
      <w:bookmarkEnd w:id="175"/>
    </w:p>
    <w:p>
      <w:pPr>
        <w:adjustRightInd w:val="0"/>
        <w:snapToGrid w:val="0"/>
        <w:spacing w:line="360" w:lineRule="auto"/>
        <w:ind w:right="105" w:rightChar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项目名称：                                       项目编号：        </w:t>
      </w:r>
    </w:p>
    <w:p>
      <w:pPr>
        <w:adjustRightInd w:val="0"/>
        <w:snapToGrid w:val="0"/>
        <w:spacing w:line="360" w:lineRule="auto"/>
        <w:ind w:right="105" w:rightChar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包号（如有）：                                   报价单位：元</w:t>
      </w:r>
    </w:p>
    <w:p>
      <w:pPr>
        <w:pStyle w:val="10"/>
        <w:rPr>
          <w:rFonts w:hint="eastAsia" w:ascii="宋体" w:hAnsi="宋体" w:eastAsia="宋体" w:cs="宋体"/>
          <w:color w:val="auto"/>
          <w:highlight w:val="none"/>
        </w:rPr>
      </w:pP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4660"/>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79" w:type="pct"/>
            <w:vAlign w:val="center"/>
          </w:tcPr>
          <w:p>
            <w:pPr>
              <w:pStyle w:val="10"/>
              <w:ind w:firstLine="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报价项目</w:t>
            </w:r>
          </w:p>
        </w:tc>
        <w:tc>
          <w:tcPr>
            <w:tcW w:w="2736" w:type="pct"/>
            <w:vAlign w:val="center"/>
          </w:tcPr>
          <w:p>
            <w:pPr>
              <w:pStyle w:val="10"/>
              <w:ind w:firstLine="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投标报价</w:t>
            </w:r>
          </w:p>
        </w:tc>
        <w:tc>
          <w:tcPr>
            <w:tcW w:w="983" w:type="pct"/>
            <w:vAlign w:val="center"/>
          </w:tcPr>
          <w:p>
            <w:pPr>
              <w:pStyle w:val="10"/>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279" w:type="pct"/>
            <w:vAlign w:val="center"/>
          </w:tcPr>
          <w:p>
            <w:pPr>
              <w:pStyle w:val="45"/>
              <w:spacing w:line="360" w:lineRule="auto"/>
              <w:ind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国家税务总局乐昌市税务局2026年至2027年物业管理服务采购项目</w:t>
            </w:r>
          </w:p>
        </w:tc>
        <w:tc>
          <w:tcPr>
            <w:tcW w:w="2736" w:type="pct"/>
            <w:vAlign w:val="center"/>
          </w:tcPr>
          <w:p>
            <w:pPr>
              <w:snapToGrid w:val="0"/>
              <w:ind w:firstLine="1680" w:firstLineChars="8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 xml:space="preserve">       元</w:t>
            </w:r>
          </w:p>
        </w:tc>
        <w:tc>
          <w:tcPr>
            <w:tcW w:w="983" w:type="pct"/>
          </w:tcPr>
          <w:p>
            <w:pPr>
              <w:pStyle w:val="10"/>
              <w:ind w:firstLine="0"/>
              <w:rPr>
                <w:rFonts w:hint="eastAsia" w:ascii="宋体" w:hAnsi="宋体" w:eastAsia="宋体" w:cs="宋体"/>
                <w:color w:val="auto"/>
                <w:szCs w:val="21"/>
                <w:highlight w:val="none"/>
              </w:rPr>
            </w:pPr>
          </w:p>
        </w:tc>
      </w:tr>
    </w:tbl>
    <w:p>
      <w:pPr>
        <w:widowControl/>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1.报价精确到小数点后两位。</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2.投标报价为含税总价。</w:t>
      </w: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投标人法定代表人或授权代表（签字或盖章）：</w:t>
      </w:r>
    </w:p>
    <w:p>
      <w:pPr>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pPr>
        <w:pStyle w:val="10"/>
        <w:rPr>
          <w:rFonts w:hint="eastAsia" w:ascii="宋体" w:hAnsi="宋体" w:eastAsia="宋体" w:cs="宋体"/>
          <w:color w:val="auto"/>
          <w:highlight w:val="none"/>
        </w:rPr>
      </w:pPr>
    </w:p>
    <w:p>
      <w:pPr>
        <w:pStyle w:val="10"/>
        <w:ind w:firstLine="0"/>
        <w:rPr>
          <w:rFonts w:hint="eastAsia" w:ascii="宋体" w:hAnsi="宋体" w:eastAsia="宋体" w:cs="宋体"/>
          <w:color w:val="auto"/>
          <w:highlight w:val="none"/>
        </w:rPr>
      </w:pPr>
    </w:p>
    <w:p>
      <w:pPr>
        <w:pStyle w:val="10"/>
        <w:ind w:firstLine="0"/>
        <w:rPr>
          <w:rFonts w:hint="eastAsia" w:ascii="宋体" w:hAnsi="宋体" w:eastAsia="宋体" w:cs="宋体"/>
          <w:color w:val="auto"/>
          <w:highlight w:val="none"/>
        </w:rPr>
      </w:pP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pPr>
        <w:pStyle w:val="6"/>
        <w:rPr>
          <w:rFonts w:hint="eastAsia" w:ascii="宋体" w:hAnsi="宋体" w:eastAsia="宋体" w:cs="宋体"/>
          <w:color w:val="auto"/>
          <w:highlight w:val="none"/>
        </w:rPr>
      </w:pPr>
      <w:bookmarkStart w:id="176" w:name="_Toc96523906"/>
      <w:r>
        <w:rPr>
          <w:rFonts w:hint="eastAsia" w:ascii="宋体" w:hAnsi="宋体" w:eastAsia="宋体" w:cs="宋体"/>
          <w:color w:val="auto"/>
          <w:sz w:val="24"/>
          <w:szCs w:val="24"/>
          <w:highlight w:val="none"/>
        </w:rPr>
        <w:t>格式10</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政策功能情况（如有）</w:t>
      </w:r>
      <w:bookmarkEnd w:id="176"/>
    </w:p>
    <w:p>
      <w:pPr>
        <w:spacing w:line="360" w:lineRule="auto"/>
        <w:ind w:left="710" w:hanging="710" w:hangingChars="33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（一）节能产品、环境标志产品（如适用）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97"/>
        <w:gridCol w:w="1337"/>
        <w:gridCol w:w="1396"/>
        <w:gridCol w:w="82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restar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节能产品</w:t>
            </w:r>
          </w:p>
        </w:tc>
        <w:tc>
          <w:tcPr>
            <w:tcW w:w="1466"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产品名称（品牌、型号）</w:t>
            </w:r>
          </w:p>
        </w:tc>
        <w:tc>
          <w:tcPr>
            <w:tcW w:w="785"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820"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强制/优先采购品目</w:t>
            </w:r>
          </w:p>
        </w:tc>
        <w:tc>
          <w:tcPr>
            <w:tcW w:w="482"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认证证书编号</w:t>
            </w: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1466"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785"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820"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强制品目</w:t>
            </w:r>
          </w:p>
        </w:tc>
        <w:tc>
          <w:tcPr>
            <w:tcW w:w="482"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1466"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785"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820"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优先品目</w:t>
            </w:r>
          </w:p>
        </w:tc>
        <w:tc>
          <w:tcPr>
            <w:tcW w:w="482"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3555" w:type="pct"/>
            <w:gridSpan w:val="4"/>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节能产品金额合计</w:t>
            </w: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3555" w:type="pct"/>
            <w:gridSpan w:val="4"/>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比重（优先采购节能产品金额/投标总价）</w:t>
            </w: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4443" w:type="pct"/>
            <w:gridSpan w:val="5"/>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b/>
                <w:color w:val="auto"/>
                <w:szCs w:val="21"/>
                <w:highlight w:val="none"/>
                <w:lang w:val="en-GB"/>
              </w:rPr>
            </w:pPr>
            <w:r>
              <w:rPr>
                <w:rFonts w:hint="eastAsia" w:ascii="宋体" w:hAnsi="宋体" w:cs="宋体"/>
                <w:color w:val="auto"/>
                <w:szCs w:val="21"/>
                <w:highlight w:val="none"/>
                <w:lang w:val="en-GB"/>
              </w:rPr>
              <w:t>节能产品</w:t>
            </w:r>
            <w:r>
              <w:rPr>
                <w:rFonts w:hint="eastAsia" w:ascii="宋体" w:hAnsi="宋体" w:cs="宋体"/>
                <w:color w:val="auto"/>
                <w:szCs w:val="21"/>
                <w:highlight w:val="none"/>
              </w:rPr>
              <w:t>证明材料见第至页。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restar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环境标志产品</w:t>
            </w:r>
          </w:p>
        </w:tc>
        <w:tc>
          <w:tcPr>
            <w:tcW w:w="1466"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产品名称（品牌、型号）</w:t>
            </w:r>
          </w:p>
        </w:tc>
        <w:tc>
          <w:tcPr>
            <w:tcW w:w="785"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1303" w:type="pct"/>
            <w:gridSpan w:val="2"/>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认证证书编号</w:t>
            </w: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40" w:after="40"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1466"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785"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1303" w:type="pct"/>
            <w:gridSpan w:val="2"/>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1466"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785"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1303" w:type="pct"/>
            <w:gridSpan w:val="2"/>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3555" w:type="pct"/>
            <w:gridSpan w:val="4"/>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环境标志产品金额合计</w:t>
            </w: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3555" w:type="pct"/>
            <w:gridSpan w:val="4"/>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比重（环境标志产品金额/投标总价）</w:t>
            </w:r>
          </w:p>
        </w:tc>
        <w:tc>
          <w:tcPr>
            <w:tcW w:w="887" w:type="pct"/>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Cs w:val="21"/>
                <w:highlight w:val="none"/>
                <w:lang w:val="en-GB"/>
              </w:rPr>
            </w:pPr>
          </w:p>
        </w:tc>
        <w:tc>
          <w:tcPr>
            <w:tcW w:w="4443" w:type="pct"/>
            <w:gridSpan w:val="5"/>
            <w:tcBorders>
              <w:top w:val="single" w:color="auto" w:sz="4" w:space="0"/>
              <w:left w:val="single" w:color="auto" w:sz="4" w:space="0"/>
              <w:bottom w:val="single" w:color="auto" w:sz="4" w:space="0"/>
              <w:right w:val="single" w:color="auto" w:sz="4" w:space="0"/>
            </w:tcBorders>
            <w:vAlign w:val="center"/>
          </w:tcPr>
          <w:p>
            <w:pPr>
              <w:pStyle w:val="64"/>
              <w:tabs>
                <w:tab w:val="left" w:pos="1260"/>
              </w:tabs>
              <w:spacing w:before="156" w:after="156" w:line="300" w:lineRule="exact"/>
              <w:jc w:val="center"/>
              <w:rPr>
                <w:rFonts w:hint="eastAsia" w:ascii="宋体" w:hAnsi="宋体" w:cs="宋体"/>
                <w:b/>
                <w:color w:val="auto"/>
                <w:szCs w:val="21"/>
                <w:highlight w:val="none"/>
                <w:lang w:val="en-GB"/>
              </w:rPr>
            </w:pPr>
            <w:r>
              <w:rPr>
                <w:rFonts w:hint="eastAsia" w:ascii="宋体" w:hAnsi="宋体" w:cs="宋体"/>
                <w:color w:val="auto"/>
                <w:szCs w:val="21"/>
                <w:highlight w:val="none"/>
                <w:lang w:val="en-GB"/>
              </w:rPr>
              <w:t>环境标志产品</w:t>
            </w:r>
            <w:r>
              <w:rPr>
                <w:rFonts w:hint="eastAsia" w:ascii="宋体" w:hAnsi="宋体" w:cs="宋体"/>
                <w:color w:val="auto"/>
                <w:szCs w:val="21"/>
                <w:highlight w:val="none"/>
              </w:rPr>
              <w:t>证明材料见第至页。</w:t>
            </w:r>
          </w:p>
        </w:tc>
      </w:tr>
    </w:tbl>
    <w:p>
      <w:pPr>
        <w:spacing w:line="360" w:lineRule="auto"/>
        <w:jc w:val="left"/>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填报要求：</w:t>
      </w:r>
    </w:p>
    <w:p>
      <w:pPr>
        <w:spacing w:line="360" w:lineRule="auto"/>
        <w:ind w:firstLine="424" w:firstLineChars="202"/>
        <w:jc w:val="left"/>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1.本表的产品名称、规格型号和注册商标、金额应与《</w:t>
      </w:r>
      <w:r>
        <w:rPr>
          <w:rFonts w:hint="eastAsia" w:ascii="宋体" w:hAnsi="宋体" w:eastAsia="宋体" w:cs="宋体"/>
          <w:color w:val="auto"/>
          <w:szCs w:val="21"/>
          <w:highlight w:val="none"/>
        </w:rPr>
        <w:t>分项报价表</w:t>
      </w:r>
      <w:r>
        <w:rPr>
          <w:rFonts w:hint="eastAsia" w:ascii="宋体" w:hAnsi="宋体" w:eastAsia="宋体" w:cs="宋体"/>
          <w:color w:val="auto"/>
          <w:szCs w:val="21"/>
          <w:highlight w:val="none"/>
          <w:lang w:val="en-GB"/>
        </w:rPr>
        <w:t>》一致。</w:t>
      </w:r>
    </w:p>
    <w:p>
      <w:pPr>
        <w:spacing w:line="360" w:lineRule="auto"/>
        <w:ind w:firstLine="424" w:firstLineChars="202"/>
        <w:jc w:val="left"/>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GB"/>
        </w:rPr>
        <w:t>.节能产品、环境标志产品必须是《节能产品政府采购品目清单》或《环境产品政府采购品目清单》所列品目范围内，且由国家确定的认证机构出具、处于有效期之内的节能产品、环境标志产品认证证书的产品。（需附上相关认证证书）</w:t>
      </w:r>
    </w:p>
    <w:p>
      <w:pPr>
        <w:spacing w:line="360" w:lineRule="auto"/>
        <w:ind w:firstLine="424" w:firstLineChars="202"/>
        <w:jc w:val="left"/>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GB"/>
        </w:rPr>
        <w:t>.请投标人正确填写本表，所填内容将作为评审的依据。其内容或数据应与对应的证明资料相符，如果不一致，可能导致该项无法获得相关政策优惠。</w:t>
      </w:r>
    </w:p>
    <w:p>
      <w:pPr>
        <w:tabs>
          <w:tab w:val="left" w:pos="7088"/>
        </w:tabs>
        <w:spacing w:before="120" w:after="12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投标人法定代表人或其委托人签字或印鉴：</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rPr>
        <w:br w:type="page"/>
      </w:r>
    </w:p>
    <w:p>
      <w:pPr>
        <w:pStyle w:val="6"/>
        <w:rPr>
          <w:rFonts w:hint="eastAsia" w:ascii="宋体" w:hAnsi="宋体" w:eastAsia="宋体" w:cs="宋体"/>
          <w:color w:val="auto"/>
          <w:sz w:val="24"/>
          <w:szCs w:val="24"/>
          <w:highlight w:val="none"/>
        </w:rPr>
      </w:pPr>
      <w:bookmarkStart w:id="177" w:name="_Toc96523907"/>
      <w:r>
        <w:rPr>
          <w:rFonts w:hint="eastAsia" w:ascii="宋体" w:hAnsi="宋体" w:eastAsia="宋体" w:cs="宋体"/>
          <w:color w:val="auto"/>
          <w:sz w:val="24"/>
          <w:szCs w:val="24"/>
          <w:highlight w:val="none"/>
        </w:rPr>
        <w:t>格式11 中小企业声明函</w:t>
      </w:r>
      <w:bookmarkEnd w:id="177"/>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（中小微型企业适用；事业单位、民办非企业单位参与投标的，其本身不作为扶持对象）</w:t>
      </w:r>
      <w:bookmarkStart w:id="178" w:name="_Toc19164_WPSOffice_Level2"/>
      <w:bookmarkStart w:id="179" w:name="_Toc4541_WPSOffice_Level2"/>
    </w:p>
    <w:bookmarkEnd w:id="178"/>
    <w:bookmarkEnd w:id="179"/>
    <w:p>
      <w:pPr>
        <w:autoSpaceDE w:val="0"/>
        <w:autoSpaceDN w:val="0"/>
        <w:adjustRightInd w:val="0"/>
        <w:spacing w:line="360" w:lineRule="auto"/>
        <w:jc w:val="center"/>
        <w:rPr>
          <w:rFonts w:hint="eastAsia" w:ascii="宋体" w:hAnsi="宋体" w:eastAsia="宋体" w:cs="宋体"/>
          <w:b/>
          <w:color w:val="auto"/>
          <w:kern w:val="0"/>
          <w:szCs w:val="21"/>
          <w:highlight w:val="none"/>
        </w:rPr>
      </w:pPr>
    </w:p>
    <w:p>
      <w:pPr>
        <w:autoSpaceDE w:val="0"/>
        <w:autoSpaceDN w:val="0"/>
        <w:adjustRightInd w:val="0"/>
        <w:spacing w:line="360" w:lineRule="auto"/>
        <w:jc w:val="center"/>
        <w:rPr>
          <w:rFonts w:hint="eastAsia" w:ascii="宋体" w:hAnsi="宋体" w:eastAsia="宋体" w:cs="宋体"/>
          <w:b/>
          <w:color w:val="auto"/>
          <w:kern w:val="0"/>
          <w:szCs w:val="21"/>
          <w:highlight w:val="none"/>
        </w:rPr>
      </w:pPr>
      <w:bookmarkStart w:id="180" w:name="_Toc16240_WPSOffice_Level1"/>
      <w:r>
        <w:rPr>
          <w:rFonts w:hint="eastAsia" w:ascii="宋体" w:hAnsi="宋体" w:eastAsia="宋体" w:cs="宋体"/>
          <w:b/>
          <w:color w:val="auto"/>
          <w:kern w:val="0"/>
          <w:szCs w:val="21"/>
          <w:highlight w:val="none"/>
        </w:rPr>
        <w:t>中小企业声明函（服务）</w:t>
      </w:r>
      <w:bookmarkEnd w:id="180"/>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0"/>
          <w:szCs w:val="21"/>
          <w:highlight w:val="none"/>
          <w:u w:val="single"/>
        </w:rPr>
        <w:t xml:space="preserve">  （单位名称）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xml:space="preserve">采购活动，服务全部由符合政策要求的中小企业承接。相关企业（含联合体中的中小企业、签订分包意向协议的中小企业）的具体情况如下： </w:t>
      </w:r>
    </w:p>
    <w:p>
      <w:pPr>
        <w:numPr>
          <w:ilvl w:val="0"/>
          <w:numId w:val="18"/>
        </w:num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eastAsia="zh-CN"/>
        </w:rPr>
        <w:t>国家税务总局乐昌市税务局2026年至2027年物业管理服务采购项目</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物业管理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；承建（承接）企业为</w:t>
      </w:r>
      <w:r>
        <w:rPr>
          <w:rFonts w:hint="eastAsia" w:ascii="宋体" w:hAnsi="宋体" w:eastAsia="宋体" w:cs="宋体"/>
          <w:color w:val="auto"/>
          <w:kern w:val="0"/>
          <w:szCs w:val="21"/>
          <w:highlight w:val="none"/>
          <w:u w:val="single"/>
        </w:rPr>
        <w:t xml:space="preserve">  （企业名称）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万元，属于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（中型企业、 小型企业、微型企业）；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本企业对上述声明内容的真实性负责。如有虚假，将依法承担相应责任。 </w:t>
      </w:r>
    </w:p>
    <w:p>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企业名称（盖章）：</w:t>
      </w:r>
    </w:p>
    <w:p>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pPr>
        <w:spacing w:before="159" w:beforeLines="50" w:after="159" w:afterLines="50" w:line="36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注：1、从业人员、营业收入、资产总额填报上一年度数据，无上一年度数据的新成立企业可不填报。</w:t>
      </w:r>
    </w:p>
    <w:p>
      <w:pPr>
        <w:spacing w:before="159" w:beforeLines="50" w:after="159" w:afterLines="50" w:line="36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组成联合体投标，且承担合同总金额30%或以上工作的联合体成员的企业情况，请务必在以上声明函中体现。同时，需与《联合体共同投标协议书》中的相关内容一致。如两份资料内容信息不一致导致评标委员会无法判断的，则不享受政策优惠。</w:t>
      </w:r>
    </w:p>
    <w:p>
      <w:pPr>
        <w:spacing w:line="588"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温馨提醒：</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1、投标人应查询具体政策规定内容,根据企业实际情况判断,如不属于法规规定的小微企业无需提供中小企业声明函。</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2、为方便广大中小企业，工业和信息化部组织开发了中小企业规模类型自测小程序（http://202.106.120.146/baosong/appweb/orgScale.html），有需要的投标人可自测。亦可参考小微企业名录(</w:t>
      </w:r>
      <w:r>
        <w:rPr>
          <w:color w:val="auto"/>
          <w:highlight w:val="none"/>
        </w:rPr>
        <w:fldChar w:fldCharType="begin"/>
      </w:r>
      <w:r>
        <w:rPr>
          <w:color w:val="auto"/>
          <w:highlight w:val="none"/>
        </w:rPr>
        <w:instrText xml:space="preserve"> HYPERLINK "http://xwqy.gsxt.gov.cn" </w:instrText>
      </w:r>
      <w:r>
        <w:rPr>
          <w:color w:val="auto"/>
          <w:highlight w:val="none"/>
        </w:rPr>
        <w:fldChar w:fldCharType="separate"/>
      </w:r>
      <w:r>
        <w:rPr>
          <w:rFonts w:hint="eastAsia" w:ascii="宋体" w:hAnsi="宋体" w:eastAsia="宋体" w:cs="宋体"/>
          <w:color w:val="auto"/>
          <w:szCs w:val="21"/>
          <w:highlight w:val="none"/>
        </w:rPr>
        <w:t>http://xwqy.gsxt.gov.cn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)中的相关数据信息。</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3、供应商提供声明函内容不实的，属于提供虚假材料谋取中标、成交。如提供虚假声明的,采购人将上报财政监管部门,一切法律后果由投标人自行承担。</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u w:val="single"/>
        </w:rPr>
        <w:br w:type="page"/>
      </w:r>
      <w:bookmarkStart w:id="181" w:name="_Toc96523908"/>
      <w:r>
        <w:rPr>
          <w:rFonts w:hint="eastAsia" w:ascii="宋体" w:hAnsi="宋体" w:eastAsia="宋体" w:cs="宋体"/>
          <w:color w:val="auto"/>
          <w:sz w:val="24"/>
          <w:szCs w:val="24"/>
          <w:highlight w:val="none"/>
        </w:rPr>
        <w:t>格式12. 残疾人福利性单位声明函</w:t>
      </w:r>
      <w:bookmarkEnd w:id="181"/>
    </w:p>
    <w:p>
      <w:pPr>
        <w:adjustRightInd w:val="0"/>
        <w:snapToGrid w:val="0"/>
        <w:spacing w:line="360" w:lineRule="auto"/>
        <w:ind w:right="105" w:rightChars="50"/>
        <w:jc w:val="center"/>
        <w:rPr>
          <w:rFonts w:hint="eastAsia" w:ascii="宋体" w:hAnsi="宋体" w:eastAsia="宋体" w:cs="宋体"/>
          <w:b/>
          <w:bCs/>
          <w:color w:val="auto"/>
          <w:szCs w:val="21"/>
          <w:highlight w:val="none"/>
        </w:rPr>
      </w:pPr>
      <w:bookmarkStart w:id="182" w:name="_Toc13566_WPSOffice_Level2"/>
      <w:bookmarkStart w:id="183" w:name="_Toc29880_WPSOffice_Level2"/>
    </w:p>
    <w:p>
      <w:pPr>
        <w:adjustRightInd w:val="0"/>
        <w:snapToGrid w:val="0"/>
        <w:spacing w:line="360" w:lineRule="auto"/>
        <w:ind w:right="105" w:rightChars="50"/>
        <w:jc w:val="center"/>
        <w:rPr>
          <w:rFonts w:hint="eastAsia" w:ascii="宋体" w:hAnsi="宋体" w:eastAsia="宋体" w:cs="宋体"/>
          <w:b/>
          <w:bCs/>
          <w:color w:val="auto"/>
          <w:szCs w:val="21"/>
          <w:highlight w:val="none"/>
        </w:rPr>
      </w:pPr>
      <w:bookmarkStart w:id="184" w:name="_Toc11085_WPSOffice_Level1"/>
      <w:r>
        <w:rPr>
          <w:rFonts w:hint="eastAsia" w:ascii="宋体" w:hAnsi="宋体" w:eastAsia="宋体" w:cs="宋体"/>
          <w:b/>
          <w:bCs/>
          <w:color w:val="auto"/>
          <w:szCs w:val="21"/>
          <w:highlight w:val="none"/>
        </w:rPr>
        <w:t>残疾人福利性单位声明函</w:t>
      </w:r>
      <w:bookmarkEnd w:id="182"/>
      <w:bookmarkEnd w:id="183"/>
      <w:bookmarkEnd w:id="184"/>
    </w:p>
    <w:p>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Cs w:val="21"/>
          <w:highlight w:val="none"/>
        </w:rPr>
      </w:pPr>
    </w:p>
    <w:p>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单位名称（盖章）：</w:t>
      </w:r>
    </w:p>
    <w:p>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w:t>
      </w:r>
    </w:p>
    <w:p>
      <w:pPr>
        <w:spacing w:line="360" w:lineRule="auto"/>
        <w:rPr>
          <w:rFonts w:hint="eastAsia" w:ascii="宋体" w:hAnsi="宋体" w:eastAsia="宋体" w:cs="宋体"/>
          <w:color w:val="auto"/>
          <w:szCs w:val="21"/>
          <w:highlight w:val="none"/>
        </w:rPr>
      </w:pPr>
    </w:p>
    <w:p>
      <w:pPr>
        <w:spacing w:line="360" w:lineRule="auto"/>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温馨提醒：</w:t>
      </w:r>
    </w:p>
    <w:p>
      <w:pPr>
        <w:spacing w:line="360" w:lineRule="auto"/>
        <w:jc w:val="left"/>
        <w:rPr>
          <w:rFonts w:hint="eastAsia" w:ascii="宋体" w:hAnsi="宋体" w:eastAsia="宋体" w:cs="宋体"/>
          <w:b/>
          <w:color w:val="auto"/>
          <w:szCs w:val="21"/>
          <w:highlight w:val="none"/>
          <w:u w:val="single"/>
        </w:rPr>
      </w:pPr>
      <w:r>
        <w:rPr>
          <w:rFonts w:hint="eastAsia" w:ascii="宋体" w:hAnsi="宋体" w:eastAsia="宋体" w:cs="宋体"/>
          <w:b/>
          <w:color w:val="auto"/>
          <w:spacing w:val="6"/>
          <w:szCs w:val="21"/>
          <w:highlight w:val="none"/>
          <w:u w:val="single"/>
        </w:rPr>
        <w:t>1.根据《财政部 民政部 中国残疾人联合会关于促进残疾人就业政府采购政策的通知》（财库〔2017〕141号）的规定，符合条件的残疾人福利性单位在参加政府采购活动时，按以上格式提供《残疾人福利性单位声明函》，视同小型、微型企业，享受评审中价格扣除等促进中小企业发展的政府采购政策，残疾人福利性单位属于小型、微型企业的，不重复享受政策。</w:t>
      </w:r>
    </w:p>
    <w:p>
      <w:pPr>
        <w:spacing w:line="360" w:lineRule="auto"/>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2.投标人应查询具体政策规定内容,根据企业实际情况判断,如不属于法规规定的残疾人福利性单位，无需提供残疾人福利性单位声明函。</w:t>
      </w:r>
    </w:p>
    <w:p>
      <w:pPr>
        <w:spacing w:line="360" w:lineRule="auto"/>
        <w:rPr>
          <w:rFonts w:hint="eastAsia" w:ascii="宋体" w:hAnsi="宋体" w:eastAsia="宋体" w:cs="宋体"/>
          <w:color w:val="auto"/>
          <w:spacing w:val="6"/>
          <w:szCs w:val="21"/>
          <w:highlight w:val="none"/>
        </w:rPr>
      </w:pPr>
      <w:r>
        <w:rPr>
          <w:rFonts w:hint="eastAsia" w:ascii="宋体" w:hAnsi="宋体" w:eastAsia="宋体" w:cs="宋体"/>
          <w:b/>
          <w:color w:val="auto"/>
          <w:szCs w:val="21"/>
          <w:highlight w:val="none"/>
          <w:u w:val="single"/>
        </w:rPr>
        <w:t>3.如提供虚假声明的,采购人将上报财政监管部门,一切法律后果自行承担。</w:t>
      </w:r>
    </w:p>
    <w:p>
      <w:pPr>
        <w:pStyle w:val="6"/>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24"/>
          <w:highlight w:val="none"/>
        </w:rPr>
        <w:t>格式13. 监狱企业相关证明</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监狱企业须供应商提供由省级以上监狱管理局、戒毒管理局（含新疆生产建设兵团）出具的属于监狱企业的证明文件，否则不予认定。</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br w:type="page"/>
      </w:r>
    </w:p>
    <w:p>
      <w:pPr>
        <w:pStyle w:val="6"/>
        <w:rPr>
          <w:rFonts w:hint="eastAsia" w:ascii="宋体" w:hAnsi="宋体" w:eastAsia="宋体" w:cs="宋体"/>
          <w:color w:val="auto"/>
          <w:sz w:val="24"/>
          <w:szCs w:val="24"/>
          <w:highlight w:val="none"/>
        </w:rPr>
      </w:pPr>
      <w:bookmarkStart w:id="185" w:name="_Toc96523909"/>
      <w:r>
        <w:rPr>
          <w:rFonts w:hint="eastAsia" w:ascii="宋体" w:hAnsi="宋体" w:eastAsia="宋体" w:cs="宋体"/>
          <w:color w:val="auto"/>
          <w:sz w:val="24"/>
          <w:szCs w:val="24"/>
          <w:highlight w:val="none"/>
        </w:rPr>
        <w:t xml:space="preserve">格式14. </w:t>
      </w:r>
      <w:bookmarkEnd w:id="185"/>
      <w:r>
        <w:rPr>
          <w:rFonts w:hint="eastAsia" w:ascii="宋体" w:hAnsi="宋体" w:eastAsia="宋体" w:cs="宋体"/>
          <w:color w:val="auto"/>
          <w:sz w:val="24"/>
          <w:szCs w:val="24"/>
          <w:highlight w:val="none"/>
        </w:rPr>
        <w:t>实质性响应条款一览表</w:t>
      </w:r>
    </w:p>
    <w:p>
      <w:pPr>
        <w:jc w:val="center"/>
        <w:rPr>
          <w:rFonts w:hint="eastAsia" w:ascii="宋体" w:hAnsi="宋体" w:eastAsia="宋体" w:cs="宋体"/>
          <w:b/>
          <w:color w:val="auto"/>
          <w:highlight w:val="none"/>
        </w:rPr>
      </w:pPr>
      <w:bookmarkStart w:id="186" w:name="_Toc12442_WPSOffice_Level1"/>
      <w:r>
        <w:rPr>
          <w:rFonts w:hint="eastAsia" w:ascii="宋体" w:hAnsi="宋体" w:eastAsia="宋体" w:cs="宋体"/>
          <w:b/>
          <w:color w:val="auto"/>
          <w:highlight w:val="none"/>
        </w:rPr>
        <w:t>14.1实质性响应条款一览表</w:t>
      </w:r>
      <w:bookmarkEnd w:id="186"/>
    </w:p>
    <w:p>
      <w:pPr>
        <w:spacing w:before="50" w:after="188" w:line="400" w:lineRule="exact"/>
        <w:ind w:left="473" w:leftChars="225"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项目编号：（项目编号）</w:t>
      </w:r>
    </w:p>
    <w:tbl>
      <w:tblPr>
        <w:tblStyle w:val="33"/>
        <w:tblW w:w="8357" w:type="dxa"/>
        <w:tblInd w:w="0" w:type="dxa"/>
        <w:tblLayout w:type="fixed"/>
        <w:tblCellMar>
          <w:top w:w="0" w:type="dxa"/>
          <w:left w:w="30" w:type="dxa"/>
          <w:bottom w:w="0" w:type="dxa"/>
          <w:right w:w="30" w:type="dxa"/>
        </w:tblCellMar>
      </w:tblPr>
      <w:tblGrid>
        <w:gridCol w:w="584"/>
        <w:gridCol w:w="3962"/>
        <w:gridCol w:w="1361"/>
        <w:gridCol w:w="1241"/>
        <w:gridCol w:w="1209"/>
      </w:tblGrid>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3962"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招标文件要求</w:t>
            </w:r>
          </w:p>
        </w:tc>
        <w:tc>
          <w:tcPr>
            <w:tcW w:w="1361"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投标人响应情况描述</w:t>
            </w:r>
          </w:p>
        </w:tc>
        <w:tc>
          <w:tcPr>
            <w:tcW w:w="1241"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对招标文件的偏离说明（正偏离/完全响应/负偏离）</w:t>
            </w:r>
          </w:p>
        </w:tc>
        <w:tc>
          <w:tcPr>
            <w:tcW w:w="1209"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对应投标文件位置及页码</w:t>
            </w:r>
          </w:p>
        </w:tc>
      </w:tr>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widowControl/>
              <w:numPr>
                <w:ilvl w:val="0"/>
                <w:numId w:val="19"/>
              </w:numPr>
              <w:spacing w:line="300" w:lineRule="exact"/>
              <w:jc w:val="center"/>
              <w:rPr>
                <w:rFonts w:hint="eastAsia" w:ascii="宋体" w:hAnsi="宋体" w:eastAsia="宋体" w:cs="宋体"/>
                <w:bCs/>
                <w:color w:val="auto"/>
                <w:szCs w:val="21"/>
                <w:highlight w:val="none"/>
              </w:rPr>
            </w:pPr>
          </w:p>
        </w:tc>
        <w:tc>
          <w:tcPr>
            <w:tcW w:w="3962" w:type="dxa"/>
            <w:tcBorders>
              <w:top w:val="single" w:color="auto" w:sz="6" w:space="0"/>
              <w:left w:val="single" w:color="auto" w:sz="6" w:space="0"/>
              <w:bottom w:val="single" w:color="auto" w:sz="6" w:space="0"/>
              <w:right w:val="single" w:color="auto" w:sz="6" w:space="0"/>
            </w:tcBorders>
            <w:vAlign w:val="center"/>
          </w:tcPr>
          <w:p>
            <w:pPr>
              <w:tabs>
                <w:tab w:val="left" w:pos="709"/>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招标文件中标注“★”的条款：</w:t>
            </w:r>
          </w:p>
        </w:tc>
        <w:tc>
          <w:tcPr>
            <w:tcW w:w="136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hint="eastAsia" w:ascii="宋体" w:hAnsi="宋体" w:eastAsia="宋体" w:cs="宋体"/>
                <w:bCs/>
                <w:color w:val="auto"/>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hint="eastAsia" w:ascii="宋体" w:hAnsi="宋体" w:eastAsia="宋体" w:cs="宋体"/>
                <w:bCs/>
                <w:color w:val="auto"/>
                <w:szCs w:val="21"/>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hint="eastAsia" w:ascii="宋体" w:hAnsi="宋体" w:eastAsia="宋体" w:cs="宋体"/>
                <w:bCs/>
                <w:color w:val="auto"/>
                <w:szCs w:val="21"/>
                <w:highlight w:val="none"/>
              </w:rPr>
            </w:pPr>
          </w:p>
        </w:tc>
      </w:tr>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widowControl/>
              <w:numPr>
                <w:ilvl w:val="0"/>
                <w:numId w:val="19"/>
              </w:numPr>
              <w:spacing w:line="300" w:lineRule="exact"/>
              <w:jc w:val="center"/>
              <w:rPr>
                <w:rFonts w:hint="eastAsia" w:ascii="宋体" w:hAnsi="宋体" w:eastAsia="宋体" w:cs="宋体"/>
                <w:bCs/>
                <w:color w:val="auto"/>
                <w:szCs w:val="21"/>
                <w:highlight w:val="none"/>
              </w:rPr>
            </w:pPr>
          </w:p>
        </w:tc>
        <w:tc>
          <w:tcPr>
            <w:tcW w:w="3962" w:type="dxa"/>
            <w:tcBorders>
              <w:top w:val="single" w:color="auto" w:sz="6" w:space="0"/>
              <w:left w:val="single" w:color="auto" w:sz="6" w:space="0"/>
              <w:bottom w:val="single" w:color="auto" w:sz="6" w:space="0"/>
              <w:right w:val="single" w:color="auto" w:sz="6" w:space="0"/>
            </w:tcBorders>
            <w:vAlign w:val="center"/>
          </w:tcPr>
          <w:p>
            <w:pPr>
              <w:tabs>
                <w:tab w:val="left" w:pos="709"/>
              </w:tabs>
              <w:spacing w:line="440" w:lineRule="exact"/>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hint="eastAsia" w:ascii="宋体" w:hAnsi="宋体" w:eastAsia="宋体" w:cs="宋体"/>
                <w:bCs/>
                <w:color w:val="auto"/>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hint="eastAsia" w:ascii="宋体" w:hAnsi="宋体" w:eastAsia="宋体" w:cs="宋体"/>
                <w:bCs/>
                <w:color w:val="auto"/>
                <w:szCs w:val="21"/>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hint="eastAsia" w:ascii="宋体" w:hAnsi="宋体" w:eastAsia="宋体" w:cs="宋体"/>
                <w:bCs/>
                <w:color w:val="auto"/>
                <w:szCs w:val="21"/>
                <w:highlight w:val="none"/>
              </w:rPr>
            </w:pPr>
          </w:p>
        </w:tc>
      </w:tr>
    </w:tbl>
    <w:p>
      <w:pPr>
        <w:spacing w:line="400" w:lineRule="exact"/>
        <w:ind w:firstLine="312" w:firstLineChars="14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注：如招标文件中标有“★”的内容，请在上表填写，并作出一一响应。若有一项带“★”的指标要求未响应或不满足，其投标将按无效投标处理。</w:t>
      </w:r>
    </w:p>
    <w:p>
      <w:pPr>
        <w:spacing w:line="400" w:lineRule="exact"/>
        <w:ind w:firstLine="310" w:firstLineChars="148"/>
        <w:rPr>
          <w:rFonts w:hint="eastAsia" w:ascii="宋体" w:hAnsi="宋体" w:eastAsia="宋体" w:cs="宋体"/>
          <w:color w:val="auto"/>
          <w:szCs w:val="21"/>
          <w:highlight w:val="none"/>
        </w:rPr>
      </w:pPr>
    </w:p>
    <w:p>
      <w:pPr>
        <w:spacing w:line="40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40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投标人法定代表人或其委托人签字或印鉴： </w:t>
      </w:r>
    </w:p>
    <w:p>
      <w:pPr>
        <w:spacing w:line="40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日期：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jc w:val="center"/>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14.2承诺函</w:t>
      </w:r>
    </w:p>
    <w:p>
      <w:pPr>
        <w:rPr>
          <w:rFonts w:hint="eastAsia" w:ascii="宋体" w:hAnsi="宋体" w:eastAsia="宋体" w:cs="宋体"/>
          <w:color w:val="auto"/>
          <w:szCs w:val="21"/>
          <w:highlight w:val="none"/>
        </w:rPr>
      </w:pPr>
    </w:p>
    <w:p>
      <w:pPr>
        <w:pStyle w:val="127"/>
        <w:ind w:firstLine="480"/>
        <w:rPr>
          <w:highlight w:val="none"/>
        </w:rPr>
      </w:pPr>
      <w:r>
        <w:rPr>
          <w:highlight w:val="none"/>
        </w:rPr>
        <w:t>致：</w:t>
      </w:r>
      <w:r>
        <w:rPr>
          <w:rFonts w:hint="eastAsia"/>
          <w:highlight w:val="none"/>
          <w:lang w:eastAsia="zh-CN"/>
        </w:rPr>
        <w:t>（</w:t>
      </w:r>
      <w:r>
        <w:rPr>
          <w:rFonts w:hint="eastAsia"/>
          <w:highlight w:val="none"/>
          <w:lang w:val="en-US" w:eastAsia="zh-CN"/>
        </w:rPr>
        <w:t>采购人或采购代理机构</w:t>
      </w:r>
      <w:r>
        <w:rPr>
          <w:rFonts w:hint="eastAsia"/>
          <w:highlight w:val="none"/>
          <w:lang w:eastAsia="zh-CN"/>
        </w:rPr>
        <w:t>）</w:t>
      </w:r>
      <w:r>
        <w:rPr>
          <w:highlight w:val="none"/>
        </w:rPr>
        <w:br w:type="textWrapping"/>
      </w:r>
    </w:p>
    <w:p>
      <w:pPr>
        <w:pStyle w:val="127"/>
        <w:ind w:firstLine="480"/>
        <w:rPr>
          <w:highlight w:val="none"/>
        </w:rPr>
      </w:pPr>
      <w:r>
        <w:rPr>
          <w:highlight w:val="none"/>
        </w:rPr>
        <w:t>对于__________________项目（项目编号：__________________），我方郑重承诺如下：</w:t>
      </w:r>
    </w:p>
    <w:p>
      <w:pPr>
        <w:pStyle w:val="127"/>
        <w:ind w:firstLine="480"/>
        <w:rPr>
          <w:highlight w:val="none"/>
        </w:rPr>
      </w:pPr>
      <w:r>
        <w:rPr>
          <w:highlight w:val="none"/>
        </w:rPr>
        <w:t>如中标/成交，我方承诺严格落实采购文件以下</w:t>
      </w:r>
      <w:r>
        <w:rPr>
          <w:rFonts w:hint="eastAsia"/>
          <w:highlight w:val="none"/>
        </w:rPr>
        <w:t>“★”</w:t>
      </w:r>
      <w:r>
        <w:rPr>
          <w:highlight w:val="none"/>
        </w:rPr>
        <w:t>条款：</w:t>
      </w:r>
    </w:p>
    <w:p>
      <w:pPr>
        <w:pStyle w:val="127"/>
        <w:ind w:firstLine="480"/>
        <w:rPr>
          <w:highlight w:val="none"/>
        </w:rPr>
      </w:pPr>
      <w:r>
        <w:rPr>
          <w:highlight w:val="none"/>
        </w:rPr>
        <w:t>1.</w:t>
      </w:r>
    </w:p>
    <w:p>
      <w:pPr>
        <w:pStyle w:val="127"/>
        <w:ind w:firstLine="480"/>
        <w:rPr>
          <w:highlight w:val="none"/>
        </w:rPr>
      </w:pPr>
      <w:r>
        <w:rPr>
          <w:highlight w:val="none"/>
        </w:rPr>
        <w:t>2.</w:t>
      </w:r>
    </w:p>
    <w:p>
      <w:pPr>
        <w:pStyle w:val="127"/>
        <w:ind w:firstLine="480"/>
        <w:rPr>
          <w:highlight w:val="none"/>
        </w:rPr>
      </w:pPr>
      <w:r>
        <w:rPr>
          <w:highlight w:val="none"/>
        </w:rPr>
        <w:t>3.</w:t>
      </w:r>
    </w:p>
    <w:p>
      <w:pPr>
        <w:pStyle w:val="127"/>
        <w:ind w:firstLine="480"/>
        <w:rPr>
          <w:highlight w:val="none"/>
        </w:rPr>
      </w:pPr>
      <w:r>
        <w:rPr>
          <w:highlight w:val="none"/>
        </w:rPr>
        <w:t>.........</w:t>
      </w:r>
    </w:p>
    <w:p>
      <w:pPr>
        <w:pStyle w:val="127"/>
        <w:ind w:firstLine="480"/>
        <w:rPr>
          <w:highlight w:val="none"/>
        </w:rPr>
      </w:pPr>
    </w:p>
    <w:p>
      <w:pPr>
        <w:pStyle w:val="127"/>
        <w:ind w:firstLine="480"/>
        <w:rPr>
          <w:highlight w:val="none"/>
        </w:rPr>
      </w:pPr>
    </w:p>
    <w:p>
      <w:pPr>
        <w:pStyle w:val="127"/>
        <w:ind w:firstLine="480"/>
        <w:rPr>
          <w:highlight w:val="none"/>
        </w:rPr>
      </w:pPr>
    </w:p>
    <w:p>
      <w:pPr>
        <w:pStyle w:val="127"/>
        <w:ind w:firstLine="480"/>
        <w:rPr>
          <w:highlight w:val="none"/>
        </w:rPr>
      </w:pPr>
    </w:p>
    <w:p>
      <w:pPr>
        <w:pStyle w:val="127"/>
        <w:ind w:firstLine="480"/>
        <w:rPr>
          <w:highlight w:val="none"/>
        </w:rPr>
      </w:pPr>
      <w:r>
        <w:rPr>
          <w:highlight w:val="none"/>
        </w:rPr>
        <w:t>特此承诺。</w:t>
      </w:r>
    </w:p>
    <w:p>
      <w:pPr>
        <w:pStyle w:val="127"/>
        <w:rPr>
          <w:highlight w:val="none"/>
        </w:rPr>
      </w:pPr>
    </w:p>
    <w:p>
      <w:pPr>
        <w:pStyle w:val="127"/>
        <w:rPr>
          <w:highlight w:val="none"/>
        </w:rPr>
      </w:pPr>
    </w:p>
    <w:p>
      <w:pPr>
        <w:pStyle w:val="127"/>
        <w:rPr>
          <w:highlight w:val="none"/>
        </w:rPr>
      </w:pPr>
      <w:r>
        <w:rPr>
          <w:highlight w:val="none"/>
        </w:rPr>
        <w:t xml:space="preserve"> </w:t>
      </w:r>
      <w:r>
        <w:rPr>
          <w:rFonts w:hint="eastAsia" w:ascii="宋体" w:hAnsi="宋体" w:eastAsia="宋体" w:cs="宋体"/>
          <w:color w:val="auto"/>
          <w:szCs w:val="21"/>
          <w:highlight w:val="none"/>
        </w:rPr>
        <w:t>投标人名称（并加盖公章）</w:t>
      </w:r>
      <w:r>
        <w:rPr>
          <w:highlight w:val="none"/>
        </w:rPr>
        <w:t>：__________________</w:t>
      </w:r>
    </w:p>
    <w:p>
      <w:pPr>
        <w:pStyle w:val="127"/>
        <w:rPr>
          <w:rFonts w:hint="eastAsia"/>
          <w:highlight w:val="none"/>
        </w:rPr>
      </w:pPr>
      <w:r>
        <w:rPr>
          <w:highlight w:val="none"/>
        </w:rPr>
        <w:t xml:space="preserve"> 日期： 年 月 日</w:t>
      </w:r>
      <w:r>
        <w:rPr>
          <w:rFonts w:hint="eastAsia"/>
          <w:highlight w:val="none"/>
        </w:rPr>
        <w:br w:type="page"/>
      </w:r>
    </w:p>
    <w:p>
      <w:pPr>
        <w:pStyle w:val="6"/>
        <w:rPr>
          <w:rFonts w:hint="eastAsia" w:ascii="宋体" w:hAnsi="宋体" w:eastAsia="宋体" w:cs="宋体"/>
          <w:color w:val="auto"/>
          <w:sz w:val="24"/>
          <w:szCs w:val="24"/>
          <w:highlight w:val="none"/>
        </w:rPr>
      </w:pPr>
      <w:bookmarkStart w:id="187" w:name="_Toc96523910"/>
      <w:r>
        <w:rPr>
          <w:rFonts w:hint="eastAsia" w:ascii="宋体" w:hAnsi="宋体" w:eastAsia="宋体" w:cs="宋体"/>
          <w:color w:val="auto"/>
          <w:sz w:val="24"/>
          <w:szCs w:val="24"/>
          <w:highlight w:val="none"/>
        </w:rPr>
        <w:t>格式15. 投标响应与招标文件差异一览表</w:t>
      </w:r>
      <w:bookmarkEnd w:id="187"/>
    </w:p>
    <w:p>
      <w:pPr>
        <w:spacing w:before="50" w:after="188" w:line="400" w:lineRule="exact"/>
        <w:ind w:left="210" w:leftChars="1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投标人对招标文件中标 “▲”条款的响应情况</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165"/>
        <w:gridCol w:w="1569"/>
        <w:gridCol w:w="1816"/>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12"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58" w:type="pct"/>
            <w:vAlign w:val="center"/>
          </w:tcPr>
          <w:p>
            <w:pPr>
              <w:jc w:val="center"/>
              <w:rPr>
                <w:rFonts w:hint="eastAsia" w:ascii="宋体" w:hAnsi="宋体" w:eastAsia="宋体" w:cs="宋体"/>
                <w:color w:val="auto"/>
                <w:highlight w:val="none"/>
              </w:rPr>
            </w:pPr>
            <w:r>
              <w:rPr>
                <w:rFonts w:hint="eastAsia" w:ascii="宋体" w:hAnsi="宋体" w:eastAsia="宋体" w:cs="宋体"/>
                <w:bCs/>
                <w:color w:val="auto"/>
                <w:szCs w:val="21"/>
                <w:highlight w:val="none"/>
              </w:rPr>
              <w:t>招标文件中标有“▲”的内容</w:t>
            </w:r>
          </w:p>
        </w:tc>
        <w:tc>
          <w:tcPr>
            <w:tcW w:w="921"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投标人响应情况描述</w:t>
            </w:r>
          </w:p>
        </w:tc>
        <w:tc>
          <w:tcPr>
            <w:tcW w:w="1066"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对招标文件的偏离说明（正偏离/完全响应/负偏离）</w:t>
            </w:r>
          </w:p>
        </w:tc>
        <w:tc>
          <w:tcPr>
            <w:tcW w:w="841"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12" w:type="pct"/>
          </w:tcPr>
          <w:p>
            <w:pPr>
              <w:spacing w:line="300" w:lineRule="auto"/>
              <w:jc w:val="center"/>
              <w:rPr>
                <w:rFonts w:hint="eastAsia" w:ascii="宋体" w:hAnsi="宋体" w:eastAsia="宋体" w:cs="宋体"/>
                <w:color w:val="auto"/>
                <w:szCs w:val="21"/>
                <w:highlight w:val="none"/>
              </w:rPr>
            </w:pPr>
          </w:p>
          <w:p>
            <w:pPr>
              <w:spacing w:line="300" w:lineRule="auto"/>
              <w:jc w:val="center"/>
              <w:rPr>
                <w:rFonts w:hint="eastAsia" w:ascii="宋体" w:hAnsi="宋体" w:eastAsia="宋体" w:cs="宋体"/>
                <w:color w:val="auto"/>
                <w:szCs w:val="21"/>
                <w:highlight w:val="none"/>
              </w:rPr>
            </w:pPr>
          </w:p>
        </w:tc>
        <w:tc>
          <w:tcPr>
            <w:tcW w:w="1858" w:type="pct"/>
          </w:tcPr>
          <w:p>
            <w:pPr>
              <w:spacing w:line="300" w:lineRule="auto"/>
              <w:jc w:val="center"/>
              <w:rPr>
                <w:rFonts w:hint="eastAsia" w:ascii="宋体" w:hAnsi="宋体" w:eastAsia="宋体" w:cs="宋体"/>
                <w:color w:val="auto"/>
                <w:szCs w:val="21"/>
                <w:highlight w:val="none"/>
              </w:rPr>
            </w:pPr>
          </w:p>
        </w:tc>
        <w:tc>
          <w:tcPr>
            <w:tcW w:w="921" w:type="pct"/>
          </w:tcPr>
          <w:p>
            <w:pPr>
              <w:spacing w:line="300" w:lineRule="auto"/>
              <w:jc w:val="center"/>
              <w:rPr>
                <w:rFonts w:hint="eastAsia" w:ascii="宋体" w:hAnsi="宋体" w:eastAsia="宋体" w:cs="宋体"/>
                <w:color w:val="auto"/>
                <w:szCs w:val="21"/>
                <w:highlight w:val="none"/>
              </w:rPr>
            </w:pPr>
          </w:p>
        </w:tc>
        <w:tc>
          <w:tcPr>
            <w:tcW w:w="1066" w:type="pct"/>
          </w:tcPr>
          <w:p>
            <w:pPr>
              <w:spacing w:line="300" w:lineRule="auto"/>
              <w:jc w:val="center"/>
              <w:rPr>
                <w:rFonts w:hint="eastAsia" w:ascii="宋体" w:hAnsi="宋体" w:eastAsia="宋体" w:cs="宋体"/>
                <w:color w:val="auto"/>
                <w:szCs w:val="21"/>
                <w:highlight w:val="none"/>
              </w:rPr>
            </w:pPr>
          </w:p>
        </w:tc>
        <w:tc>
          <w:tcPr>
            <w:tcW w:w="841" w:type="pct"/>
          </w:tcPr>
          <w:p>
            <w:pPr>
              <w:spacing w:line="30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12" w:type="pct"/>
          </w:tcPr>
          <w:p>
            <w:pPr>
              <w:spacing w:line="300" w:lineRule="auto"/>
              <w:jc w:val="center"/>
              <w:rPr>
                <w:rFonts w:hint="eastAsia" w:ascii="宋体" w:hAnsi="宋体" w:eastAsia="宋体" w:cs="宋体"/>
                <w:color w:val="auto"/>
                <w:szCs w:val="21"/>
                <w:highlight w:val="none"/>
              </w:rPr>
            </w:pPr>
          </w:p>
          <w:p>
            <w:pPr>
              <w:spacing w:line="300" w:lineRule="auto"/>
              <w:jc w:val="center"/>
              <w:rPr>
                <w:rFonts w:hint="eastAsia" w:ascii="宋体" w:hAnsi="宋体" w:eastAsia="宋体" w:cs="宋体"/>
                <w:color w:val="auto"/>
                <w:szCs w:val="21"/>
                <w:highlight w:val="none"/>
              </w:rPr>
            </w:pPr>
          </w:p>
        </w:tc>
        <w:tc>
          <w:tcPr>
            <w:tcW w:w="1858" w:type="pct"/>
          </w:tcPr>
          <w:p>
            <w:pPr>
              <w:spacing w:line="300" w:lineRule="auto"/>
              <w:jc w:val="center"/>
              <w:rPr>
                <w:rFonts w:hint="eastAsia" w:ascii="宋体" w:hAnsi="宋体" w:eastAsia="宋体" w:cs="宋体"/>
                <w:color w:val="auto"/>
                <w:szCs w:val="21"/>
                <w:highlight w:val="none"/>
              </w:rPr>
            </w:pPr>
          </w:p>
          <w:p>
            <w:pPr>
              <w:spacing w:line="300" w:lineRule="auto"/>
              <w:jc w:val="center"/>
              <w:rPr>
                <w:rFonts w:hint="eastAsia" w:ascii="宋体" w:hAnsi="宋体" w:eastAsia="宋体" w:cs="宋体"/>
                <w:color w:val="auto"/>
                <w:szCs w:val="21"/>
                <w:highlight w:val="none"/>
              </w:rPr>
            </w:pPr>
          </w:p>
        </w:tc>
        <w:tc>
          <w:tcPr>
            <w:tcW w:w="921" w:type="pct"/>
          </w:tcPr>
          <w:p>
            <w:pPr>
              <w:spacing w:line="300" w:lineRule="auto"/>
              <w:jc w:val="center"/>
              <w:rPr>
                <w:rFonts w:hint="eastAsia" w:ascii="宋体" w:hAnsi="宋体" w:eastAsia="宋体" w:cs="宋体"/>
                <w:color w:val="auto"/>
                <w:szCs w:val="21"/>
                <w:highlight w:val="none"/>
              </w:rPr>
            </w:pPr>
          </w:p>
        </w:tc>
        <w:tc>
          <w:tcPr>
            <w:tcW w:w="1066" w:type="pct"/>
          </w:tcPr>
          <w:p>
            <w:pPr>
              <w:spacing w:line="300" w:lineRule="auto"/>
              <w:jc w:val="center"/>
              <w:rPr>
                <w:rFonts w:hint="eastAsia" w:ascii="宋体" w:hAnsi="宋体" w:eastAsia="宋体" w:cs="宋体"/>
                <w:color w:val="auto"/>
                <w:szCs w:val="21"/>
                <w:highlight w:val="none"/>
              </w:rPr>
            </w:pPr>
          </w:p>
        </w:tc>
        <w:tc>
          <w:tcPr>
            <w:tcW w:w="841" w:type="pct"/>
          </w:tcPr>
          <w:p>
            <w:pPr>
              <w:spacing w:line="30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12" w:type="pct"/>
          </w:tcPr>
          <w:p>
            <w:pPr>
              <w:spacing w:line="300" w:lineRule="auto"/>
              <w:jc w:val="center"/>
              <w:rPr>
                <w:rFonts w:hint="eastAsia" w:ascii="宋体" w:hAnsi="宋体" w:eastAsia="宋体" w:cs="宋体"/>
                <w:color w:val="auto"/>
                <w:szCs w:val="21"/>
                <w:highlight w:val="none"/>
              </w:rPr>
            </w:pPr>
          </w:p>
        </w:tc>
        <w:tc>
          <w:tcPr>
            <w:tcW w:w="1858" w:type="pct"/>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1" w:type="pct"/>
          </w:tcPr>
          <w:p>
            <w:pPr>
              <w:spacing w:line="300" w:lineRule="auto"/>
              <w:jc w:val="center"/>
              <w:rPr>
                <w:rFonts w:hint="eastAsia" w:ascii="宋体" w:hAnsi="宋体" w:eastAsia="宋体" w:cs="宋体"/>
                <w:color w:val="auto"/>
                <w:szCs w:val="21"/>
                <w:highlight w:val="none"/>
              </w:rPr>
            </w:pPr>
          </w:p>
        </w:tc>
        <w:tc>
          <w:tcPr>
            <w:tcW w:w="1066" w:type="pct"/>
          </w:tcPr>
          <w:p>
            <w:pPr>
              <w:spacing w:line="300" w:lineRule="auto"/>
              <w:jc w:val="center"/>
              <w:rPr>
                <w:rFonts w:hint="eastAsia" w:ascii="宋体" w:hAnsi="宋体" w:eastAsia="宋体" w:cs="宋体"/>
                <w:color w:val="auto"/>
                <w:szCs w:val="21"/>
                <w:highlight w:val="none"/>
              </w:rPr>
            </w:pPr>
          </w:p>
        </w:tc>
        <w:tc>
          <w:tcPr>
            <w:tcW w:w="841" w:type="pct"/>
          </w:tcPr>
          <w:p>
            <w:pPr>
              <w:spacing w:line="300" w:lineRule="auto"/>
              <w:jc w:val="center"/>
              <w:rPr>
                <w:rFonts w:hint="eastAsia" w:ascii="宋体" w:hAnsi="宋体" w:eastAsia="宋体" w:cs="宋体"/>
                <w:color w:val="auto"/>
                <w:szCs w:val="21"/>
                <w:highlight w:val="none"/>
              </w:rPr>
            </w:pPr>
          </w:p>
        </w:tc>
      </w:tr>
    </w:tbl>
    <w:p>
      <w:pPr>
        <w:spacing w:line="30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00" w:lineRule="auto"/>
        <w:ind w:firstLine="359" w:firstLineChars="17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1.请投标人将招标文件中标有“▲”的相关要求的响应情况按顺序逐条列入此表。</w:t>
      </w:r>
    </w:p>
    <w:p>
      <w:pPr>
        <w:spacing w:line="300" w:lineRule="auto"/>
        <w:ind w:firstLine="359" w:firstLineChars="17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2.此表可延长。</w:t>
      </w:r>
    </w:p>
    <w:p>
      <w:pPr>
        <w:spacing w:line="300" w:lineRule="auto"/>
        <w:ind w:firstLine="359" w:firstLineChars="17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3.招标文件若无“▲”标注的条款，则上表留空。</w:t>
      </w:r>
    </w:p>
    <w:p>
      <w:pPr>
        <w:spacing w:before="50" w:after="188" w:line="400" w:lineRule="exact"/>
        <w:ind w:left="210" w:leftChars="1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投标人对招标需求的响应情况（标 “</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”“▲”的条款除外）</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165"/>
        <w:gridCol w:w="1569"/>
        <w:gridCol w:w="1816"/>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12"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58"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招标文件要求</w:t>
            </w:r>
          </w:p>
        </w:tc>
        <w:tc>
          <w:tcPr>
            <w:tcW w:w="921"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投标人响应情况描述</w:t>
            </w:r>
          </w:p>
        </w:tc>
        <w:tc>
          <w:tcPr>
            <w:tcW w:w="1066"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对招标文件的偏离说明（正偏离/完全响应/负偏离）</w:t>
            </w:r>
          </w:p>
        </w:tc>
        <w:tc>
          <w:tcPr>
            <w:tcW w:w="841"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12" w:type="pct"/>
          </w:tcPr>
          <w:p>
            <w:pPr>
              <w:spacing w:line="300" w:lineRule="auto"/>
              <w:jc w:val="center"/>
              <w:rPr>
                <w:rFonts w:hint="eastAsia" w:ascii="宋体" w:hAnsi="宋体" w:eastAsia="宋体" w:cs="宋体"/>
                <w:color w:val="auto"/>
                <w:szCs w:val="21"/>
                <w:highlight w:val="none"/>
              </w:rPr>
            </w:pPr>
          </w:p>
          <w:p>
            <w:pPr>
              <w:spacing w:line="300" w:lineRule="auto"/>
              <w:jc w:val="center"/>
              <w:rPr>
                <w:rFonts w:hint="eastAsia" w:ascii="宋体" w:hAnsi="宋体" w:eastAsia="宋体" w:cs="宋体"/>
                <w:color w:val="auto"/>
                <w:szCs w:val="21"/>
                <w:highlight w:val="none"/>
              </w:rPr>
            </w:pPr>
          </w:p>
        </w:tc>
        <w:tc>
          <w:tcPr>
            <w:tcW w:w="1858" w:type="pct"/>
          </w:tcPr>
          <w:p>
            <w:pPr>
              <w:spacing w:line="300" w:lineRule="auto"/>
              <w:jc w:val="center"/>
              <w:rPr>
                <w:rFonts w:hint="eastAsia" w:ascii="宋体" w:hAnsi="宋体" w:eastAsia="宋体" w:cs="宋体"/>
                <w:color w:val="auto"/>
                <w:szCs w:val="21"/>
                <w:highlight w:val="none"/>
              </w:rPr>
            </w:pPr>
          </w:p>
        </w:tc>
        <w:tc>
          <w:tcPr>
            <w:tcW w:w="921" w:type="pct"/>
          </w:tcPr>
          <w:p>
            <w:pPr>
              <w:spacing w:line="300" w:lineRule="auto"/>
              <w:jc w:val="center"/>
              <w:rPr>
                <w:rFonts w:hint="eastAsia" w:ascii="宋体" w:hAnsi="宋体" w:eastAsia="宋体" w:cs="宋体"/>
                <w:color w:val="auto"/>
                <w:szCs w:val="21"/>
                <w:highlight w:val="none"/>
              </w:rPr>
            </w:pPr>
          </w:p>
        </w:tc>
        <w:tc>
          <w:tcPr>
            <w:tcW w:w="1066" w:type="pct"/>
          </w:tcPr>
          <w:p>
            <w:pPr>
              <w:spacing w:line="300" w:lineRule="auto"/>
              <w:jc w:val="center"/>
              <w:rPr>
                <w:rFonts w:hint="eastAsia" w:ascii="宋体" w:hAnsi="宋体" w:eastAsia="宋体" w:cs="宋体"/>
                <w:color w:val="auto"/>
                <w:szCs w:val="21"/>
                <w:highlight w:val="none"/>
              </w:rPr>
            </w:pPr>
          </w:p>
        </w:tc>
        <w:tc>
          <w:tcPr>
            <w:tcW w:w="841" w:type="pct"/>
          </w:tcPr>
          <w:p>
            <w:pPr>
              <w:spacing w:line="30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12" w:type="pct"/>
          </w:tcPr>
          <w:p>
            <w:pPr>
              <w:spacing w:line="300" w:lineRule="auto"/>
              <w:jc w:val="center"/>
              <w:rPr>
                <w:rFonts w:hint="eastAsia" w:ascii="宋体" w:hAnsi="宋体" w:eastAsia="宋体" w:cs="宋体"/>
                <w:color w:val="auto"/>
                <w:szCs w:val="21"/>
                <w:highlight w:val="none"/>
              </w:rPr>
            </w:pPr>
          </w:p>
        </w:tc>
        <w:tc>
          <w:tcPr>
            <w:tcW w:w="1858" w:type="pct"/>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1" w:type="pct"/>
          </w:tcPr>
          <w:p>
            <w:pPr>
              <w:spacing w:line="300" w:lineRule="auto"/>
              <w:jc w:val="center"/>
              <w:rPr>
                <w:rFonts w:hint="eastAsia" w:ascii="宋体" w:hAnsi="宋体" w:eastAsia="宋体" w:cs="宋体"/>
                <w:color w:val="auto"/>
                <w:szCs w:val="21"/>
                <w:highlight w:val="none"/>
              </w:rPr>
            </w:pPr>
          </w:p>
        </w:tc>
        <w:tc>
          <w:tcPr>
            <w:tcW w:w="1066" w:type="pct"/>
          </w:tcPr>
          <w:p>
            <w:pPr>
              <w:spacing w:line="300" w:lineRule="auto"/>
              <w:jc w:val="center"/>
              <w:rPr>
                <w:rFonts w:hint="eastAsia" w:ascii="宋体" w:hAnsi="宋体" w:eastAsia="宋体" w:cs="宋体"/>
                <w:color w:val="auto"/>
                <w:szCs w:val="21"/>
                <w:highlight w:val="none"/>
              </w:rPr>
            </w:pPr>
          </w:p>
        </w:tc>
        <w:tc>
          <w:tcPr>
            <w:tcW w:w="841" w:type="pct"/>
          </w:tcPr>
          <w:p>
            <w:pPr>
              <w:spacing w:line="300" w:lineRule="auto"/>
              <w:jc w:val="center"/>
              <w:rPr>
                <w:rFonts w:hint="eastAsia" w:ascii="宋体" w:hAnsi="宋体" w:eastAsia="宋体" w:cs="宋体"/>
                <w:color w:val="auto"/>
                <w:szCs w:val="21"/>
                <w:highlight w:val="none"/>
              </w:rPr>
            </w:pPr>
          </w:p>
        </w:tc>
      </w:tr>
    </w:tbl>
    <w:p>
      <w:pPr>
        <w:spacing w:line="30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00" w:lineRule="auto"/>
        <w:ind w:firstLine="359" w:firstLineChars="171"/>
        <w:rPr>
          <w:rFonts w:hint="eastAsia" w:ascii="宋体" w:hAnsi="宋体" w:eastAsia="宋体" w:cs="宋体"/>
          <w:bCs/>
          <w:color w:val="auto"/>
          <w:szCs w:val="21"/>
          <w:highlight w:val="none"/>
        </w:rPr>
      </w:pPr>
      <w:bookmarkStart w:id="188" w:name="_Toc12020_WPSOffice_Level1"/>
      <w:r>
        <w:rPr>
          <w:rFonts w:hint="eastAsia" w:ascii="宋体" w:hAnsi="宋体" w:eastAsia="宋体" w:cs="宋体"/>
          <w:bCs/>
          <w:color w:val="auto"/>
          <w:szCs w:val="21"/>
          <w:highlight w:val="none"/>
        </w:rPr>
        <w:t>1.把招标需求相关要求的响应情况逐条列入此表。</w:t>
      </w:r>
      <w:bookmarkEnd w:id="188"/>
    </w:p>
    <w:p>
      <w:pPr>
        <w:spacing w:line="300" w:lineRule="auto"/>
        <w:ind w:firstLine="359" w:firstLineChars="171"/>
        <w:rPr>
          <w:rFonts w:hint="eastAsia" w:ascii="宋体" w:hAnsi="宋体" w:eastAsia="宋体" w:cs="宋体"/>
          <w:bCs/>
          <w:color w:val="auto"/>
          <w:szCs w:val="21"/>
          <w:highlight w:val="none"/>
        </w:rPr>
      </w:pPr>
      <w:bookmarkStart w:id="189" w:name="_Toc3672_WPSOffice_Level1"/>
      <w:r>
        <w:rPr>
          <w:rFonts w:hint="eastAsia" w:ascii="宋体" w:hAnsi="宋体" w:eastAsia="宋体" w:cs="宋体"/>
          <w:bCs/>
          <w:color w:val="auto"/>
          <w:szCs w:val="21"/>
          <w:highlight w:val="none"/>
        </w:rPr>
        <w:t>2.按招标需求的顺序填写。</w:t>
      </w:r>
      <w:bookmarkEnd w:id="189"/>
    </w:p>
    <w:p>
      <w:pPr>
        <w:spacing w:line="300" w:lineRule="auto"/>
        <w:ind w:firstLine="359" w:firstLineChars="171"/>
        <w:rPr>
          <w:rFonts w:hint="eastAsia" w:ascii="宋体" w:hAnsi="宋体" w:eastAsia="宋体" w:cs="宋体"/>
          <w:bCs/>
          <w:color w:val="auto"/>
          <w:szCs w:val="21"/>
          <w:highlight w:val="none"/>
        </w:rPr>
      </w:pPr>
      <w:bookmarkStart w:id="190" w:name="_Toc4424_WPSOffice_Level1"/>
      <w:r>
        <w:rPr>
          <w:rFonts w:hint="eastAsia" w:ascii="宋体" w:hAnsi="宋体" w:eastAsia="宋体" w:cs="宋体"/>
          <w:bCs/>
          <w:color w:val="auto"/>
          <w:szCs w:val="21"/>
          <w:highlight w:val="none"/>
        </w:rPr>
        <w:t>3.此表可延长。</w:t>
      </w:r>
      <w:bookmarkEnd w:id="190"/>
    </w:p>
    <w:p>
      <w:pPr>
        <w:spacing w:line="360" w:lineRule="auto"/>
        <w:ind w:firstLine="239" w:firstLineChars="1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tabs>
          <w:tab w:val="left" w:pos="3119"/>
        </w:tabs>
        <w:spacing w:line="360" w:lineRule="auto"/>
        <w:ind w:left="185" w:leftChars="88" w:firstLine="25" w:firstLineChars="1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投标人法定代表人或其委托人签字或印鉴： </w:t>
      </w:r>
    </w:p>
    <w:p>
      <w:pPr>
        <w:tabs>
          <w:tab w:val="left" w:pos="3119"/>
        </w:tabs>
        <w:spacing w:line="360" w:lineRule="auto"/>
        <w:ind w:left="185" w:leftChars="88" w:firstLine="25" w:firstLineChars="12"/>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Style w:val="6"/>
        <w:rPr>
          <w:rFonts w:hint="eastAsia" w:ascii="宋体" w:hAnsi="宋体" w:eastAsia="宋体" w:cs="宋体"/>
          <w:color w:val="auto"/>
          <w:sz w:val="24"/>
          <w:szCs w:val="24"/>
          <w:highlight w:val="none"/>
        </w:rPr>
      </w:pPr>
      <w:bookmarkStart w:id="191" w:name="_Toc96523911"/>
      <w:r>
        <w:rPr>
          <w:rFonts w:hint="eastAsia" w:ascii="宋体" w:hAnsi="宋体" w:eastAsia="宋体" w:cs="宋体"/>
          <w:color w:val="auto"/>
          <w:sz w:val="24"/>
          <w:szCs w:val="24"/>
          <w:highlight w:val="none"/>
        </w:rPr>
        <w:t>格式16.</w:t>
      </w:r>
      <w:bookmarkStart w:id="192" w:name="_Toc6037"/>
      <w:r>
        <w:rPr>
          <w:rFonts w:hint="eastAsia" w:ascii="宋体" w:hAnsi="宋体" w:eastAsia="宋体" w:cs="宋体"/>
          <w:color w:val="auto"/>
          <w:sz w:val="24"/>
          <w:szCs w:val="24"/>
          <w:highlight w:val="none"/>
        </w:rPr>
        <w:t xml:space="preserve"> 投标人基本情况表</w:t>
      </w:r>
      <w:bookmarkEnd w:id="191"/>
      <w:bookmarkEnd w:id="192"/>
    </w:p>
    <w:p>
      <w:pPr>
        <w:tabs>
          <w:tab w:val="left" w:pos="900"/>
        </w:tabs>
        <w:spacing w:line="360" w:lineRule="auto"/>
        <w:rPr>
          <w:rFonts w:hint="eastAsia" w:ascii="宋体" w:hAnsi="宋体" w:eastAsia="宋体" w:cs="宋体"/>
          <w:color w:val="auto"/>
          <w:szCs w:val="21"/>
          <w:highlight w:val="none"/>
        </w:rPr>
      </w:pPr>
      <w:bookmarkStart w:id="193" w:name="_Toc21459_WPSOffice_Level1"/>
      <w:r>
        <w:rPr>
          <w:rFonts w:hint="eastAsia" w:ascii="宋体" w:hAnsi="宋体" w:eastAsia="宋体" w:cs="宋体"/>
          <w:color w:val="auto"/>
          <w:szCs w:val="21"/>
          <w:highlight w:val="none"/>
        </w:rPr>
        <w:t>一、投标人基本情况</w:t>
      </w:r>
      <w:bookmarkEnd w:id="193"/>
    </w:p>
    <w:p>
      <w:pPr>
        <w:tabs>
          <w:tab w:val="left" w:pos="1080"/>
        </w:tabs>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1.投标人名称：   电话号码：</w:t>
      </w:r>
    </w:p>
    <w:p>
      <w:pPr>
        <w:tabs>
          <w:tab w:val="left" w:pos="1080"/>
        </w:tabs>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    址：     传    真：</w:t>
      </w:r>
    </w:p>
    <w:p>
      <w:pPr>
        <w:tabs>
          <w:tab w:val="left" w:pos="1080"/>
        </w:tabs>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3.注册资金：     经济性质：</w:t>
      </w:r>
    </w:p>
    <w:p>
      <w:pPr>
        <w:tabs>
          <w:tab w:val="left" w:pos="1080"/>
        </w:tabs>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4.是否为外商投资企业：</w:t>
      </w:r>
    </w:p>
    <w:p>
      <w:pPr>
        <w:tabs>
          <w:tab w:val="left" w:pos="1080"/>
        </w:tabs>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□是（外商投资者国别：   ）：□全部由外商投资；□部分由外商投资</w:t>
      </w:r>
    </w:p>
    <w:p>
      <w:pPr>
        <w:tabs>
          <w:tab w:val="left" w:pos="1080"/>
        </w:tabs>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pPr>
        <w:tabs>
          <w:tab w:val="left" w:pos="1080"/>
        </w:tabs>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5.投标人开户账号资料</w:t>
      </w:r>
    </w:p>
    <w:p>
      <w:pPr>
        <w:spacing w:line="360" w:lineRule="auto"/>
        <w:ind w:left="368" w:leftChars="175"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银行名称及账号：</w:t>
      </w:r>
    </w:p>
    <w:p>
      <w:pPr>
        <w:spacing w:line="360" w:lineRule="auto"/>
        <w:ind w:left="368" w:leftChars="175"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开户地址：</w:t>
      </w:r>
    </w:p>
    <w:p>
      <w:pPr>
        <w:tabs>
          <w:tab w:val="left" w:pos="1080"/>
        </w:tabs>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6.投标人简介（自行描述）：</w:t>
      </w:r>
    </w:p>
    <w:p>
      <w:pPr>
        <w:tabs>
          <w:tab w:val="left" w:pos="1080"/>
        </w:tabs>
        <w:spacing w:line="360" w:lineRule="auto"/>
        <w:ind w:left="360"/>
        <w:rPr>
          <w:rFonts w:hint="eastAsia" w:ascii="宋体" w:hAnsi="宋体" w:eastAsia="宋体" w:cs="宋体"/>
          <w:color w:val="auto"/>
          <w:szCs w:val="21"/>
          <w:highlight w:val="none"/>
        </w:rPr>
      </w:pPr>
    </w:p>
    <w:p>
      <w:pPr>
        <w:tabs>
          <w:tab w:val="left" w:pos="900"/>
        </w:tabs>
        <w:spacing w:line="360" w:lineRule="auto"/>
        <w:rPr>
          <w:rFonts w:hint="eastAsia" w:ascii="宋体" w:hAnsi="宋体" w:eastAsia="宋体" w:cs="宋体"/>
          <w:color w:val="auto"/>
          <w:szCs w:val="21"/>
          <w:highlight w:val="none"/>
        </w:rPr>
      </w:pPr>
      <w:bookmarkStart w:id="194" w:name="_Toc24077_WPSOffice_Level1"/>
      <w:r>
        <w:rPr>
          <w:rFonts w:hint="eastAsia" w:ascii="宋体" w:hAnsi="宋体" w:eastAsia="宋体" w:cs="宋体"/>
          <w:color w:val="auto"/>
          <w:szCs w:val="21"/>
          <w:highlight w:val="none"/>
        </w:rPr>
        <w:t>二、投标人获得资质和获奖证明文件</w:t>
      </w:r>
      <w:bookmarkEnd w:id="194"/>
    </w:p>
    <w:tbl>
      <w:tblPr>
        <w:tblStyle w:val="33"/>
        <w:tblW w:w="4998" w:type="pct"/>
        <w:jc w:val="center"/>
        <w:tblLayout w:type="autofit"/>
        <w:tblCellMar>
          <w:top w:w="0" w:type="dxa"/>
          <w:left w:w="30" w:type="dxa"/>
          <w:bottom w:w="0" w:type="dxa"/>
          <w:right w:w="30" w:type="dxa"/>
        </w:tblCellMar>
      </w:tblPr>
      <w:tblGrid>
        <w:gridCol w:w="3073"/>
        <w:gridCol w:w="1655"/>
        <w:gridCol w:w="1961"/>
        <w:gridCol w:w="1668"/>
      </w:tblGrid>
      <w:tr>
        <w:tblPrEx>
          <w:tblCellMar>
            <w:top w:w="0" w:type="dxa"/>
            <w:left w:w="30" w:type="dxa"/>
            <w:bottom w:w="0" w:type="dxa"/>
            <w:right w:w="30" w:type="dxa"/>
          </w:tblCellMar>
        </w:tblPrEx>
        <w:trPr>
          <w:trHeight w:val="318" w:hRule="atLeast"/>
          <w:jc w:val="center"/>
        </w:trPr>
        <w:tc>
          <w:tcPr>
            <w:tcW w:w="1838" w:type="pct"/>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tc>
        <w:tc>
          <w:tcPr>
            <w:tcW w:w="990" w:type="pct"/>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发证单位</w:t>
            </w:r>
          </w:p>
        </w:tc>
        <w:tc>
          <w:tcPr>
            <w:tcW w:w="1173" w:type="pct"/>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证书等级</w:t>
            </w:r>
          </w:p>
        </w:tc>
        <w:tc>
          <w:tcPr>
            <w:tcW w:w="997" w:type="pct"/>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证书有效期</w:t>
            </w:r>
          </w:p>
        </w:tc>
      </w:tr>
      <w:tr>
        <w:tblPrEx>
          <w:tblCellMar>
            <w:top w:w="0" w:type="dxa"/>
            <w:left w:w="30" w:type="dxa"/>
            <w:bottom w:w="0" w:type="dxa"/>
            <w:right w:w="30" w:type="dxa"/>
          </w:tblCellMar>
        </w:tblPrEx>
        <w:trPr>
          <w:trHeight w:val="420" w:hRule="atLeast"/>
          <w:jc w:val="center"/>
        </w:trPr>
        <w:tc>
          <w:tcPr>
            <w:tcW w:w="1838" w:type="pct"/>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hint="eastAsia" w:ascii="宋体" w:hAnsi="宋体" w:eastAsia="宋体" w:cs="宋体"/>
                <w:color w:val="auto"/>
                <w:szCs w:val="21"/>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hint="eastAsia" w:ascii="宋体" w:hAnsi="宋体" w:eastAsia="宋体" w:cs="宋体"/>
                <w:color w:val="auto"/>
                <w:szCs w:val="21"/>
                <w:highlight w:val="none"/>
              </w:rPr>
            </w:pPr>
          </w:p>
        </w:tc>
        <w:tc>
          <w:tcPr>
            <w:tcW w:w="1173" w:type="pct"/>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hint="eastAsia" w:ascii="宋体" w:hAnsi="宋体" w:eastAsia="宋体" w:cs="宋体"/>
                <w:color w:val="auto"/>
                <w:szCs w:val="21"/>
                <w:highlight w:val="none"/>
              </w:rPr>
            </w:pPr>
          </w:p>
        </w:tc>
        <w:tc>
          <w:tcPr>
            <w:tcW w:w="997" w:type="pct"/>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hint="eastAsia" w:ascii="宋体" w:hAnsi="宋体" w:eastAsia="宋体" w:cs="宋体"/>
                <w:color w:val="auto"/>
                <w:szCs w:val="21"/>
                <w:highlight w:val="none"/>
              </w:rPr>
            </w:pPr>
          </w:p>
        </w:tc>
      </w:tr>
      <w:tr>
        <w:tblPrEx>
          <w:tblCellMar>
            <w:top w:w="0" w:type="dxa"/>
            <w:left w:w="30" w:type="dxa"/>
            <w:bottom w:w="0" w:type="dxa"/>
            <w:right w:w="30" w:type="dxa"/>
          </w:tblCellMar>
        </w:tblPrEx>
        <w:trPr>
          <w:trHeight w:val="420" w:hRule="atLeast"/>
          <w:jc w:val="center"/>
        </w:trPr>
        <w:tc>
          <w:tcPr>
            <w:tcW w:w="1838" w:type="pct"/>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hint="eastAsia" w:ascii="宋体" w:hAnsi="宋体" w:eastAsia="宋体" w:cs="宋体"/>
                <w:color w:val="auto"/>
                <w:szCs w:val="21"/>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hint="eastAsia" w:ascii="宋体" w:hAnsi="宋体" w:eastAsia="宋体" w:cs="宋体"/>
                <w:color w:val="auto"/>
                <w:szCs w:val="21"/>
                <w:highlight w:val="none"/>
              </w:rPr>
            </w:pPr>
          </w:p>
        </w:tc>
        <w:tc>
          <w:tcPr>
            <w:tcW w:w="1173" w:type="pct"/>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hint="eastAsia" w:ascii="宋体" w:hAnsi="宋体" w:eastAsia="宋体" w:cs="宋体"/>
                <w:color w:val="auto"/>
                <w:szCs w:val="21"/>
                <w:highlight w:val="none"/>
              </w:rPr>
            </w:pPr>
          </w:p>
        </w:tc>
        <w:tc>
          <w:tcPr>
            <w:tcW w:w="997" w:type="pct"/>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hint="eastAsia" w:ascii="宋体" w:hAnsi="宋体" w:eastAsia="宋体" w:cs="宋体"/>
                <w:color w:val="auto"/>
                <w:szCs w:val="21"/>
                <w:highlight w:val="none"/>
              </w:rPr>
            </w:pPr>
          </w:p>
        </w:tc>
      </w:tr>
      <w:tr>
        <w:tblPrEx>
          <w:tblCellMar>
            <w:top w:w="0" w:type="dxa"/>
            <w:left w:w="30" w:type="dxa"/>
            <w:bottom w:w="0" w:type="dxa"/>
            <w:right w:w="30" w:type="dxa"/>
          </w:tblCellMar>
        </w:tblPrEx>
        <w:trPr>
          <w:trHeight w:val="420" w:hRule="atLeast"/>
          <w:jc w:val="center"/>
        </w:trPr>
        <w:tc>
          <w:tcPr>
            <w:tcW w:w="1838" w:type="pct"/>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hint="eastAsia" w:ascii="宋体" w:hAnsi="宋体" w:eastAsia="宋体" w:cs="宋体"/>
                <w:color w:val="auto"/>
                <w:szCs w:val="21"/>
                <w:highlight w:val="none"/>
              </w:rPr>
            </w:pPr>
          </w:p>
        </w:tc>
        <w:tc>
          <w:tcPr>
            <w:tcW w:w="99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hint="eastAsia" w:ascii="宋体" w:hAnsi="宋体" w:eastAsia="宋体" w:cs="宋体"/>
                <w:color w:val="auto"/>
                <w:szCs w:val="21"/>
                <w:highlight w:val="none"/>
              </w:rPr>
            </w:pPr>
          </w:p>
        </w:tc>
        <w:tc>
          <w:tcPr>
            <w:tcW w:w="1173" w:type="pct"/>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hint="eastAsia" w:ascii="宋体" w:hAnsi="宋体" w:eastAsia="宋体" w:cs="宋体"/>
                <w:color w:val="auto"/>
                <w:szCs w:val="21"/>
                <w:highlight w:val="none"/>
              </w:rPr>
            </w:pPr>
          </w:p>
        </w:tc>
        <w:tc>
          <w:tcPr>
            <w:tcW w:w="997" w:type="pct"/>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hint="eastAsia" w:ascii="宋体" w:hAnsi="宋体" w:eastAsia="宋体" w:cs="宋体"/>
                <w:color w:val="auto"/>
                <w:szCs w:val="21"/>
                <w:highlight w:val="none"/>
              </w:rPr>
            </w:pPr>
          </w:p>
        </w:tc>
      </w:tr>
    </w:tbl>
    <w:p>
      <w:pPr>
        <w:spacing w:line="360" w:lineRule="auto"/>
        <w:ind w:left="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投标人需提供相关证明文件的复印件（加盖公章）</w:t>
      </w:r>
    </w:p>
    <w:p>
      <w:pPr>
        <w:tabs>
          <w:tab w:val="left" w:pos="900"/>
        </w:tabs>
        <w:spacing w:line="360" w:lineRule="auto"/>
        <w:rPr>
          <w:rFonts w:hint="eastAsia" w:ascii="宋体" w:hAnsi="宋体" w:eastAsia="宋体" w:cs="宋体"/>
          <w:color w:val="auto"/>
          <w:szCs w:val="21"/>
          <w:highlight w:val="none"/>
        </w:rPr>
      </w:pPr>
      <w:bookmarkStart w:id="195" w:name="_Toc28158_WPSOffice_Level1"/>
      <w:r>
        <w:rPr>
          <w:rFonts w:hint="eastAsia" w:ascii="宋体" w:hAnsi="宋体" w:eastAsia="宋体" w:cs="宋体"/>
          <w:color w:val="auto"/>
          <w:szCs w:val="21"/>
          <w:highlight w:val="none"/>
        </w:rPr>
        <w:t>三、其他</w:t>
      </w:r>
      <w:bookmarkEnd w:id="195"/>
    </w:p>
    <w:p>
      <w:pPr>
        <w:spacing w:before="156" w:after="156"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1.参加政府采购活动前三年内，在经营活动中的重大违法记录（须如实填写，若对此进行隐瞒，尔后又被采购人或采购代理机构发现，或被它人举证成立，其投标资格将被取消）。</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2959"/>
        <w:gridCol w:w="292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pct"/>
            <w:vAlign w:val="center"/>
          </w:tcPr>
          <w:p>
            <w:pPr>
              <w:pStyle w:val="10"/>
              <w:ind w:left="1"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时 间</w:t>
            </w:r>
          </w:p>
        </w:tc>
        <w:tc>
          <w:tcPr>
            <w:tcW w:w="1737" w:type="pct"/>
            <w:vAlign w:val="center"/>
          </w:tcPr>
          <w:p>
            <w:pPr>
              <w:pStyle w:val="1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受处理的原因</w:t>
            </w:r>
          </w:p>
          <w:p>
            <w:pPr>
              <w:pStyle w:val="10"/>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（注明采购项目名称及处理原因）</w:t>
            </w:r>
          </w:p>
        </w:tc>
        <w:tc>
          <w:tcPr>
            <w:tcW w:w="1717" w:type="pct"/>
            <w:vAlign w:val="center"/>
          </w:tcPr>
          <w:p>
            <w:pPr>
              <w:pStyle w:val="10"/>
              <w:ind w:firstLine="42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处理的内容</w:t>
            </w:r>
          </w:p>
          <w:p>
            <w:pPr>
              <w:pStyle w:val="10"/>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（如受到禁止一段时期参加全国范围内某种项目的采购活动的，同时说明解禁时间）</w:t>
            </w:r>
          </w:p>
        </w:tc>
        <w:tc>
          <w:tcPr>
            <w:tcW w:w="819" w:type="pct"/>
            <w:vAlign w:val="center"/>
          </w:tcPr>
          <w:p>
            <w:pPr>
              <w:pStyle w:val="10"/>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25" w:type="pct"/>
            <w:vAlign w:val="center"/>
          </w:tcPr>
          <w:p>
            <w:pPr>
              <w:pStyle w:val="10"/>
              <w:jc w:val="center"/>
              <w:rPr>
                <w:rFonts w:hint="eastAsia" w:ascii="宋体" w:hAnsi="宋体" w:eastAsia="宋体" w:cs="宋体"/>
                <w:color w:val="auto"/>
                <w:szCs w:val="21"/>
                <w:highlight w:val="none"/>
              </w:rPr>
            </w:pPr>
          </w:p>
        </w:tc>
        <w:tc>
          <w:tcPr>
            <w:tcW w:w="1737" w:type="pct"/>
            <w:vAlign w:val="center"/>
          </w:tcPr>
          <w:p>
            <w:pPr>
              <w:pStyle w:val="10"/>
              <w:jc w:val="center"/>
              <w:rPr>
                <w:rFonts w:hint="eastAsia" w:ascii="宋体" w:hAnsi="宋体" w:eastAsia="宋体" w:cs="宋体"/>
                <w:color w:val="auto"/>
                <w:szCs w:val="21"/>
                <w:highlight w:val="none"/>
              </w:rPr>
            </w:pPr>
          </w:p>
        </w:tc>
        <w:tc>
          <w:tcPr>
            <w:tcW w:w="1717" w:type="pct"/>
            <w:vAlign w:val="center"/>
          </w:tcPr>
          <w:p>
            <w:pPr>
              <w:pStyle w:val="10"/>
              <w:jc w:val="center"/>
              <w:rPr>
                <w:rFonts w:hint="eastAsia" w:ascii="宋体" w:hAnsi="宋体" w:eastAsia="宋体" w:cs="宋体"/>
                <w:color w:val="auto"/>
                <w:szCs w:val="21"/>
                <w:highlight w:val="none"/>
              </w:rPr>
            </w:pPr>
          </w:p>
        </w:tc>
        <w:tc>
          <w:tcPr>
            <w:tcW w:w="819" w:type="pct"/>
            <w:vAlign w:val="center"/>
          </w:tcPr>
          <w:p>
            <w:pPr>
              <w:pStyle w:val="10"/>
              <w:jc w:val="center"/>
              <w:rPr>
                <w:rFonts w:hint="eastAsia" w:ascii="宋体" w:hAnsi="宋体" w:eastAsia="宋体" w:cs="宋体"/>
                <w:color w:val="auto"/>
                <w:szCs w:val="21"/>
                <w:highlight w:val="none"/>
              </w:rPr>
            </w:pPr>
          </w:p>
        </w:tc>
      </w:tr>
    </w:tbl>
    <w:p>
      <w:pPr>
        <w:pStyle w:val="10"/>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2.投标人认为有必要提供的其他证明有关技术、资金实力的资质材料，所有证明文件需提供复印件（加盖公章）</w:t>
      </w:r>
    </w:p>
    <w:p>
      <w:pPr>
        <w:pStyle w:val="10"/>
        <w:ind w:firstLine="0"/>
        <w:rPr>
          <w:rFonts w:hint="eastAsia" w:ascii="宋体" w:hAnsi="宋体" w:eastAsia="宋体" w:cs="宋体"/>
          <w:color w:val="auto"/>
          <w:szCs w:val="21"/>
          <w:highlight w:val="none"/>
        </w:rPr>
      </w:pPr>
      <w:r>
        <w:rPr>
          <w:rFonts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2890520</wp:posOffset>
                </wp:positionH>
                <wp:positionV relativeFrom="paragraph">
                  <wp:posOffset>46355</wp:posOffset>
                </wp:positionV>
                <wp:extent cx="1979930" cy="1619885"/>
                <wp:effectExtent l="4445" t="4445" r="9525" b="13970"/>
                <wp:wrapNone/>
                <wp:docPr id="4" name="矩形 24"/>
                <wp:cNvGraphicFramePr/>
                <a:graphic xmlns:a="http://schemas.openxmlformats.org/drawingml/2006/main">
                  <a:graphicData uri="http://schemas.microsoft.com/office/word/2010/wordprocessingShape">
                    <wps:wsp>
                      <wps:cNvSpPr>
                        <a:spLocks noChangeArrowheads="1"/>
                      </wps:cNvSpPr>
                      <wps:spPr bwMode="auto">
                        <a:xfrm>
                          <a:off x="0" y="0"/>
                          <a:ext cx="1979930" cy="1619885"/>
                        </a:xfrm>
                        <a:prstGeom prst="rect">
                          <a:avLst/>
                        </a:prstGeom>
                        <a:solidFill>
                          <a:srgbClr val="FFFFFF"/>
                        </a:solidFill>
                        <a:ln w="9525">
                          <a:solidFill>
                            <a:srgbClr val="000000"/>
                          </a:solidFill>
                          <a:miter lim="800000"/>
                        </a:ln>
                        <a:effectLst/>
                      </wps:spPr>
                      <wps:txbx>
                        <w:txbxContent>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投标人公章样本</w:t>
                            </w:r>
                          </w:p>
                        </w:txbxContent>
                      </wps:txbx>
                      <wps:bodyPr rot="0" vert="horz" wrap="square" lIns="91440" tIns="45720" rIns="91440" bIns="45720" anchor="t" anchorCtr="0" upright="1">
                        <a:noAutofit/>
                      </wps:bodyPr>
                    </wps:wsp>
                  </a:graphicData>
                </a:graphic>
              </wp:anchor>
            </w:drawing>
          </mc:Choice>
          <mc:Fallback>
            <w:pict>
              <v:rect id="矩形 24" o:spid="_x0000_s1026" o:spt="1" style="position:absolute;left:0pt;margin-left:227.6pt;margin-top:3.65pt;height:127.55pt;width:155.9pt;z-index:251665408;mso-width-relative:page;mso-height-relative:page;" fillcolor="#FFFFFF" filled="t" stroked="t" coordsize="21600,21600" o:gfxdata="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&#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ZkwetgAAAAJAQAADwAAAAAAAAABACAAAAAiAAAA&#10;ZHJzL2Rvd25yZXYueG1sUEsBAhQAFAAAAAgAh07iQP3N8NpAAgAAigQAAA4AAAAAAAAAAQAgAAAA&#10;JwEAAGRycy9lMm9Eb2MueG1sUEsFBgAAAAAGAAYAWQEAANkFAAAAAA==&#10;">
                <v:fill on="t" focussize="0,0"/>
                <v:stroke color="#000000" miterlimit="8"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投标人公章样本</w:t>
                      </w:r>
                    </w:p>
                  </w:txbxContent>
                </v:textbox>
              </v:rect>
            </w:pict>
          </mc:Fallback>
        </mc:AlternateContent>
      </w:r>
      <w:r>
        <w:rPr>
          <w:rFonts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238125</wp:posOffset>
                </wp:positionH>
                <wp:positionV relativeFrom="paragraph">
                  <wp:posOffset>64770</wp:posOffset>
                </wp:positionV>
                <wp:extent cx="1979930" cy="1619885"/>
                <wp:effectExtent l="4445" t="4445" r="9525" b="13970"/>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1979930" cy="1619885"/>
                        </a:xfrm>
                        <a:prstGeom prst="rect">
                          <a:avLst/>
                        </a:prstGeom>
                        <a:solidFill>
                          <a:srgbClr val="FFFFFF"/>
                        </a:solidFill>
                        <a:ln w="9525">
                          <a:solidFill>
                            <a:srgbClr val="000000"/>
                          </a:solidFill>
                          <a:miter lim="800000"/>
                        </a:ln>
                        <a:effectLst/>
                      </wps:spPr>
                      <wps:txbx>
                        <w:txbxContent>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投标人标记样本（即LOGO，如无,无须标记）</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18.75pt;margin-top:5.1pt;height:127.55pt;width:155.9pt;z-index:251664384;mso-width-relative:page;mso-height-relative:page;" fillcolor="#FFFFFF" filled="t" stroked="t" coordsize="21600,21600" o:gfxdata="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&#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xtKEV2AAAAAkBAAAPAAAAAAAAAAEAIAAAACIAAABk&#10;cnMvZG93bnJldi54bWxQSwECFAAUAAAACACHTuJA2KkoaD8CAACKBAAADgAAAAAAAAABACAAAAAn&#10;AQAAZHJzL2Uyb0RvYy54bWxQSwUGAAAAAAYABgBZAQAA2AUAAAAA&#10;">
                <v:fill on="t" focussize="0,0"/>
                <v:stroke color="#000000" miterlimit="8"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投标人标记样本（即LOGO，如无,无须标记）</w:t>
                      </w:r>
                    </w:p>
                  </w:txbxContent>
                </v:textbox>
              </v:rect>
            </w:pict>
          </mc:Fallback>
        </mc:AlternateContent>
      </w:r>
    </w:p>
    <w:p>
      <w:pPr>
        <w:pStyle w:val="10"/>
        <w:ind w:firstLine="0"/>
        <w:rPr>
          <w:rFonts w:hint="eastAsia" w:ascii="宋体" w:hAnsi="宋体" w:eastAsia="宋体" w:cs="宋体"/>
          <w:color w:val="auto"/>
          <w:szCs w:val="21"/>
          <w:highlight w:val="none"/>
        </w:rPr>
      </w:pPr>
    </w:p>
    <w:p>
      <w:pPr>
        <w:pStyle w:val="10"/>
        <w:ind w:firstLine="0"/>
        <w:rPr>
          <w:rFonts w:hint="eastAsia" w:ascii="宋体" w:hAnsi="宋体" w:eastAsia="宋体" w:cs="宋体"/>
          <w:color w:val="auto"/>
          <w:szCs w:val="21"/>
          <w:highlight w:val="none"/>
        </w:rPr>
      </w:pPr>
    </w:p>
    <w:p>
      <w:pPr>
        <w:pStyle w:val="10"/>
        <w:ind w:firstLine="0"/>
        <w:rPr>
          <w:rFonts w:hint="eastAsia" w:ascii="宋体" w:hAnsi="宋体" w:eastAsia="宋体" w:cs="宋体"/>
          <w:color w:val="auto"/>
          <w:szCs w:val="21"/>
          <w:highlight w:val="none"/>
        </w:rPr>
      </w:pPr>
    </w:p>
    <w:p>
      <w:pPr>
        <w:pStyle w:val="10"/>
        <w:ind w:firstLine="0"/>
        <w:rPr>
          <w:rFonts w:hint="eastAsia" w:ascii="宋体" w:hAnsi="宋体" w:eastAsia="宋体" w:cs="宋体"/>
          <w:color w:val="auto"/>
          <w:szCs w:val="21"/>
          <w:highlight w:val="none"/>
        </w:rPr>
      </w:pPr>
    </w:p>
    <w:p>
      <w:pPr>
        <w:pStyle w:val="10"/>
        <w:ind w:firstLine="0"/>
        <w:rPr>
          <w:rFonts w:hint="eastAsia" w:ascii="宋体" w:hAnsi="宋体" w:eastAsia="宋体" w:cs="宋体"/>
          <w:color w:val="auto"/>
          <w:szCs w:val="21"/>
          <w:highlight w:val="none"/>
        </w:rPr>
      </w:pPr>
    </w:p>
    <w:p>
      <w:pPr>
        <w:pStyle w:val="10"/>
        <w:ind w:firstLine="0"/>
        <w:rPr>
          <w:rFonts w:hint="eastAsia" w:ascii="宋体" w:hAnsi="宋体" w:eastAsia="宋体" w:cs="宋体"/>
          <w:color w:val="auto"/>
          <w:szCs w:val="21"/>
          <w:highlight w:val="none"/>
        </w:rPr>
      </w:pPr>
    </w:p>
    <w:p>
      <w:pPr>
        <w:spacing w:line="360" w:lineRule="auto"/>
        <w:ind w:left="712" w:leftChars="119" w:hanging="462" w:hangingChars="220"/>
        <w:rPr>
          <w:rFonts w:hint="eastAsia" w:ascii="宋体" w:hAnsi="宋体" w:eastAsia="宋体" w:cs="宋体"/>
          <w:color w:val="auto"/>
          <w:szCs w:val="21"/>
          <w:highlight w:val="none"/>
        </w:rPr>
      </w:pPr>
    </w:p>
    <w:p>
      <w:pPr>
        <w:spacing w:line="360" w:lineRule="auto"/>
        <w:ind w:left="712" w:leftChars="119" w:hanging="462" w:hangingChars="220"/>
        <w:rPr>
          <w:rFonts w:hint="eastAsia" w:ascii="宋体" w:hAnsi="宋体" w:eastAsia="宋体" w:cs="宋体"/>
          <w:color w:val="auto"/>
          <w:szCs w:val="21"/>
          <w:highlight w:val="none"/>
        </w:rPr>
      </w:pPr>
    </w:p>
    <w:p>
      <w:pPr>
        <w:spacing w:line="360" w:lineRule="auto"/>
        <w:ind w:left="712" w:leftChars="119" w:hanging="462" w:hangingChars="220"/>
        <w:rPr>
          <w:rFonts w:hint="eastAsia" w:ascii="宋体" w:hAnsi="宋体" w:eastAsia="宋体" w:cs="宋体"/>
          <w:color w:val="auto"/>
          <w:szCs w:val="21"/>
          <w:highlight w:val="none"/>
        </w:rPr>
      </w:pPr>
    </w:p>
    <w:p>
      <w:pPr>
        <w:spacing w:line="360" w:lineRule="auto"/>
        <w:ind w:left="712" w:leftChars="119" w:hanging="462" w:hangingChars="2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我/我们声明以上所述是正确无误的，您有权进行您认为必要的所有调查。</w:t>
      </w:r>
    </w:p>
    <w:p>
      <w:pPr>
        <w:spacing w:line="360" w:lineRule="auto"/>
        <w:ind w:left="712" w:leftChars="119" w:hanging="462" w:hangingChars="2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12" w:leftChars="119" w:hanging="462" w:hangingChars="2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投标人法定代表人或其委托人签字或印鉴： </w:t>
      </w:r>
    </w:p>
    <w:p>
      <w:pPr>
        <w:spacing w:line="360" w:lineRule="auto"/>
        <w:ind w:left="712" w:leftChars="119" w:hanging="462" w:hangingChars="2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96" w:name="_Toc96523912"/>
      <w:r>
        <w:rPr>
          <w:rFonts w:hint="eastAsia" w:ascii="宋体" w:hAnsi="宋体" w:eastAsia="宋体" w:cs="宋体"/>
          <w:color w:val="auto"/>
          <w:sz w:val="24"/>
          <w:szCs w:val="24"/>
          <w:highlight w:val="none"/>
        </w:rPr>
        <w:t>格式17.</w:t>
      </w:r>
      <w:bookmarkStart w:id="197" w:name="_Toc25904"/>
      <w:r>
        <w:rPr>
          <w:rFonts w:hint="eastAsia" w:ascii="宋体" w:hAnsi="宋体" w:eastAsia="宋体" w:cs="宋体"/>
          <w:color w:val="auto"/>
          <w:sz w:val="24"/>
          <w:szCs w:val="24"/>
          <w:highlight w:val="none"/>
        </w:rPr>
        <w:t xml:space="preserve"> </w:t>
      </w:r>
      <w:bookmarkEnd w:id="196"/>
      <w:r>
        <w:rPr>
          <w:rFonts w:hint="eastAsia" w:ascii="宋体" w:hAnsi="宋体" w:eastAsia="宋体" w:cs="宋体"/>
          <w:color w:val="auto"/>
          <w:sz w:val="24"/>
          <w:szCs w:val="24"/>
          <w:highlight w:val="none"/>
        </w:rPr>
        <w:t>项目运营管理服务人员</w:t>
      </w:r>
    </w:p>
    <w:bookmarkEnd w:id="197"/>
    <w:p>
      <w:pPr>
        <w:tabs>
          <w:tab w:val="left" w:pos="567"/>
        </w:tabs>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附件1：项目运营管理服务人员简历表</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714"/>
        <w:gridCol w:w="174"/>
        <w:gridCol w:w="1028"/>
        <w:gridCol w:w="860"/>
        <w:gridCol w:w="729"/>
        <w:gridCol w:w="643"/>
        <w:gridCol w:w="512"/>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07" w:type="pct"/>
          </w:tcPr>
          <w:p>
            <w:pPr>
              <w:spacing w:before="156" w:after="156" w:line="400" w:lineRule="exact"/>
              <w:rPr>
                <w:rFonts w:hint="eastAsia" w:ascii="宋体" w:hAnsi="宋体" w:eastAsia="宋体" w:cs="宋体"/>
                <w:color w:val="auto"/>
                <w:szCs w:val="21"/>
                <w:highlight w:val="none"/>
              </w:rPr>
            </w:pPr>
          </w:p>
        </w:tc>
        <w:tc>
          <w:tcPr>
            <w:tcW w:w="705" w:type="pct"/>
            <w:gridSpan w:val="2"/>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933" w:type="pct"/>
            <w:gridSpan w:val="2"/>
          </w:tcPr>
          <w:p>
            <w:pPr>
              <w:spacing w:before="156" w:after="156" w:line="400" w:lineRule="exact"/>
              <w:rPr>
                <w:rFonts w:hint="eastAsia" w:ascii="宋体" w:hAnsi="宋体" w:eastAsia="宋体" w:cs="宋体"/>
                <w:color w:val="auto"/>
                <w:szCs w:val="21"/>
                <w:highlight w:val="none"/>
              </w:rPr>
            </w:pPr>
          </w:p>
        </w:tc>
        <w:tc>
          <w:tcPr>
            <w:tcW w:w="679" w:type="pct"/>
            <w:gridSpan w:val="2"/>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5" w:type="pct"/>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007" w:type="pct"/>
          </w:tcPr>
          <w:p>
            <w:pPr>
              <w:spacing w:before="156" w:after="156" w:line="400" w:lineRule="exact"/>
              <w:rPr>
                <w:rFonts w:hint="eastAsia" w:ascii="宋体" w:hAnsi="宋体" w:eastAsia="宋体" w:cs="宋体"/>
                <w:color w:val="auto"/>
                <w:szCs w:val="21"/>
                <w:highlight w:val="none"/>
              </w:rPr>
            </w:pPr>
          </w:p>
        </w:tc>
        <w:tc>
          <w:tcPr>
            <w:tcW w:w="705" w:type="pct"/>
            <w:gridSpan w:val="2"/>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933" w:type="pct"/>
            <w:gridSpan w:val="2"/>
          </w:tcPr>
          <w:p>
            <w:pPr>
              <w:spacing w:before="156" w:after="156" w:line="400" w:lineRule="exact"/>
              <w:rPr>
                <w:rFonts w:hint="eastAsia" w:ascii="宋体" w:hAnsi="宋体" w:eastAsia="宋体" w:cs="宋体"/>
                <w:color w:val="auto"/>
                <w:szCs w:val="21"/>
                <w:highlight w:val="none"/>
              </w:rPr>
            </w:pPr>
          </w:p>
        </w:tc>
        <w:tc>
          <w:tcPr>
            <w:tcW w:w="679" w:type="pct"/>
            <w:gridSpan w:val="2"/>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5" w:type="pct"/>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办公电话</w:t>
            </w:r>
          </w:p>
        </w:tc>
        <w:tc>
          <w:tcPr>
            <w:tcW w:w="1007" w:type="pct"/>
          </w:tcPr>
          <w:p>
            <w:pPr>
              <w:spacing w:before="156" w:after="156" w:line="400" w:lineRule="exact"/>
              <w:rPr>
                <w:rFonts w:hint="eastAsia" w:ascii="宋体" w:hAnsi="宋体" w:eastAsia="宋体" w:cs="宋体"/>
                <w:color w:val="auto"/>
                <w:szCs w:val="21"/>
                <w:highlight w:val="none"/>
              </w:rPr>
            </w:pPr>
          </w:p>
        </w:tc>
        <w:tc>
          <w:tcPr>
            <w:tcW w:w="705" w:type="pct"/>
            <w:gridSpan w:val="2"/>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住宅电话</w:t>
            </w:r>
          </w:p>
        </w:tc>
        <w:tc>
          <w:tcPr>
            <w:tcW w:w="933" w:type="pct"/>
            <w:gridSpan w:val="2"/>
          </w:tcPr>
          <w:p>
            <w:pPr>
              <w:spacing w:before="156" w:after="156" w:line="400" w:lineRule="exact"/>
              <w:rPr>
                <w:rFonts w:hint="eastAsia" w:ascii="宋体" w:hAnsi="宋体" w:eastAsia="宋体" w:cs="宋体"/>
                <w:color w:val="auto"/>
                <w:szCs w:val="21"/>
                <w:highlight w:val="none"/>
              </w:rPr>
            </w:pPr>
          </w:p>
        </w:tc>
        <w:tc>
          <w:tcPr>
            <w:tcW w:w="679" w:type="pct"/>
            <w:gridSpan w:val="2"/>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移动电话</w:t>
            </w:r>
          </w:p>
        </w:tc>
        <w:tc>
          <w:tcPr>
            <w:tcW w:w="705" w:type="pct"/>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8" w:type="pct"/>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13" w:type="pct"/>
            <w:gridSpan w:val="3"/>
          </w:tcPr>
          <w:p>
            <w:pPr>
              <w:spacing w:before="156" w:after="156" w:line="400" w:lineRule="exact"/>
              <w:rPr>
                <w:rFonts w:hint="eastAsia" w:ascii="宋体" w:hAnsi="宋体" w:eastAsia="宋体" w:cs="宋体"/>
                <w:color w:val="auto"/>
                <w:szCs w:val="21"/>
                <w:highlight w:val="none"/>
              </w:rPr>
            </w:pPr>
          </w:p>
        </w:tc>
        <w:tc>
          <w:tcPr>
            <w:tcW w:w="1311" w:type="pct"/>
            <w:gridSpan w:val="3"/>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从事年限</w:t>
            </w:r>
          </w:p>
        </w:tc>
        <w:tc>
          <w:tcPr>
            <w:tcW w:w="1007" w:type="pct"/>
            <w:gridSpan w:val="2"/>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8" w:type="pct"/>
          </w:tcPr>
          <w:p>
            <w:pPr>
              <w:spacing w:before="156" w:after="156"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具有认证资质</w:t>
            </w:r>
          </w:p>
        </w:tc>
        <w:tc>
          <w:tcPr>
            <w:tcW w:w="4031" w:type="pct"/>
            <w:gridSpan w:val="8"/>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tcPr>
          <w:p>
            <w:pPr>
              <w:spacing w:before="156" w:after="156"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Pr>
          <w:p>
            <w:pPr>
              <w:spacing w:before="156" w:after="156"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w:t>
            </w:r>
          </w:p>
        </w:tc>
        <w:tc>
          <w:tcPr>
            <w:tcW w:w="1109" w:type="pct"/>
            <w:gridSpan w:val="2"/>
          </w:tcPr>
          <w:p>
            <w:pPr>
              <w:spacing w:before="156" w:after="156"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109" w:type="pct"/>
            <w:gridSpan w:val="2"/>
          </w:tcPr>
          <w:p>
            <w:pPr>
              <w:spacing w:before="156" w:after="156"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项目规模</w:t>
            </w:r>
          </w:p>
        </w:tc>
        <w:tc>
          <w:tcPr>
            <w:tcW w:w="806" w:type="pct"/>
            <w:gridSpan w:val="2"/>
          </w:tcPr>
          <w:p>
            <w:pPr>
              <w:spacing w:before="156" w:after="156"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1007" w:type="pct"/>
            <w:gridSpan w:val="2"/>
          </w:tcPr>
          <w:p>
            <w:pPr>
              <w:spacing w:before="156" w:after="156"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Pr>
          <w:p>
            <w:pPr>
              <w:spacing w:before="156" w:after="156" w:line="400" w:lineRule="exact"/>
              <w:rPr>
                <w:rFonts w:hint="eastAsia" w:ascii="宋体" w:hAnsi="宋体" w:eastAsia="宋体" w:cs="宋体"/>
                <w:color w:val="auto"/>
                <w:szCs w:val="21"/>
                <w:highlight w:val="none"/>
              </w:rPr>
            </w:pPr>
          </w:p>
        </w:tc>
        <w:tc>
          <w:tcPr>
            <w:tcW w:w="1109" w:type="pct"/>
            <w:gridSpan w:val="2"/>
          </w:tcPr>
          <w:p>
            <w:pPr>
              <w:spacing w:before="156" w:after="156" w:line="400" w:lineRule="exact"/>
              <w:rPr>
                <w:rFonts w:hint="eastAsia" w:ascii="宋体" w:hAnsi="宋体" w:eastAsia="宋体" w:cs="宋体"/>
                <w:color w:val="auto"/>
                <w:szCs w:val="21"/>
                <w:highlight w:val="none"/>
              </w:rPr>
            </w:pPr>
          </w:p>
        </w:tc>
        <w:tc>
          <w:tcPr>
            <w:tcW w:w="1109" w:type="pct"/>
            <w:gridSpan w:val="2"/>
          </w:tcPr>
          <w:p>
            <w:pPr>
              <w:spacing w:before="156" w:after="156" w:line="400" w:lineRule="exact"/>
              <w:rPr>
                <w:rFonts w:hint="eastAsia" w:ascii="宋体" w:hAnsi="宋体" w:eastAsia="宋体" w:cs="宋体"/>
                <w:color w:val="auto"/>
                <w:szCs w:val="21"/>
                <w:highlight w:val="none"/>
              </w:rPr>
            </w:pPr>
          </w:p>
        </w:tc>
        <w:tc>
          <w:tcPr>
            <w:tcW w:w="806" w:type="pct"/>
            <w:gridSpan w:val="2"/>
          </w:tcPr>
          <w:p>
            <w:pPr>
              <w:spacing w:before="156" w:after="156" w:line="400" w:lineRule="exact"/>
              <w:rPr>
                <w:rFonts w:hint="eastAsia" w:ascii="宋体" w:hAnsi="宋体" w:eastAsia="宋体" w:cs="宋体"/>
                <w:color w:val="auto"/>
                <w:szCs w:val="21"/>
                <w:highlight w:val="none"/>
              </w:rPr>
            </w:pPr>
          </w:p>
        </w:tc>
        <w:tc>
          <w:tcPr>
            <w:tcW w:w="1007" w:type="pct"/>
            <w:gridSpan w:val="2"/>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Pr>
          <w:p>
            <w:pPr>
              <w:spacing w:before="156" w:after="156" w:line="400" w:lineRule="exact"/>
              <w:rPr>
                <w:rFonts w:hint="eastAsia" w:ascii="宋体" w:hAnsi="宋体" w:eastAsia="宋体" w:cs="宋体"/>
                <w:color w:val="auto"/>
                <w:szCs w:val="21"/>
                <w:highlight w:val="none"/>
              </w:rPr>
            </w:pPr>
          </w:p>
        </w:tc>
        <w:tc>
          <w:tcPr>
            <w:tcW w:w="1109" w:type="pct"/>
            <w:gridSpan w:val="2"/>
          </w:tcPr>
          <w:p>
            <w:pPr>
              <w:spacing w:before="156" w:after="156" w:line="400" w:lineRule="exact"/>
              <w:rPr>
                <w:rFonts w:hint="eastAsia" w:ascii="宋体" w:hAnsi="宋体" w:eastAsia="宋体" w:cs="宋体"/>
                <w:color w:val="auto"/>
                <w:szCs w:val="21"/>
                <w:highlight w:val="none"/>
              </w:rPr>
            </w:pPr>
          </w:p>
        </w:tc>
        <w:tc>
          <w:tcPr>
            <w:tcW w:w="1109" w:type="pct"/>
            <w:gridSpan w:val="2"/>
          </w:tcPr>
          <w:p>
            <w:pPr>
              <w:spacing w:before="156" w:after="156" w:line="400" w:lineRule="exact"/>
              <w:rPr>
                <w:rFonts w:hint="eastAsia" w:ascii="宋体" w:hAnsi="宋体" w:eastAsia="宋体" w:cs="宋体"/>
                <w:color w:val="auto"/>
                <w:szCs w:val="21"/>
                <w:highlight w:val="none"/>
              </w:rPr>
            </w:pPr>
          </w:p>
        </w:tc>
        <w:tc>
          <w:tcPr>
            <w:tcW w:w="806" w:type="pct"/>
            <w:gridSpan w:val="2"/>
          </w:tcPr>
          <w:p>
            <w:pPr>
              <w:spacing w:before="156" w:after="156" w:line="400" w:lineRule="exact"/>
              <w:rPr>
                <w:rFonts w:hint="eastAsia" w:ascii="宋体" w:hAnsi="宋体" w:eastAsia="宋体" w:cs="宋体"/>
                <w:color w:val="auto"/>
                <w:szCs w:val="21"/>
                <w:highlight w:val="none"/>
              </w:rPr>
            </w:pPr>
          </w:p>
        </w:tc>
        <w:tc>
          <w:tcPr>
            <w:tcW w:w="1007" w:type="pct"/>
            <w:gridSpan w:val="2"/>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Pr>
          <w:p>
            <w:pPr>
              <w:spacing w:before="156" w:after="156" w:line="400" w:lineRule="exact"/>
              <w:rPr>
                <w:rFonts w:hint="eastAsia" w:ascii="宋体" w:hAnsi="宋体" w:eastAsia="宋体" w:cs="宋体"/>
                <w:color w:val="auto"/>
                <w:szCs w:val="21"/>
                <w:highlight w:val="none"/>
              </w:rPr>
            </w:pPr>
          </w:p>
        </w:tc>
        <w:tc>
          <w:tcPr>
            <w:tcW w:w="1109" w:type="pct"/>
            <w:gridSpan w:val="2"/>
          </w:tcPr>
          <w:p>
            <w:pPr>
              <w:spacing w:before="156" w:after="156" w:line="400" w:lineRule="exact"/>
              <w:rPr>
                <w:rFonts w:hint="eastAsia" w:ascii="宋体" w:hAnsi="宋体" w:eastAsia="宋体" w:cs="宋体"/>
                <w:color w:val="auto"/>
                <w:szCs w:val="21"/>
                <w:highlight w:val="none"/>
              </w:rPr>
            </w:pPr>
          </w:p>
        </w:tc>
        <w:tc>
          <w:tcPr>
            <w:tcW w:w="1109" w:type="pct"/>
            <w:gridSpan w:val="2"/>
          </w:tcPr>
          <w:p>
            <w:pPr>
              <w:spacing w:before="156" w:after="156" w:line="400" w:lineRule="exact"/>
              <w:rPr>
                <w:rFonts w:hint="eastAsia" w:ascii="宋体" w:hAnsi="宋体" w:eastAsia="宋体" w:cs="宋体"/>
                <w:color w:val="auto"/>
                <w:szCs w:val="21"/>
                <w:highlight w:val="none"/>
              </w:rPr>
            </w:pPr>
          </w:p>
        </w:tc>
        <w:tc>
          <w:tcPr>
            <w:tcW w:w="806" w:type="pct"/>
            <w:gridSpan w:val="2"/>
          </w:tcPr>
          <w:p>
            <w:pPr>
              <w:spacing w:before="156" w:after="156" w:line="400" w:lineRule="exact"/>
              <w:rPr>
                <w:rFonts w:hint="eastAsia" w:ascii="宋体" w:hAnsi="宋体" w:eastAsia="宋体" w:cs="宋体"/>
                <w:color w:val="auto"/>
                <w:szCs w:val="21"/>
                <w:highlight w:val="none"/>
              </w:rPr>
            </w:pPr>
          </w:p>
        </w:tc>
        <w:tc>
          <w:tcPr>
            <w:tcW w:w="1007" w:type="pct"/>
            <w:gridSpan w:val="2"/>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pct"/>
          </w:tcPr>
          <w:p>
            <w:pPr>
              <w:spacing w:before="156" w:after="156" w:line="400" w:lineRule="exact"/>
              <w:rPr>
                <w:rFonts w:hint="eastAsia" w:ascii="宋体" w:hAnsi="宋体" w:eastAsia="宋体" w:cs="宋体"/>
                <w:color w:val="auto"/>
                <w:szCs w:val="21"/>
                <w:highlight w:val="none"/>
              </w:rPr>
            </w:pPr>
          </w:p>
        </w:tc>
        <w:tc>
          <w:tcPr>
            <w:tcW w:w="1109" w:type="pct"/>
            <w:gridSpan w:val="2"/>
          </w:tcPr>
          <w:p>
            <w:pPr>
              <w:spacing w:before="156" w:after="156" w:line="400" w:lineRule="exact"/>
              <w:rPr>
                <w:rFonts w:hint="eastAsia" w:ascii="宋体" w:hAnsi="宋体" w:eastAsia="宋体" w:cs="宋体"/>
                <w:color w:val="auto"/>
                <w:szCs w:val="21"/>
                <w:highlight w:val="none"/>
              </w:rPr>
            </w:pPr>
          </w:p>
        </w:tc>
        <w:tc>
          <w:tcPr>
            <w:tcW w:w="1109" w:type="pct"/>
            <w:gridSpan w:val="2"/>
          </w:tcPr>
          <w:p>
            <w:pPr>
              <w:spacing w:before="156" w:after="156" w:line="400" w:lineRule="exact"/>
              <w:rPr>
                <w:rFonts w:hint="eastAsia" w:ascii="宋体" w:hAnsi="宋体" w:eastAsia="宋体" w:cs="宋体"/>
                <w:color w:val="auto"/>
                <w:szCs w:val="21"/>
                <w:highlight w:val="none"/>
              </w:rPr>
            </w:pPr>
          </w:p>
        </w:tc>
        <w:tc>
          <w:tcPr>
            <w:tcW w:w="806" w:type="pct"/>
            <w:gridSpan w:val="2"/>
          </w:tcPr>
          <w:p>
            <w:pPr>
              <w:spacing w:before="156" w:after="156" w:line="400" w:lineRule="exact"/>
              <w:rPr>
                <w:rFonts w:hint="eastAsia" w:ascii="宋体" w:hAnsi="宋体" w:eastAsia="宋体" w:cs="宋体"/>
                <w:color w:val="auto"/>
                <w:szCs w:val="21"/>
                <w:highlight w:val="none"/>
              </w:rPr>
            </w:pPr>
          </w:p>
        </w:tc>
        <w:tc>
          <w:tcPr>
            <w:tcW w:w="1007" w:type="pct"/>
            <w:gridSpan w:val="2"/>
          </w:tcPr>
          <w:p>
            <w:pPr>
              <w:spacing w:before="156" w:after="156" w:line="400" w:lineRule="exact"/>
              <w:rPr>
                <w:rFonts w:hint="eastAsia" w:ascii="宋体" w:hAnsi="宋体" w:eastAsia="宋体" w:cs="宋体"/>
                <w:color w:val="auto"/>
                <w:szCs w:val="21"/>
                <w:highlight w:val="none"/>
              </w:rPr>
            </w:pPr>
          </w:p>
        </w:tc>
      </w:tr>
    </w:tbl>
    <w:p>
      <w:pPr>
        <w:pStyle w:val="10"/>
        <w:spacing w:before="156" w:after="156" w:line="400" w:lineRule="exact"/>
        <w:ind w:left="158" w:leftChars="75" w:firstLine="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注：提供聘用合同和拟投入人员身份证复印件并加盖投标人公章、投入团队人员工作方案。</w:t>
      </w:r>
    </w:p>
    <w:p>
      <w:pPr>
        <w:spacing w:line="400" w:lineRule="exact"/>
        <w:ind w:left="158" w:leftChars="75"/>
        <w:rPr>
          <w:rFonts w:hint="eastAsia" w:ascii="宋体" w:hAnsi="宋体" w:eastAsia="宋体" w:cs="宋体"/>
          <w:color w:val="auto"/>
          <w:szCs w:val="21"/>
          <w:highlight w:val="none"/>
        </w:rPr>
      </w:pPr>
    </w:p>
    <w:p>
      <w:pPr>
        <w:spacing w:line="400" w:lineRule="exact"/>
        <w:ind w:left="158" w:leftChars="75"/>
        <w:rPr>
          <w:rFonts w:hint="eastAsia" w:ascii="宋体" w:hAnsi="宋体" w:eastAsia="宋体" w:cs="宋体"/>
          <w:color w:val="auto"/>
          <w:szCs w:val="21"/>
          <w:highlight w:val="none"/>
        </w:rPr>
      </w:pPr>
    </w:p>
    <w:p>
      <w:pPr>
        <w:spacing w:line="400" w:lineRule="exact"/>
        <w:ind w:left="158" w:leftChars="7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400" w:lineRule="exact"/>
        <w:ind w:left="158" w:leftChars="75"/>
        <w:rPr>
          <w:rFonts w:hint="eastAsia" w:ascii="宋体" w:hAnsi="宋体" w:eastAsia="宋体" w:cs="宋体"/>
          <w:color w:val="auto"/>
          <w:szCs w:val="21"/>
          <w:highlight w:val="none"/>
        </w:rPr>
      </w:pPr>
    </w:p>
    <w:p>
      <w:pPr>
        <w:spacing w:line="400" w:lineRule="exact"/>
        <w:ind w:left="158" w:leftChars="7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投标人法定代表人或其委托人签字或印鉴： </w:t>
      </w:r>
    </w:p>
    <w:p>
      <w:pPr>
        <w:pStyle w:val="10"/>
        <w:spacing w:before="156" w:after="156" w:line="400" w:lineRule="exact"/>
        <w:ind w:left="158" w:leftChars="75"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pStyle w:val="10"/>
        <w:rPr>
          <w:rFonts w:hint="eastAsia" w:ascii="宋体" w:hAnsi="宋体" w:eastAsia="宋体" w:cs="宋体"/>
          <w:color w:val="auto"/>
          <w:highlight w:val="none"/>
        </w:rPr>
      </w:pPr>
    </w:p>
    <w:p>
      <w:pPr>
        <w:pStyle w:val="6"/>
        <w:rPr>
          <w:rFonts w:hint="eastAsia" w:ascii="宋体" w:hAnsi="宋体" w:eastAsia="宋体" w:cs="宋体"/>
          <w:color w:val="auto"/>
          <w:sz w:val="24"/>
          <w:szCs w:val="24"/>
          <w:highlight w:val="none"/>
        </w:rPr>
        <w:sectPr>
          <w:headerReference r:id="rId5" w:type="default"/>
          <w:footerReference r:id="rId6" w:type="default"/>
          <w:pgSz w:w="11906" w:h="16838"/>
          <w:pgMar w:top="1440" w:right="1803" w:bottom="1440" w:left="1803" w:header="851" w:footer="992" w:gutter="0"/>
          <w:cols w:space="720" w:num="1"/>
          <w:docGrid w:type="lines" w:linePitch="319" w:charSpace="0"/>
        </w:sectPr>
      </w:pPr>
      <w:bookmarkStart w:id="198" w:name="_Toc96523913"/>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格式18.</w:t>
      </w:r>
      <w:bookmarkStart w:id="199" w:name="_Toc348"/>
      <w:r>
        <w:rPr>
          <w:rFonts w:hint="eastAsia" w:ascii="宋体" w:hAnsi="宋体" w:eastAsia="宋体" w:cs="宋体"/>
          <w:color w:val="auto"/>
          <w:sz w:val="24"/>
          <w:szCs w:val="24"/>
          <w:highlight w:val="none"/>
        </w:rPr>
        <w:t xml:space="preserve"> 拟为本项目配置的人员情况表</w:t>
      </w:r>
      <w:bookmarkEnd w:id="198"/>
      <w:bookmarkEnd w:id="199"/>
      <w:r>
        <w:rPr>
          <w:rFonts w:hint="eastAsia" w:ascii="宋体" w:hAnsi="宋体" w:eastAsia="宋体" w:cs="宋体"/>
          <w:color w:val="auto"/>
          <w:sz w:val="24"/>
          <w:szCs w:val="24"/>
          <w:highlight w:val="none"/>
        </w:rPr>
        <w:t>/人员清单一览表</w:t>
      </w:r>
    </w:p>
    <w:p>
      <w:pPr>
        <w:pStyle w:val="64"/>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附件1：拟为本项目配置的人员情况表</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930"/>
        <w:gridCol w:w="920"/>
        <w:gridCol w:w="901"/>
        <w:gridCol w:w="867"/>
        <w:gridCol w:w="2189"/>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98" w:type="pct"/>
            <w:vAlign w:val="center"/>
          </w:tcPr>
          <w:p>
            <w:pPr>
              <w:spacing w:before="159" w:beforeLines="50" w:after="159" w:afterLines="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546" w:type="pct"/>
            <w:vAlign w:val="center"/>
          </w:tcPr>
          <w:p>
            <w:pPr>
              <w:spacing w:before="159" w:beforeLines="50" w:after="159" w:afterLines="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540" w:type="pct"/>
            <w:vAlign w:val="center"/>
          </w:tcPr>
          <w:p>
            <w:pPr>
              <w:spacing w:before="159" w:beforeLines="50" w:after="159" w:afterLines="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年龄</w:t>
            </w:r>
          </w:p>
        </w:tc>
        <w:tc>
          <w:tcPr>
            <w:tcW w:w="529" w:type="pct"/>
            <w:vAlign w:val="center"/>
          </w:tcPr>
          <w:p>
            <w:pPr>
              <w:spacing w:before="159" w:beforeLines="50" w:after="159" w:afterLines="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学历</w:t>
            </w:r>
          </w:p>
        </w:tc>
        <w:tc>
          <w:tcPr>
            <w:tcW w:w="509" w:type="pct"/>
            <w:vAlign w:val="center"/>
          </w:tcPr>
          <w:p>
            <w:pPr>
              <w:spacing w:before="159" w:beforeLines="50" w:after="159" w:afterLines="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经验年限</w:t>
            </w:r>
          </w:p>
        </w:tc>
        <w:tc>
          <w:tcPr>
            <w:tcW w:w="1285" w:type="pct"/>
            <w:vAlign w:val="center"/>
          </w:tcPr>
          <w:p>
            <w:pPr>
              <w:spacing w:before="159" w:beforeLines="50" w:after="159" w:afterLines="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主要资历、经验及承担过的项目</w:t>
            </w:r>
          </w:p>
        </w:tc>
        <w:tc>
          <w:tcPr>
            <w:tcW w:w="1289" w:type="pct"/>
            <w:vAlign w:val="center"/>
          </w:tcPr>
          <w:p>
            <w:pPr>
              <w:spacing w:before="159" w:beforeLines="50" w:after="159" w:afterLines="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拟在本项目担任的工作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98"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6"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0"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2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0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5"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9" w:type="pct"/>
            <w:vAlign w:val="center"/>
          </w:tcPr>
          <w:p>
            <w:pPr>
              <w:spacing w:before="159" w:beforeLines="50" w:after="159" w:afterLines="50"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98"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6"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0"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2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0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5"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9" w:type="pct"/>
            <w:vAlign w:val="center"/>
          </w:tcPr>
          <w:p>
            <w:pPr>
              <w:spacing w:before="159" w:beforeLines="50" w:after="159" w:afterLines="50"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98"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6"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0"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2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0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5"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9" w:type="pct"/>
            <w:vAlign w:val="center"/>
          </w:tcPr>
          <w:p>
            <w:pPr>
              <w:spacing w:before="159" w:beforeLines="50" w:after="159" w:afterLines="50"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98"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6"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0"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2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0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5"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9" w:type="pct"/>
            <w:vAlign w:val="center"/>
          </w:tcPr>
          <w:p>
            <w:pPr>
              <w:spacing w:before="159" w:beforeLines="50" w:after="159" w:afterLines="50"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98"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6"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40"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2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509"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5" w:type="pct"/>
            <w:vAlign w:val="center"/>
          </w:tcPr>
          <w:p>
            <w:pPr>
              <w:spacing w:before="159" w:beforeLines="50" w:after="159" w:afterLines="50" w:line="360" w:lineRule="auto"/>
              <w:jc w:val="center"/>
              <w:rPr>
                <w:rFonts w:hint="eastAsia" w:ascii="宋体" w:hAnsi="宋体" w:eastAsia="宋体" w:cs="宋体"/>
                <w:color w:val="auto"/>
                <w:highlight w:val="none"/>
              </w:rPr>
            </w:pPr>
          </w:p>
        </w:tc>
        <w:tc>
          <w:tcPr>
            <w:tcW w:w="1289" w:type="pct"/>
            <w:vAlign w:val="center"/>
          </w:tcPr>
          <w:p>
            <w:pPr>
              <w:spacing w:before="159" w:beforeLines="50" w:after="159" w:afterLines="50" w:line="360" w:lineRule="auto"/>
              <w:jc w:val="center"/>
              <w:rPr>
                <w:rFonts w:hint="eastAsia" w:ascii="宋体" w:hAnsi="宋体" w:eastAsia="宋体" w:cs="宋体"/>
                <w:color w:val="auto"/>
                <w:highlight w:val="none"/>
              </w:rPr>
            </w:pPr>
          </w:p>
        </w:tc>
      </w:tr>
    </w:tbl>
    <w:p>
      <w:pPr>
        <w:spacing w:line="360" w:lineRule="auto"/>
        <w:ind w:left="748" w:hanging="567"/>
        <w:rPr>
          <w:rFonts w:hint="eastAsia" w:ascii="宋体" w:hAnsi="宋体" w:eastAsia="宋体" w:cs="宋体"/>
          <w:color w:val="auto"/>
          <w:szCs w:val="21"/>
          <w:highlight w:val="none"/>
        </w:rPr>
      </w:pPr>
    </w:p>
    <w:p>
      <w:pPr>
        <w:pStyle w:val="10"/>
        <w:spacing w:before="156" w:after="156" w:line="400" w:lineRule="exact"/>
        <w:ind w:left="158" w:leftChars="75" w:firstLine="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注：提供聘用合同和拟投入人员身份证复印件并加盖投标人公章、投入团队人员工作方案。</w:t>
      </w:r>
    </w:p>
    <w:p>
      <w:pPr>
        <w:pStyle w:val="18"/>
        <w:spacing w:before="159" w:beforeLines="50" w:after="159" w:afterLines="50" w:line="360" w:lineRule="auto"/>
        <w:rPr>
          <w:rFonts w:hint="eastAsia" w:hAnsi="宋体" w:eastAsia="宋体" w:cs="宋体"/>
          <w:color w:val="auto"/>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投标人法定代表人或其委托人签字或印鉴： </w:t>
      </w: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color w:val="auto"/>
          <w:highlight w:val="none"/>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color w:val="auto"/>
          <w:szCs w:val="21"/>
          <w:highlight w:val="none"/>
        </w:rPr>
        <w:t>日  期：</w:t>
      </w:r>
    </w:p>
    <w:p>
      <w:pPr>
        <w:spacing w:line="360" w:lineRule="auto"/>
        <w:ind w:left="748"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cs="宋体"/>
          <w:b/>
          <w:color w:val="auto"/>
          <w:szCs w:val="21"/>
          <w:highlight w:val="none"/>
        </w:rPr>
        <w:t>2</w:t>
      </w:r>
      <w:r>
        <w:rPr>
          <w:rFonts w:hint="eastAsia" w:ascii="宋体" w:hAnsi="宋体" w:eastAsia="宋体" w:cs="宋体"/>
          <w:b/>
          <w:color w:val="auto"/>
          <w:szCs w:val="21"/>
          <w:highlight w:val="none"/>
        </w:rPr>
        <w:t>：投入团队人员工作方案（如有）</w:t>
      </w:r>
    </w:p>
    <w:p>
      <w:pPr>
        <w:spacing w:line="360" w:lineRule="auto"/>
        <w:ind w:left="748" w:hanging="567"/>
        <w:rPr>
          <w:rFonts w:hint="eastAsia" w:ascii="宋体" w:hAnsi="宋体" w:eastAsia="宋体" w:cs="宋体"/>
          <w:b/>
          <w:color w:val="auto"/>
          <w:szCs w:val="21"/>
          <w:highlight w:val="none"/>
        </w:rPr>
      </w:pPr>
    </w:p>
    <w:p>
      <w:pPr>
        <w:spacing w:line="360" w:lineRule="auto"/>
        <w:ind w:left="748" w:hanging="567"/>
        <w:jc w:val="center"/>
        <w:rPr>
          <w:rFonts w:hint="eastAsia" w:ascii="宋体" w:hAnsi="宋体" w:eastAsia="宋体" w:cs="宋体"/>
          <w:b/>
          <w:bCs/>
          <w:color w:val="auto"/>
          <w:highlight w:val="none"/>
        </w:rPr>
      </w:pPr>
      <w:r>
        <w:rPr>
          <w:rFonts w:hint="eastAsia" w:ascii="宋体" w:hAnsi="宋体" w:eastAsia="宋体" w:cs="宋体"/>
          <w:b/>
          <w:color w:val="auto"/>
          <w:szCs w:val="21"/>
          <w:highlight w:val="none"/>
        </w:rPr>
        <w:t>工作方案</w:t>
      </w:r>
      <w:r>
        <w:rPr>
          <w:rFonts w:hint="eastAsia" w:ascii="宋体" w:hAnsi="宋体" w:eastAsia="宋体" w:cs="宋体"/>
          <w:b/>
          <w:bCs/>
          <w:color w:val="auto"/>
          <w:highlight w:val="none"/>
        </w:rPr>
        <w:t>格式自定</w:t>
      </w:r>
    </w:p>
    <w:p>
      <w:pPr>
        <w:spacing w:line="360" w:lineRule="auto"/>
        <w:ind w:left="748" w:hanging="567"/>
        <w:rPr>
          <w:rFonts w:hint="eastAsia" w:ascii="宋体" w:hAnsi="宋体" w:eastAsia="宋体" w:cs="宋体"/>
          <w:color w:val="auto"/>
          <w:highlight w:val="none"/>
        </w:rPr>
      </w:pPr>
    </w:p>
    <w:p>
      <w:pPr>
        <w:spacing w:line="360" w:lineRule="auto"/>
        <w:ind w:left="748" w:hanging="567"/>
        <w:rPr>
          <w:rFonts w:hint="eastAsia" w:ascii="宋体" w:hAnsi="宋体" w:eastAsia="宋体" w:cs="宋体"/>
          <w:color w:val="auto"/>
          <w:highlight w:val="none"/>
        </w:rPr>
      </w:pPr>
    </w:p>
    <w:p>
      <w:pPr>
        <w:spacing w:line="360" w:lineRule="auto"/>
        <w:ind w:left="748" w:hanging="567"/>
        <w:rPr>
          <w:rFonts w:hint="eastAsia" w:ascii="宋体" w:hAnsi="宋体" w:eastAsia="宋体" w:cs="宋体"/>
          <w:color w:val="auto"/>
          <w:highlight w:val="none"/>
        </w:rPr>
      </w:pPr>
    </w:p>
    <w:p>
      <w:pPr>
        <w:spacing w:line="360" w:lineRule="auto"/>
        <w:ind w:left="748" w:hanging="567"/>
        <w:rPr>
          <w:rFonts w:hint="eastAsia" w:ascii="宋体" w:hAnsi="宋体" w:eastAsia="宋体" w:cs="宋体"/>
          <w:color w:val="auto"/>
          <w:highlight w:val="none"/>
        </w:rPr>
      </w:pPr>
    </w:p>
    <w:p>
      <w:pPr>
        <w:spacing w:line="360" w:lineRule="auto"/>
        <w:ind w:left="748" w:hanging="567"/>
        <w:rPr>
          <w:rFonts w:hint="eastAsia" w:ascii="宋体" w:hAnsi="宋体" w:eastAsia="宋体" w:cs="宋体"/>
          <w:color w:val="auto"/>
          <w:highlight w:val="none"/>
        </w:rPr>
      </w:pPr>
    </w:p>
    <w:p>
      <w:pPr>
        <w:spacing w:line="360" w:lineRule="auto"/>
        <w:ind w:left="748" w:hanging="567"/>
        <w:rPr>
          <w:rFonts w:hint="eastAsia" w:ascii="宋体" w:hAnsi="宋体" w:eastAsia="宋体" w:cs="宋体"/>
          <w:color w:val="auto"/>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投标人法定代表人或其委托人签字或印鉴： </w:t>
      </w: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ind w:left="748" w:hanging="567"/>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200" w:name="_Toc96523914"/>
      <w:r>
        <w:rPr>
          <w:rFonts w:hint="eastAsia" w:ascii="宋体" w:hAnsi="宋体" w:eastAsia="宋体" w:cs="宋体"/>
          <w:b/>
          <w:bCs/>
          <w:color w:val="auto"/>
          <w:sz w:val="24"/>
          <w:highlight w:val="none"/>
        </w:rPr>
        <w:t>格式19.</w:t>
      </w:r>
      <w:bookmarkStart w:id="201" w:name="_Toc29007"/>
      <w:r>
        <w:rPr>
          <w:rFonts w:hint="eastAsia" w:ascii="宋体" w:hAnsi="宋体" w:eastAsia="宋体" w:cs="宋体"/>
          <w:b/>
          <w:bCs/>
          <w:color w:val="auto"/>
          <w:sz w:val="24"/>
          <w:highlight w:val="none"/>
        </w:rPr>
        <w:t xml:space="preserve"> 类似项目业绩一览表</w:t>
      </w:r>
      <w:bookmarkEnd w:id="200"/>
      <w:bookmarkEnd w:id="201"/>
    </w:p>
    <w:p>
      <w:pPr>
        <w:pStyle w:val="64"/>
        <w:jc w:val="center"/>
        <w:rPr>
          <w:rFonts w:hint="eastAsia" w:ascii="宋体" w:hAnsi="宋体" w:cs="宋体"/>
          <w:color w:val="auto"/>
          <w:highlight w:val="none"/>
        </w:rPr>
      </w:pPr>
      <w:r>
        <w:rPr>
          <w:rFonts w:hint="eastAsia" w:ascii="宋体" w:hAnsi="宋体" w:cs="宋体"/>
          <w:color w:val="auto"/>
          <w:highlight w:val="none"/>
        </w:rPr>
        <w:t>类似项目业绩一览表</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148"/>
        <w:gridCol w:w="1148"/>
        <w:gridCol w:w="1148"/>
        <w:gridCol w:w="1148"/>
        <w:gridCol w:w="1149"/>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45" w:type="pct"/>
          </w:tcPr>
          <w:p>
            <w:pPr>
              <w:spacing w:before="156" w:after="156"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74" w:type="pct"/>
          </w:tcPr>
          <w:p>
            <w:pPr>
              <w:spacing w:before="156" w:after="156"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674" w:type="pct"/>
          </w:tcPr>
          <w:p>
            <w:pPr>
              <w:spacing w:before="156" w:after="156"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tc>
        <w:tc>
          <w:tcPr>
            <w:tcW w:w="674" w:type="pct"/>
          </w:tcPr>
          <w:p>
            <w:pPr>
              <w:spacing w:before="156" w:after="156"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完成时间</w:t>
            </w:r>
          </w:p>
        </w:tc>
        <w:tc>
          <w:tcPr>
            <w:tcW w:w="674" w:type="pct"/>
          </w:tcPr>
          <w:p>
            <w:pPr>
              <w:spacing w:before="156" w:after="156"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验收情况</w:t>
            </w:r>
          </w:p>
        </w:tc>
        <w:tc>
          <w:tcPr>
            <w:tcW w:w="674" w:type="pct"/>
          </w:tcPr>
          <w:p>
            <w:pPr>
              <w:spacing w:before="156" w:after="156"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业主单位</w:t>
            </w:r>
          </w:p>
        </w:tc>
        <w:tc>
          <w:tcPr>
            <w:tcW w:w="1180" w:type="pct"/>
          </w:tcPr>
          <w:p>
            <w:pPr>
              <w:spacing w:before="156" w:after="156"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1180" w:type="pct"/>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1180" w:type="pct"/>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1180" w:type="pct"/>
          </w:tcPr>
          <w:p>
            <w:pPr>
              <w:spacing w:before="156" w:after="156"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674" w:type="pct"/>
          </w:tcPr>
          <w:p>
            <w:pPr>
              <w:spacing w:before="156" w:after="156" w:line="400" w:lineRule="exact"/>
              <w:rPr>
                <w:rFonts w:hint="eastAsia" w:ascii="宋体" w:hAnsi="宋体" w:eastAsia="宋体" w:cs="宋体"/>
                <w:color w:val="auto"/>
                <w:szCs w:val="21"/>
                <w:highlight w:val="none"/>
              </w:rPr>
            </w:pPr>
          </w:p>
        </w:tc>
        <w:tc>
          <w:tcPr>
            <w:tcW w:w="1180" w:type="pct"/>
          </w:tcPr>
          <w:p>
            <w:pPr>
              <w:spacing w:before="156" w:after="156" w:line="400" w:lineRule="exact"/>
              <w:rPr>
                <w:rFonts w:hint="eastAsia" w:ascii="宋体" w:hAnsi="宋体" w:eastAsia="宋体" w:cs="宋体"/>
                <w:color w:val="auto"/>
                <w:szCs w:val="21"/>
                <w:highlight w:val="none"/>
              </w:rPr>
            </w:pPr>
          </w:p>
        </w:tc>
      </w:tr>
    </w:tbl>
    <w:p>
      <w:pPr>
        <w:spacing w:before="156" w:after="156" w:line="360" w:lineRule="auto"/>
        <w:ind w:left="315" w:left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（此表可延长）</w:t>
      </w:r>
    </w:p>
    <w:p>
      <w:pPr>
        <w:spacing w:before="156" w:after="156" w:line="360" w:lineRule="auto"/>
        <w:ind w:left="315" w:leftChars="150"/>
        <w:rPr>
          <w:rFonts w:hint="eastAsia" w:ascii="宋体" w:hAnsi="宋体" w:eastAsia="宋体" w:cs="宋体"/>
          <w:color w:val="auto"/>
          <w:highlight w:val="none"/>
        </w:rPr>
      </w:pPr>
      <w:r>
        <w:rPr>
          <w:rFonts w:hint="eastAsia" w:ascii="宋体" w:hAnsi="宋体" w:eastAsia="宋体" w:cs="宋体"/>
          <w:color w:val="auto"/>
          <w:highlight w:val="none"/>
        </w:rPr>
        <w:t>注：需提供合同复印件。</w:t>
      </w:r>
    </w:p>
    <w:p>
      <w:pPr>
        <w:spacing w:before="156" w:after="156" w:line="360" w:lineRule="auto"/>
        <w:ind w:left="315" w:leftChars="150"/>
        <w:rPr>
          <w:rFonts w:hint="eastAsia" w:ascii="宋体" w:hAnsi="宋体" w:eastAsia="宋体" w:cs="宋体"/>
          <w:color w:val="auto"/>
          <w:szCs w:val="21"/>
          <w:highlight w:val="none"/>
        </w:rPr>
      </w:pPr>
    </w:p>
    <w:p>
      <w:pPr>
        <w:spacing w:line="360" w:lineRule="auto"/>
        <w:ind w:left="315" w:left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315" w:leftChars="150"/>
        <w:rPr>
          <w:rFonts w:hint="eastAsia" w:ascii="宋体" w:hAnsi="宋体" w:eastAsia="宋体" w:cs="宋体"/>
          <w:color w:val="auto"/>
          <w:szCs w:val="21"/>
          <w:highlight w:val="none"/>
        </w:rPr>
      </w:pPr>
    </w:p>
    <w:p>
      <w:pPr>
        <w:spacing w:line="360" w:lineRule="auto"/>
        <w:ind w:left="315" w:left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投标人法定代表人或其委托人签字或印鉴：</w:t>
      </w:r>
    </w:p>
    <w:p>
      <w:pPr>
        <w:spacing w:line="360" w:lineRule="auto"/>
        <w:ind w:left="315" w:leftChars="150"/>
        <w:rPr>
          <w:rFonts w:hint="eastAsia" w:ascii="宋体" w:hAnsi="宋体" w:eastAsia="宋体" w:cs="宋体"/>
          <w:color w:val="auto"/>
          <w:szCs w:val="21"/>
          <w:highlight w:val="none"/>
        </w:rPr>
      </w:pPr>
    </w:p>
    <w:p>
      <w:pPr>
        <w:spacing w:before="156" w:after="156" w:line="360" w:lineRule="auto"/>
        <w:ind w:left="315" w:left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pStyle w:val="10"/>
        <w:ind w:firstLine="0"/>
        <w:rPr>
          <w:rFonts w:hint="eastAsia" w:ascii="宋体" w:hAnsi="宋体" w:eastAsia="宋体" w:cs="宋体"/>
          <w:color w:val="auto"/>
          <w:highlight w:val="none"/>
        </w:rPr>
      </w:pPr>
    </w:p>
    <w:p>
      <w:pPr>
        <w:pStyle w:val="6"/>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02" w:name="_Toc96523915"/>
      <w:r>
        <w:rPr>
          <w:rFonts w:hint="eastAsia" w:ascii="宋体" w:hAnsi="宋体" w:eastAsia="宋体" w:cs="宋体"/>
          <w:color w:val="auto"/>
          <w:sz w:val="24"/>
          <w:szCs w:val="24"/>
          <w:highlight w:val="none"/>
        </w:rPr>
        <w:t>格式20.</w:t>
      </w:r>
      <w:bookmarkStart w:id="203" w:name="_Toc6596"/>
      <w:r>
        <w:rPr>
          <w:rFonts w:hint="eastAsia" w:ascii="宋体" w:hAnsi="宋体" w:eastAsia="宋体" w:cs="宋体"/>
          <w:color w:val="auto"/>
          <w:sz w:val="24"/>
          <w:szCs w:val="24"/>
          <w:highlight w:val="none"/>
        </w:rPr>
        <w:t xml:space="preserve"> 投标保证金退还说明</w:t>
      </w:r>
      <w:bookmarkEnd w:id="202"/>
      <w:bookmarkEnd w:id="203"/>
    </w:p>
    <w:p>
      <w:pPr>
        <w:pStyle w:val="19"/>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致：（采购人或采购代理机构）</w:t>
      </w:r>
    </w:p>
    <w:p>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我方为</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（项目编号：）投标所提交的投标保证金元，请贵公司退还时划到下列</w:t>
      </w:r>
      <w:r>
        <w:rPr>
          <w:rFonts w:hint="eastAsia" w:ascii="宋体" w:hAnsi="宋体" w:eastAsia="宋体" w:cs="宋体"/>
          <w:color w:val="auto"/>
          <w:highlight w:val="none"/>
        </w:rPr>
        <w:t>账户</w:t>
      </w:r>
      <w:r>
        <w:rPr>
          <w:rFonts w:hint="eastAsia" w:ascii="宋体" w:hAnsi="宋体" w:eastAsia="宋体" w:cs="宋体"/>
          <w:color w:val="auto"/>
          <w:szCs w:val="21"/>
          <w:highlight w:val="none"/>
        </w:rPr>
        <w:t>：</w:t>
      </w:r>
    </w:p>
    <w:p>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w:t>
      </w:r>
    </w:p>
    <w:p>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账    号</w:t>
      </w:r>
      <w:r>
        <w:rPr>
          <w:rFonts w:hint="eastAsia" w:ascii="宋体" w:hAnsi="宋体" w:eastAsia="宋体" w:cs="宋体"/>
          <w:color w:val="auto"/>
          <w:szCs w:val="21"/>
          <w:highlight w:val="none"/>
        </w:rPr>
        <w:t>：</w:t>
      </w:r>
    </w:p>
    <w:p>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p>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pPr>
        <w:pStyle w:val="10"/>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hint="eastAsia"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投标人法定代表人或其委托人签字或印鉴：</w:t>
      </w:r>
    </w:p>
    <w:p>
      <w:pPr>
        <w:spacing w:line="360" w:lineRule="auto"/>
        <w:ind w:left="748" w:hanging="567"/>
        <w:rPr>
          <w:rFonts w:hint="eastAsia" w:ascii="宋体" w:hAnsi="宋体" w:eastAsia="宋体" w:cs="宋体"/>
          <w:color w:val="auto"/>
          <w:szCs w:val="21"/>
          <w:highlight w:val="none"/>
        </w:rPr>
      </w:pPr>
    </w:p>
    <w:p>
      <w:pPr>
        <w:spacing w:line="360" w:lineRule="auto"/>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p>
    <w:p>
      <w:pPr>
        <w:rPr>
          <w:rFonts w:hint="eastAsia" w:ascii="宋体" w:hAnsi="宋体" w:eastAsia="宋体" w:cs="宋体"/>
          <w:color w:val="auto"/>
          <w:highlight w:val="none"/>
        </w:rPr>
      </w:pPr>
    </w:p>
    <w:p>
      <w:pPr>
        <w:pStyle w:val="6"/>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04" w:name="_Toc96523916"/>
      <w:r>
        <w:rPr>
          <w:rFonts w:hint="eastAsia" w:ascii="宋体" w:hAnsi="宋体" w:eastAsia="宋体" w:cs="宋体"/>
          <w:color w:val="auto"/>
          <w:sz w:val="24"/>
          <w:szCs w:val="24"/>
          <w:highlight w:val="none"/>
        </w:rPr>
        <w:t>格式21.</w:t>
      </w:r>
      <w:bookmarkStart w:id="205" w:name="_Toc9833"/>
      <w:r>
        <w:rPr>
          <w:rFonts w:hint="eastAsia" w:ascii="宋体" w:hAnsi="宋体" w:eastAsia="宋体" w:cs="宋体"/>
          <w:color w:val="auto"/>
          <w:sz w:val="24"/>
          <w:szCs w:val="24"/>
          <w:highlight w:val="none"/>
        </w:rPr>
        <w:t xml:space="preserve"> 投标保函（已通过支票、汇票、本票、网上银行转账方式提交保证金的按“投标人须知表”要求提交相关材料，无需提供投标保函）</w:t>
      </w:r>
      <w:bookmarkEnd w:id="204"/>
      <w:bookmarkEnd w:id="205"/>
    </w:p>
    <w:p>
      <w:pPr>
        <w:pStyle w:val="10"/>
        <w:adjustRightInd w:val="0"/>
        <w:snapToGrid w:val="0"/>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开具日期：     年    月   日</w:t>
      </w:r>
    </w:p>
    <w:p>
      <w:pPr>
        <w:pStyle w:val="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不可撤销保函第号</w:t>
      </w: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
          <w:color w:val="auto"/>
          <w:szCs w:val="21"/>
          <w:highlight w:val="none"/>
        </w:rPr>
        <w:t>XXX采购人</w:t>
      </w:r>
    </w:p>
    <w:p>
      <w:pPr>
        <w:spacing w:line="360" w:lineRule="auto"/>
        <w:ind w:firstLine="420" w:firstLineChars="200"/>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本保函作为</w:t>
      </w:r>
      <w:r>
        <w:rPr>
          <w:rFonts w:hint="eastAsia" w:ascii="宋体" w:hAnsi="宋体" w:eastAsia="宋体" w:cs="宋体"/>
          <w:i/>
          <w:color w:val="auto"/>
          <w:szCs w:val="21"/>
          <w:highlight w:val="none"/>
          <w:u w:val="single"/>
        </w:rPr>
        <w:t xml:space="preserve">(投标供应商名称)             </w:t>
      </w:r>
      <w:r>
        <w:rPr>
          <w:rFonts w:hint="eastAsia" w:ascii="宋体" w:hAnsi="宋体" w:eastAsia="宋体" w:cs="宋体"/>
          <w:color w:val="auto"/>
          <w:szCs w:val="21"/>
          <w:highlight w:val="none"/>
        </w:rPr>
        <w:t>（以下简称投标供应商)响应采购项目编号的采购项目的招标公告提供的投标保证金，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i/>
          <w:color w:val="auto"/>
          <w:szCs w:val="21"/>
          <w:highlight w:val="none"/>
          <w:u w:val="single"/>
        </w:rPr>
        <w:t>开具银行名称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在此无条件及不可撤销地具结保证并承诺，本行或其后继者或受让人一旦收到贵方提出的下述任何一种情况的书面通知（贵方不需要说明理由，不需要提供证明），立即无条件地向贵方支付人民币（大写）元整 [保证金金额]（（小写）¥元）：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从开标之日起到投标有效期满前，投标供应商撤回投标；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投标供应商未能按中标通知书的要求与采购人签订合同；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投标供应商未能及时按招标文件及中标通知书的要求交纳中标服务费；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中标供应商未能按《投标供应商须知》的要求在规定期限内提交履约保证金。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出具之日起至该投标有效期满后30天内持续有效，除非贵方提前终止或解除本保函。如果贵方和投标供应商同意需延长本保函有效期，只需在到期日前书面通知本行，本保函在任何延长的有效期内保持有效。本保函适用于中华人民共和国法律并按其进行解释。</w:t>
      </w:r>
    </w:p>
    <w:p>
      <w:pPr>
        <w:pStyle w:val="10"/>
        <w:adjustRightInd w:val="0"/>
        <w:snapToGrid w:val="0"/>
        <w:rPr>
          <w:rFonts w:hint="eastAsia" w:ascii="宋体" w:hAnsi="宋体" w:eastAsia="宋体" w:cs="宋体"/>
          <w:color w:val="auto"/>
          <w:szCs w:val="21"/>
          <w:highlight w:val="none"/>
        </w:rPr>
      </w:pPr>
    </w:p>
    <w:p>
      <w:pPr>
        <w:pStyle w:val="10"/>
        <w:adjustRightInd w:val="0"/>
        <w:snapToGrid w:val="0"/>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银行名称（打印）(公章)：                               </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银行地址：                                                邮政编码：</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                                                传真号：</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法定代表人或其授权的代理人亲笔签字：</w:t>
      </w:r>
    </w:p>
    <w:p>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法定代表人或其授权的代理人姓名和职务（打印）：姓名职务</w:t>
      </w:r>
    </w:p>
    <w:p>
      <w:pPr>
        <w:pStyle w:val="10"/>
        <w:ind w:firstLine="0"/>
        <w:rPr>
          <w:rFonts w:hint="eastAsia" w:ascii="宋体" w:hAnsi="宋体" w:eastAsia="宋体" w:cs="宋体"/>
          <w:color w:val="auto"/>
          <w:szCs w:val="24"/>
          <w:highlight w:val="none"/>
        </w:rPr>
      </w:pPr>
    </w:p>
    <w:p>
      <w:pPr>
        <w:pStyle w:val="10"/>
        <w:ind w:firstLine="0"/>
        <w:rPr>
          <w:rFonts w:hint="eastAsia" w:ascii="宋体" w:hAnsi="宋体" w:eastAsia="宋体" w:cs="宋体"/>
          <w:color w:val="auto"/>
          <w:szCs w:val="24"/>
          <w:highlight w:val="none"/>
        </w:rPr>
      </w:pPr>
    </w:p>
    <w:p>
      <w:pPr>
        <w:pStyle w:val="6"/>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06" w:name="_Toc96523917"/>
      <w:r>
        <w:rPr>
          <w:rFonts w:hint="eastAsia" w:ascii="宋体" w:hAnsi="宋体" w:eastAsia="宋体" w:cs="宋体"/>
          <w:color w:val="auto"/>
          <w:sz w:val="24"/>
          <w:szCs w:val="24"/>
          <w:highlight w:val="none"/>
        </w:rPr>
        <w:t>格式22.</w:t>
      </w:r>
      <w:bookmarkStart w:id="207" w:name="_Toc24993"/>
      <w:r>
        <w:rPr>
          <w:rFonts w:hint="eastAsia" w:ascii="宋体" w:hAnsi="宋体" w:eastAsia="宋体" w:cs="宋体"/>
          <w:color w:val="auto"/>
          <w:sz w:val="24"/>
          <w:szCs w:val="24"/>
          <w:highlight w:val="none"/>
        </w:rPr>
        <w:t>政府采购投标担保函（已通过支票、汇票、本票、网上银行转账方式提交保证金的按“投标人须知表”要求提交相关材料，无需提供投标担保函）</w:t>
      </w:r>
      <w:bookmarkEnd w:id="206"/>
      <w:bookmarkEnd w:id="207"/>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鉴于（以下简称‘投标人’）拟参加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以下简称‘本项目’）投标，根据本项目招标文件，投标人参加投标时应向贵方交纳投标保证金，且可以投标担保函的形式交纳投标保证金。应投标人的申请，我方以保证的方式向贵方提供如下投标保证金担保：</w:t>
      </w:r>
    </w:p>
    <w:p>
      <w:pPr>
        <w:spacing w:line="360" w:lineRule="auto"/>
        <w:ind w:firstLine="420" w:firstLineChars="200"/>
        <w:rPr>
          <w:rFonts w:hint="eastAsia" w:ascii="宋体" w:hAnsi="宋体" w:eastAsia="宋体" w:cs="宋体"/>
          <w:color w:val="auto"/>
          <w:szCs w:val="21"/>
          <w:highlight w:val="none"/>
        </w:rPr>
      </w:pPr>
      <w:bookmarkStart w:id="208" w:name="_Toc1471_WPSOffice_Level1"/>
      <w:r>
        <w:rPr>
          <w:rFonts w:hint="eastAsia" w:ascii="宋体" w:hAnsi="宋体" w:eastAsia="宋体" w:cs="宋体"/>
          <w:color w:val="auto"/>
          <w:szCs w:val="21"/>
          <w:highlight w:val="none"/>
        </w:rPr>
        <w:t>一、保证责任的情形及保证金额</w:t>
      </w:r>
      <w:bookmarkEnd w:id="208"/>
    </w:p>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（一）在投标人出现下列情形之一时，我方承担保证责任：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1．中标后投标人无正当理由不与采购人或者采购代理机构签订《政府采购合同》；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2．招标文件规定的投标人应当缴纳保证金的其他情形。</w:t>
      </w:r>
    </w:p>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（二）我方承担保证责任的最高金额为人民币元（大写），即本项目的投标保证金金额。</w:t>
      </w:r>
    </w:p>
    <w:p>
      <w:pPr>
        <w:spacing w:line="360" w:lineRule="auto"/>
        <w:ind w:firstLine="420" w:firstLineChars="200"/>
        <w:rPr>
          <w:rFonts w:hint="eastAsia" w:ascii="宋体" w:hAnsi="宋体" w:eastAsia="宋体" w:cs="宋体"/>
          <w:color w:val="auto"/>
          <w:szCs w:val="21"/>
          <w:highlight w:val="none"/>
        </w:rPr>
      </w:pPr>
      <w:bookmarkStart w:id="209" w:name="_Toc11628_WPSOffice_Level1"/>
      <w:r>
        <w:rPr>
          <w:rFonts w:hint="eastAsia" w:ascii="宋体" w:hAnsi="宋体" w:eastAsia="宋体" w:cs="宋体"/>
          <w:color w:val="auto"/>
          <w:szCs w:val="21"/>
          <w:highlight w:val="none"/>
        </w:rPr>
        <w:t>二、保证的方式及保证期间</w:t>
      </w:r>
      <w:bookmarkEnd w:id="20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我方保证的方式为：连带责任保证。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我方的保证期间为：自本保函生效之日起个月止。</w:t>
      </w:r>
    </w:p>
    <w:p>
      <w:pPr>
        <w:spacing w:line="360" w:lineRule="auto"/>
        <w:ind w:firstLine="420" w:firstLineChars="200"/>
        <w:rPr>
          <w:rFonts w:hint="eastAsia" w:ascii="宋体" w:hAnsi="宋体" w:eastAsia="宋体" w:cs="宋体"/>
          <w:color w:val="auto"/>
          <w:szCs w:val="21"/>
          <w:highlight w:val="none"/>
        </w:rPr>
      </w:pPr>
      <w:bookmarkStart w:id="210" w:name="_Toc22664_WPSOffice_Level1"/>
      <w:r>
        <w:rPr>
          <w:rFonts w:hint="eastAsia" w:ascii="宋体" w:hAnsi="宋体" w:eastAsia="宋体" w:cs="宋体"/>
          <w:color w:val="auto"/>
          <w:szCs w:val="21"/>
          <w:highlight w:val="none"/>
        </w:rPr>
        <w:t>三、承担保证责任的程序</w:t>
      </w:r>
      <w:bookmarkEnd w:id="21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1．贵方要求我方承担保证责任的，应在本保函保证期间内向我方发出书面索赔通知。索赔通知应写明要求索赔的金额，支付款项应到达的账号，并附有证明投标人发生我方应承担保证责任情形的事实材料。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2．我方在收到索赔通知及相关证明材料后，在</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个工作日内进行审查，符合应承担保证责任情形的，我方应按照贵方的要求代投标人向贵方支付投标保证金。</w:t>
      </w:r>
    </w:p>
    <w:p>
      <w:pPr>
        <w:spacing w:line="360" w:lineRule="auto"/>
        <w:ind w:firstLine="420" w:firstLineChars="200"/>
        <w:rPr>
          <w:rFonts w:hint="eastAsia" w:ascii="宋体" w:hAnsi="宋体" w:eastAsia="宋体" w:cs="宋体"/>
          <w:color w:val="auto"/>
          <w:szCs w:val="21"/>
          <w:highlight w:val="none"/>
        </w:rPr>
      </w:pPr>
      <w:bookmarkStart w:id="211" w:name="_Toc25596_WPSOffice_Level1"/>
      <w:r>
        <w:rPr>
          <w:rFonts w:hint="eastAsia" w:ascii="宋体" w:hAnsi="宋体" w:eastAsia="宋体" w:cs="宋体"/>
          <w:color w:val="auto"/>
          <w:szCs w:val="21"/>
          <w:highlight w:val="none"/>
        </w:rPr>
        <w:t>四、保证责任的终止</w:t>
      </w:r>
      <w:bookmarkEnd w:id="21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1．保证期间届满贵方未向我方书面主张保证责任的，自保证期间届满次日起，我方保证责任自动终止。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2．我方按照本保函向你贵方履行了保证责任后，自我方向你贵方支付款项（支付款项从我方账户划出）之日起，保证责任终止。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3．按照法律法规的规定或出现我方保证责任终止的其它情形的，我方在本保函项下的保证责任亦终止。</w:t>
      </w:r>
    </w:p>
    <w:p>
      <w:pPr>
        <w:spacing w:line="360" w:lineRule="auto"/>
        <w:ind w:firstLine="420" w:firstLineChars="200"/>
        <w:rPr>
          <w:rFonts w:hint="eastAsia" w:ascii="宋体" w:hAnsi="宋体" w:eastAsia="宋体" w:cs="宋体"/>
          <w:color w:val="auto"/>
          <w:szCs w:val="21"/>
          <w:highlight w:val="none"/>
        </w:rPr>
      </w:pPr>
      <w:bookmarkStart w:id="212" w:name="_Toc442_WPSOffice_Level1"/>
      <w:r>
        <w:rPr>
          <w:rFonts w:hint="eastAsia" w:ascii="宋体" w:hAnsi="宋体" w:eastAsia="宋体" w:cs="宋体"/>
          <w:color w:val="auto"/>
          <w:szCs w:val="21"/>
          <w:highlight w:val="none"/>
        </w:rPr>
        <w:t>五、免责条款</w:t>
      </w:r>
      <w:bookmarkEnd w:id="21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1．依照法律规定或贵方与投标人的另行约定，全部或者部分免除投标人投标保证金义务时，我方亦免除相应的保证责任。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2．因贵方原因致使投标人发生本保函第一条第（一）款约定情形的，我方不承担保证责任。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3．因不可抗力造成投标人发生本保函第一条约定情形的，我方不承担保证责任。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4．贵方或其他有权机关对招标文件进行任何澄清或修改，加重我方保证责任的，我方对加重部分不承担保证责任，但该澄清或修改经我方事先书面同意的除外。</w:t>
      </w:r>
    </w:p>
    <w:p>
      <w:pPr>
        <w:spacing w:line="360" w:lineRule="auto"/>
        <w:ind w:firstLine="420" w:firstLineChars="200"/>
        <w:rPr>
          <w:rFonts w:hint="eastAsia" w:ascii="宋体" w:hAnsi="宋体" w:eastAsia="宋体" w:cs="宋体"/>
          <w:color w:val="auto"/>
          <w:szCs w:val="21"/>
          <w:highlight w:val="none"/>
        </w:rPr>
      </w:pPr>
      <w:bookmarkStart w:id="213" w:name="_Toc29919_WPSOffice_Level1"/>
      <w:r>
        <w:rPr>
          <w:rFonts w:hint="eastAsia" w:ascii="宋体" w:hAnsi="宋体" w:eastAsia="宋体" w:cs="宋体"/>
          <w:color w:val="auto"/>
          <w:szCs w:val="21"/>
          <w:highlight w:val="none"/>
        </w:rPr>
        <w:t>六、争议的解决</w:t>
      </w:r>
      <w:bookmarkEnd w:id="21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因本保函发生的纠纷，由你我双方协商解决，协商不成的，通过诉讼程序解决，诉讼管辖地法院为法院。</w:t>
      </w:r>
    </w:p>
    <w:p>
      <w:pPr>
        <w:spacing w:line="360" w:lineRule="auto"/>
        <w:ind w:firstLine="420" w:firstLineChars="200"/>
        <w:rPr>
          <w:rFonts w:hint="eastAsia" w:ascii="宋体" w:hAnsi="宋体" w:eastAsia="宋体" w:cs="宋体"/>
          <w:color w:val="auto"/>
          <w:szCs w:val="21"/>
          <w:highlight w:val="none"/>
        </w:rPr>
      </w:pPr>
      <w:bookmarkStart w:id="214" w:name="_Toc20551_WPSOffice_Level1"/>
      <w:r>
        <w:rPr>
          <w:rFonts w:hint="eastAsia" w:ascii="宋体" w:hAnsi="宋体" w:eastAsia="宋体" w:cs="宋体"/>
          <w:color w:val="auto"/>
          <w:szCs w:val="21"/>
          <w:highlight w:val="none"/>
        </w:rPr>
        <w:t>七、保函的生效</w:t>
      </w:r>
      <w:bookmarkEnd w:id="21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本保函自我方加盖公章之日起生效。</w:t>
      </w:r>
    </w:p>
    <w:p>
      <w:pPr>
        <w:spacing w:line="360" w:lineRule="auto"/>
        <w:ind w:firstLine="5565" w:firstLineChars="2650"/>
        <w:rPr>
          <w:rFonts w:hint="eastAsia" w:ascii="宋体" w:hAnsi="宋体" w:eastAsia="宋体" w:cs="宋体"/>
          <w:color w:val="auto"/>
          <w:szCs w:val="21"/>
          <w:highlight w:val="none"/>
        </w:rPr>
      </w:pPr>
    </w:p>
    <w:p>
      <w:pPr>
        <w:spacing w:line="360" w:lineRule="auto"/>
        <w:ind w:firstLine="5565" w:firstLineChars="2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保证人：（公章） </w:t>
      </w:r>
    </w:p>
    <w:p>
      <w:pPr>
        <w:spacing w:line="360" w:lineRule="auto"/>
        <w:ind w:firstLine="6377" w:firstLineChars="3037"/>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pPr>
        <w:spacing w:line="360" w:lineRule="auto"/>
        <w:rPr>
          <w:rFonts w:hint="eastAsia" w:ascii="宋体" w:hAnsi="宋体" w:eastAsia="宋体" w:cs="宋体"/>
          <w:color w:val="auto"/>
          <w:kern w:val="0"/>
          <w:szCs w:val="22"/>
          <w:highlight w:val="none"/>
        </w:rPr>
      </w:pPr>
      <w:r>
        <w:rPr>
          <w:rFonts w:hint="eastAsia" w:ascii="宋体" w:hAnsi="宋体" w:eastAsia="宋体" w:cs="宋体"/>
          <w:b/>
          <w:color w:val="auto"/>
          <w:szCs w:val="21"/>
          <w:highlight w:val="none"/>
        </w:rPr>
        <w:t>备注：此为政府采购投标担保函样本，仅供参考。投标人可根据实际情况自行提供，但不能偏离且不限于以上实质性内容！</w:t>
      </w:r>
      <w:r>
        <w:rPr>
          <w:rFonts w:hint="eastAsia" w:ascii="宋体" w:hAnsi="宋体" w:eastAsia="宋体" w:cs="宋体"/>
          <w:color w:val="auto"/>
          <w:highlight w:val="none"/>
        </w:rPr>
        <w:br w:type="page"/>
      </w:r>
    </w:p>
    <w:p>
      <w:pPr>
        <w:pStyle w:val="6"/>
        <w:rPr>
          <w:rFonts w:hint="eastAsia" w:ascii="宋体" w:hAnsi="宋体" w:eastAsia="宋体" w:cs="宋体"/>
          <w:color w:val="auto"/>
          <w:sz w:val="24"/>
          <w:szCs w:val="24"/>
          <w:highlight w:val="none"/>
        </w:rPr>
      </w:pPr>
      <w:bookmarkStart w:id="215" w:name="_Toc96523919"/>
      <w:r>
        <w:rPr>
          <w:rFonts w:hint="eastAsia" w:ascii="宋体" w:hAnsi="宋体" w:eastAsia="宋体" w:cs="宋体"/>
          <w:color w:val="auto"/>
          <w:sz w:val="24"/>
          <w:szCs w:val="24"/>
          <w:highlight w:val="none"/>
        </w:rPr>
        <w:t>格式23.</w:t>
      </w:r>
      <w:bookmarkStart w:id="216" w:name="_Toc694"/>
      <w:r>
        <w:rPr>
          <w:rFonts w:hint="eastAsia" w:ascii="宋体" w:hAnsi="宋体" w:eastAsia="宋体" w:cs="宋体"/>
          <w:color w:val="auto"/>
          <w:sz w:val="24"/>
          <w:szCs w:val="24"/>
          <w:highlight w:val="none"/>
        </w:rPr>
        <w:t xml:space="preserve"> 联合体共同投标协议书（如联合体投标，需提供）</w:t>
      </w:r>
      <w:bookmarkEnd w:id="215"/>
      <w:bookmarkEnd w:id="216"/>
    </w:p>
    <w:p>
      <w:pPr>
        <w:spacing w:before="319" w:beforeLines="100" w:after="319" w:afterLines="100" w:line="360" w:lineRule="auto"/>
        <w:ind w:right="630" w:rightChars="300"/>
        <w:jc w:val="center"/>
        <w:rPr>
          <w:rFonts w:hint="eastAsia" w:ascii="宋体" w:hAnsi="宋体" w:eastAsia="宋体" w:cs="宋体"/>
          <w:b/>
          <w:color w:val="auto"/>
          <w:sz w:val="32"/>
          <w:szCs w:val="32"/>
          <w:highlight w:val="none"/>
        </w:rPr>
      </w:pPr>
      <w:bookmarkStart w:id="217" w:name="_Toc4538_WPSOffice_Level1"/>
      <w:r>
        <w:rPr>
          <w:rFonts w:hint="eastAsia" w:ascii="宋体" w:hAnsi="宋体" w:eastAsia="宋体" w:cs="宋体"/>
          <w:b/>
          <w:color w:val="auto"/>
          <w:sz w:val="32"/>
          <w:szCs w:val="32"/>
          <w:highlight w:val="none"/>
        </w:rPr>
        <w:t>联合体共同投标协议书</w:t>
      </w:r>
      <w:bookmarkEnd w:id="217"/>
    </w:p>
    <w:p>
      <w:pPr>
        <w:pStyle w:val="18"/>
        <w:spacing w:line="360" w:lineRule="auto"/>
        <w:rPr>
          <w:rFonts w:hint="eastAsia" w:hAnsi="宋体" w:eastAsia="宋体" w:cs="宋体"/>
          <w:color w:val="auto"/>
          <w:highlight w:val="none"/>
        </w:rPr>
      </w:pPr>
      <w:r>
        <w:rPr>
          <w:rFonts w:hint="eastAsia" w:hAnsi="宋体" w:eastAsia="宋体" w:cs="宋体"/>
          <w:color w:val="auto"/>
          <w:highlight w:val="none"/>
        </w:rPr>
        <w:t>致</w:t>
      </w:r>
      <w:r>
        <w:rPr>
          <w:rFonts w:hint="eastAsia" w:hAnsi="宋体" w:eastAsia="宋体" w:cs="宋体"/>
          <w:color w:val="auto"/>
          <w:highlight w:val="none"/>
          <w:u w:val="single"/>
        </w:rPr>
        <w:t>(采购人或采购代理机构)</w:t>
      </w:r>
      <w:r>
        <w:rPr>
          <w:rFonts w:hint="eastAsia" w:hAnsi="宋体" w:eastAsia="宋体" w:cs="宋体"/>
          <w:color w:val="auto"/>
          <w:highlight w:val="none"/>
        </w:rPr>
        <w:t>：</w:t>
      </w:r>
    </w:p>
    <w:p>
      <w:pPr>
        <w:pStyle w:val="18"/>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经研究，我方决定自愿组成联合体共同参加</w:t>
      </w:r>
      <w:r>
        <w:rPr>
          <w:rFonts w:hint="eastAsia" w:hAnsi="宋体" w:eastAsia="宋体" w:cs="宋体"/>
          <w:color w:val="auto"/>
          <w:highlight w:val="none"/>
          <w:u w:val="single"/>
        </w:rPr>
        <w:t>(项目名称、项目编号、包号)</w:t>
      </w:r>
      <w:r>
        <w:rPr>
          <w:rFonts w:hint="eastAsia" w:hAnsi="宋体" w:eastAsia="宋体" w:cs="宋体"/>
          <w:color w:val="auto"/>
          <w:highlight w:val="none"/>
        </w:rPr>
        <w:t>项目的投标。现就联合体询价事宜订立如下协议：</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由为本次投标联合体主体方，为协办方，组成联合体共同进行本项目的投标工作。</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联合体以一个投标供应商的身份共同参加本项目的投标，中标后，联合体各方共同与采购人签订合同，就本项目对采购人承担连带责任。</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联合体授权主体方负责本项目的一切组织、协调工作，主体方在投标、合同谈判过程中所签署的一切文件和处理的与本次投标有关的一切事务，联合体各方均予以承认并承担法律责任。</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主体方 负责工作，协办方负责工作。具体工作范围、工作内容以合同为准。</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联合体各成员的划型如下：</w:t>
      </w:r>
    </w:p>
    <w:p>
      <w:pPr>
        <w:tabs>
          <w:tab w:val="left" w:pos="420"/>
        </w:tabs>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成员1：</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（请填写：中型、小型、微型）</w:t>
      </w:r>
      <w:r>
        <w:rPr>
          <w:rFonts w:hint="eastAsia" w:ascii="宋体" w:hAnsi="宋体" w:eastAsia="宋体" w:cs="宋体"/>
          <w:color w:val="auto"/>
          <w:szCs w:val="21"/>
          <w:highlight w:val="none"/>
        </w:rPr>
        <w:t>企业，将承担合同总金额</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%的工作内容</w:t>
      </w:r>
      <w:r>
        <w:rPr>
          <w:rFonts w:hint="eastAsia" w:ascii="宋体" w:hAnsi="宋体" w:eastAsia="宋体" w:cs="宋体"/>
          <w:b/>
          <w:color w:val="auto"/>
          <w:szCs w:val="21"/>
          <w:highlight w:val="none"/>
        </w:rPr>
        <w:t>（联合体成员中有中型、小型、微型企业时适用）</w:t>
      </w:r>
      <w:r>
        <w:rPr>
          <w:rFonts w:hint="eastAsia" w:ascii="宋体" w:hAnsi="宋体" w:eastAsia="宋体" w:cs="宋体"/>
          <w:color w:val="auto"/>
          <w:szCs w:val="21"/>
          <w:highlight w:val="none"/>
        </w:rPr>
        <w:t>。</w:t>
      </w:r>
    </w:p>
    <w:p>
      <w:pPr>
        <w:pStyle w:val="10"/>
        <w:ind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成员2：</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（请填写：中型、小型、微型）</w:t>
      </w:r>
      <w:r>
        <w:rPr>
          <w:rFonts w:hint="eastAsia" w:ascii="宋体" w:hAnsi="宋体" w:eastAsia="宋体" w:cs="宋体"/>
          <w:color w:val="auto"/>
          <w:szCs w:val="21"/>
          <w:highlight w:val="none"/>
        </w:rPr>
        <w:t>企业，将承担合同总金额</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%的工作内容</w:t>
      </w:r>
      <w:r>
        <w:rPr>
          <w:rFonts w:hint="eastAsia" w:ascii="宋体" w:hAnsi="宋体" w:eastAsia="宋体" w:cs="宋体"/>
          <w:b/>
          <w:color w:val="auto"/>
          <w:szCs w:val="21"/>
          <w:highlight w:val="none"/>
        </w:rPr>
        <w:t>（联合体成员中有中型、小型、微型企业时适用）</w:t>
      </w:r>
    </w:p>
    <w:p>
      <w:pPr>
        <w:pStyle w:val="10"/>
        <w:ind w:firstLine="0"/>
        <w:rPr>
          <w:rFonts w:hint="eastAsia" w:ascii="宋体" w:hAnsi="宋体" w:eastAsia="宋体" w:cs="宋体"/>
          <w:color w:val="auto"/>
          <w:highlight w:val="none"/>
        </w:rPr>
      </w:pPr>
      <w:r>
        <w:rPr>
          <w:rFonts w:hint="eastAsia" w:ascii="宋体" w:hAnsi="宋体" w:eastAsia="宋体" w:cs="宋体"/>
          <w:b/>
          <w:color w:val="auto"/>
          <w:szCs w:val="21"/>
          <w:highlight w:val="none"/>
        </w:rPr>
        <w:t>……</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各方的责任、权利和义务的详细内容和规定在中标后经各方协商后报采购人同意另行签署协议或者合同。</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联合体各方不得再以自己的名义在本项目中单独投标，联合体项目责任人不能作为其他联合体或单独投标单位的项目组成员。如因发生上述问题而导致联合体投标无效的，联合体其他成员可追究违约责任。</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联合体如因违约过失责任而导致采购人经济损失或被索赔时，本联合体任何一方均同意无条件优先清偿采购人的一切债务和经济赔偿。</w:t>
      </w:r>
    </w:p>
    <w:p>
      <w:pPr>
        <w:numPr>
          <w:ilvl w:val="0"/>
          <w:numId w:val="2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本协议在自签署之日起生效，有效期内有效，如获中标资格，合同有效期延续至合同履行完毕之日。如联合体未中标，本协议自动废止。</w:t>
      </w:r>
    </w:p>
    <w:p>
      <w:pPr>
        <w:pStyle w:val="10"/>
        <w:ind w:firstLine="0"/>
        <w:rPr>
          <w:rFonts w:hint="eastAsia" w:ascii="宋体" w:hAnsi="宋体" w:eastAsia="宋体" w:cs="宋体"/>
          <w:color w:val="auto"/>
          <w:highlight w:val="none"/>
        </w:rPr>
      </w:pPr>
      <w:r>
        <w:rPr>
          <w:rFonts w:hint="eastAsia" w:ascii="宋体" w:hAnsi="宋体" w:eastAsia="宋体" w:cs="宋体"/>
          <w:color w:val="auto"/>
          <w:highlight w:val="none"/>
        </w:rPr>
        <w:t>十、本协议书一式份，联合体成员和采购人各执一份。</w:t>
      </w:r>
    </w:p>
    <w:p>
      <w:pPr>
        <w:pStyle w:val="10"/>
        <w:ind w:firstLine="0"/>
        <w:rPr>
          <w:rFonts w:hint="eastAsia" w:ascii="宋体" w:hAnsi="宋体" w:eastAsia="宋体" w:cs="宋体"/>
          <w:color w:val="auto"/>
          <w:highlight w:val="none"/>
        </w:rPr>
      </w:pPr>
    </w:p>
    <w:p>
      <w:pPr>
        <w:pStyle w:val="18"/>
        <w:spacing w:line="360" w:lineRule="auto"/>
        <w:ind w:firstLine="420" w:firstLineChars="200"/>
        <w:rPr>
          <w:rFonts w:hint="eastAsia" w:hAnsi="宋体" w:eastAsia="宋体" w:cs="宋体"/>
          <w:color w:val="auto"/>
          <w:highlight w:val="none"/>
        </w:rPr>
      </w:pPr>
    </w:p>
    <w:p>
      <w:pPr>
        <w:pStyle w:val="18"/>
        <w:spacing w:line="360" w:lineRule="auto"/>
        <w:ind w:firstLine="420" w:firstLineChars="200"/>
        <w:rPr>
          <w:rFonts w:hint="eastAsia" w:hAnsi="宋体" w:eastAsia="宋体" w:cs="宋体"/>
          <w:color w:val="auto"/>
          <w:highlight w:val="none"/>
        </w:rPr>
      </w:pPr>
    </w:p>
    <w:p>
      <w:pPr>
        <w:pStyle w:val="18"/>
        <w:spacing w:line="360" w:lineRule="auto"/>
        <w:ind w:firstLine="420" w:firstLineChars="200"/>
        <w:rPr>
          <w:rFonts w:hint="eastAsia" w:hAnsi="宋体" w:eastAsia="宋体" w:cs="宋体"/>
          <w:color w:val="auto"/>
          <w:highlight w:val="none"/>
          <w:u w:val="single"/>
        </w:rPr>
      </w:pPr>
      <w:r>
        <w:rPr>
          <w:rFonts w:hint="eastAsia" w:hAnsi="宋体" w:eastAsia="宋体" w:cs="宋体"/>
          <w:color w:val="auto"/>
          <w:highlight w:val="none"/>
        </w:rPr>
        <w:t>主体方全称(公章)：</w:t>
      </w:r>
    </w:p>
    <w:p>
      <w:pPr>
        <w:pStyle w:val="18"/>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法定代表人或其授权代表(签字或盖章)：</w:t>
      </w:r>
    </w:p>
    <w:p>
      <w:pPr>
        <w:pStyle w:val="18"/>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地址：</w:t>
      </w:r>
    </w:p>
    <w:p>
      <w:pPr>
        <w:pStyle w:val="18"/>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联系电话：</w:t>
      </w:r>
    </w:p>
    <w:p>
      <w:pPr>
        <w:pStyle w:val="18"/>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签署日期：</w:t>
      </w:r>
    </w:p>
    <w:p>
      <w:pPr>
        <w:pStyle w:val="18"/>
        <w:spacing w:line="360" w:lineRule="auto"/>
        <w:ind w:firstLine="420" w:firstLineChars="200"/>
        <w:rPr>
          <w:rFonts w:hint="eastAsia" w:hAnsi="宋体" w:eastAsia="宋体" w:cs="宋体"/>
          <w:color w:val="auto"/>
          <w:highlight w:val="none"/>
        </w:rPr>
      </w:pPr>
    </w:p>
    <w:p>
      <w:pPr>
        <w:pStyle w:val="18"/>
        <w:spacing w:line="360" w:lineRule="auto"/>
        <w:ind w:firstLine="420" w:firstLineChars="200"/>
        <w:rPr>
          <w:rFonts w:hint="eastAsia" w:hAnsi="宋体" w:eastAsia="宋体" w:cs="宋体"/>
          <w:color w:val="auto"/>
          <w:highlight w:val="none"/>
          <w:u w:val="single"/>
        </w:rPr>
      </w:pPr>
      <w:r>
        <w:rPr>
          <w:rFonts w:hint="eastAsia" w:hAnsi="宋体" w:eastAsia="宋体" w:cs="宋体"/>
          <w:color w:val="auto"/>
          <w:highlight w:val="none"/>
        </w:rPr>
        <w:t>协办方全称(公章)：</w:t>
      </w:r>
    </w:p>
    <w:p>
      <w:pPr>
        <w:pStyle w:val="18"/>
        <w:spacing w:line="360" w:lineRule="auto"/>
        <w:ind w:firstLine="420" w:firstLineChars="200"/>
        <w:rPr>
          <w:rFonts w:hint="eastAsia" w:hAnsi="宋体" w:eastAsia="宋体" w:cs="宋体"/>
          <w:color w:val="auto"/>
          <w:highlight w:val="none"/>
          <w:u w:val="single"/>
        </w:rPr>
      </w:pPr>
      <w:r>
        <w:rPr>
          <w:rFonts w:hint="eastAsia" w:hAnsi="宋体" w:eastAsia="宋体" w:cs="宋体"/>
          <w:color w:val="auto"/>
          <w:highlight w:val="none"/>
        </w:rPr>
        <w:t>法定代表人或其授权代表(签字或盖章)：</w:t>
      </w:r>
    </w:p>
    <w:p>
      <w:pPr>
        <w:pStyle w:val="18"/>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地址：</w:t>
      </w:r>
    </w:p>
    <w:p>
      <w:pPr>
        <w:pStyle w:val="18"/>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联系电话：</w:t>
      </w:r>
    </w:p>
    <w:p>
      <w:pPr>
        <w:pStyle w:val="18"/>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签署日期：</w:t>
      </w:r>
    </w:p>
    <w:p>
      <w:pPr>
        <w:pStyle w:val="18"/>
        <w:spacing w:line="360" w:lineRule="auto"/>
        <w:ind w:firstLine="420" w:firstLineChars="200"/>
        <w:rPr>
          <w:rFonts w:hint="eastAsia"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备注：联合体各方成员须在本协议上共同盖章和签署。</w:t>
      </w:r>
    </w:p>
    <w:p>
      <w:pPr>
        <w:pStyle w:val="6"/>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格式24. 分包意向书（以合同分包形式参加投标时适用）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备注：若以合同分包形式参加投标时，参考下列格式提供《分包意向书》。</w:t>
      </w:r>
    </w:p>
    <w:p>
      <w:pPr>
        <w:spacing w:line="360" w:lineRule="auto"/>
        <w:ind w:firstLine="420" w:firstLineChars="200"/>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分包意向书</w:t>
      </w:r>
    </w:p>
    <w:p>
      <w:pPr>
        <w:spacing w:line="360" w:lineRule="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立约方：</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（甲公司全称）</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就</w:t>
      </w:r>
      <w:r>
        <w:rPr>
          <w:rFonts w:hint="eastAsia" w:ascii="宋体" w:hAnsi="宋体" w:eastAsia="宋体" w:cs="宋体"/>
          <w:color w:val="auto"/>
          <w:szCs w:val="21"/>
          <w:highlight w:val="none"/>
          <w:u w:val="single"/>
        </w:rPr>
        <w:t>（项目名称）（项目编号）（包组号）</w:t>
      </w:r>
      <w:r>
        <w:rPr>
          <w:rFonts w:hint="eastAsia" w:ascii="宋体" w:hAnsi="宋体" w:eastAsia="宋体" w:cs="宋体"/>
          <w:color w:val="auto"/>
          <w:szCs w:val="21"/>
          <w:highlight w:val="none"/>
        </w:rPr>
        <w:t>的投标事宜，与</w:t>
      </w:r>
      <w:r>
        <w:rPr>
          <w:rFonts w:hint="eastAsia" w:ascii="宋体" w:hAnsi="宋体" w:eastAsia="宋体" w:cs="宋体"/>
          <w:color w:val="auto"/>
          <w:szCs w:val="21"/>
          <w:highlight w:val="none"/>
          <w:u w:val="single"/>
        </w:rPr>
        <w:t>（乙公司全称）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通过友好协商达成以下协议：</w:t>
      </w:r>
    </w:p>
    <w:p>
      <w:pPr>
        <w:numPr>
          <w:ilvl w:val="0"/>
          <w:numId w:val="21"/>
        </w:numPr>
        <w:adjustRightInd w:val="0"/>
        <w:spacing w:line="360" w:lineRule="auto"/>
        <w:ind w:firstLine="147"/>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在本次投标有效期内，</w:t>
      </w:r>
      <w:r>
        <w:rPr>
          <w:rFonts w:hint="eastAsia" w:ascii="宋体" w:hAnsi="宋体" w:eastAsia="宋体" w:cs="宋体"/>
          <w:color w:val="auto"/>
          <w:szCs w:val="21"/>
          <w:highlight w:val="none"/>
          <w:u w:val="single"/>
        </w:rPr>
        <w:t>（乙公司全称）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同意</w:t>
      </w: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进行上述投标事宜。若中标，各方按照本协议中约定的分工事项，完成各方对应的工作。</w:t>
      </w:r>
    </w:p>
    <w:p>
      <w:pPr>
        <w:numPr>
          <w:ilvl w:val="0"/>
          <w:numId w:val="21"/>
        </w:numPr>
        <w:adjustRightInd w:val="0"/>
        <w:spacing w:line="360" w:lineRule="auto"/>
        <w:ind w:firstLine="147"/>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各方分工：</w:t>
      </w:r>
    </w:p>
    <w:p>
      <w:pPr>
        <w:numPr>
          <w:ilvl w:val="0"/>
          <w:numId w:val="22"/>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本项目投标工作由</w:t>
      </w: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负责。</w:t>
      </w:r>
    </w:p>
    <w:p>
      <w:pPr>
        <w:numPr>
          <w:ilvl w:val="0"/>
          <w:numId w:val="22"/>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本项目由</w:t>
      </w: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授权人员负责与采购人联系。</w:t>
      </w:r>
    </w:p>
    <w:p>
      <w:pPr>
        <w:numPr>
          <w:ilvl w:val="0"/>
          <w:numId w:val="22"/>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为分包方，拟承担的工作和责任: 。</w:t>
      </w:r>
    </w:p>
    <w:p>
      <w:pPr>
        <w:numPr>
          <w:ilvl w:val="0"/>
          <w:numId w:val="22"/>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（乙公司全称）</w:t>
      </w:r>
      <w:r>
        <w:rPr>
          <w:rFonts w:hint="eastAsia" w:ascii="宋体" w:hAnsi="宋体" w:eastAsia="宋体" w:cs="宋体"/>
          <w:color w:val="auto"/>
          <w:szCs w:val="21"/>
          <w:highlight w:val="none"/>
        </w:rPr>
        <w:t>为分包承担方，拟承担的工作和责任: 。</w:t>
      </w:r>
    </w:p>
    <w:p>
      <w:pPr>
        <w:numPr>
          <w:ilvl w:val="0"/>
          <w:numId w:val="22"/>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为分包承担方，拟承担的工作和责任: 。</w:t>
      </w:r>
    </w:p>
    <w:p>
      <w:pPr>
        <w:numPr>
          <w:ilvl w:val="0"/>
          <w:numId w:val="22"/>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分包给中小企业承担的合同金额比例</w:t>
      </w:r>
      <w:r>
        <w:rPr>
          <w:rFonts w:hint="eastAsia" w:ascii="宋体" w:hAnsi="宋体" w:eastAsia="宋体" w:cs="宋体"/>
          <w:b/>
          <w:bCs/>
          <w:color w:val="auto"/>
          <w:szCs w:val="21"/>
          <w:highlight w:val="none"/>
          <w:u w:val="single"/>
        </w:rPr>
        <w:t>□符合□不符合（</w:t>
      </w:r>
      <w:r>
        <w:rPr>
          <w:rFonts w:hint="eastAsia" w:ascii="宋体" w:hAnsi="宋体" w:eastAsia="宋体" w:cs="宋体"/>
          <w:b/>
          <w:bCs/>
          <w:color w:val="auto"/>
          <w:szCs w:val="21"/>
          <w:highlight w:val="none"/>
        </w:rPr>
        <w:t>请勾选）</w:t>
      </w:r>
      <w:r>
        <w:rPr>
          <w:rFonts w:hint="eastAsia" w:ascii="宋体" w:hAnsi="宋体" w:eastAsia="宋体" w:cs="宋体"/>
          <w:color w:val="auto"/>
          <w:szCs w:val="21"/>
          <w:highlight w:val="none"/>
        </w:rPr>
        <w:t>本项目招标文件的要求。</w:t>
      </w:r>
    </w:p>
    <w:p>
      <w:pPr>
        <w:numPr>
          <w:ilvl w:val="0"/>
          <w:numId w:val="22"/>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如本项目或采购包属于预留份额面向中小企业，接受分包合同的中小企业与分包企业之间不存在直接控股、管理关系。</w:t>
      </w:r>
    </w:p>
    <w:p>
      <w:pPr>
        <w:numPr>
          <w:ilvl w:val="0"/>
          <w:numId w:val="22"/>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如中标，各方应按照招标文件的各项要求和内部职责的划分，承担自身所负的责任和风险。</w:t>
      </w:r>
    </w:p>
    <w:p>
      <w:pPr>
        <w:numPr>
          <w:ilvl w:val="0"/>
          <w:numId w:val="21"/>
        </w:numPr>
        <w:adjustRightInd w:val="0"/>
        <w:spacing w:line="360" w:lineRule="auto"/>
        <w:ind w:left="567" w:hanging="567"/>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本协议在自签署之日起生效，投标有效期内有效，如获中标资格，合同有效期延续至合同履行完毕之日。</w:t>
      </w:r>
    </w:p>
    <w:p>
      <w:pPr>
        <w:numPr>
          <w:ilvl w:val="0"/>
          <w:numId w:val="21"/>
        </w:numPr>
        <w:adjustRightInd w:val="0"/>
        <w:spacing w:line="360" w:lineRule="auto"/>
        <w:ind w:left="567" w:hanging="567"/>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本协议书正本一式份，随投标文件装订份，送采购人  份，分包意向协议成员各一份；副本一式 份，分包意向协议成员各执 份。</w:t>
      </w:r>
    </w:p>
    <w:p>
      <w:pPr>
        <w:widowControl/>
        <w:spacing w:line="360" w:lineRule="auto"/>
        <w:jc w:val="left"/>
        <w:rPr>
          <w:rFonts w:hint="eastAsia" w:ascii="宋体" w:hAnsi="宋体" w:eastAsia="宋体" w:cs="宋体"/>
          <w:color w:val="auto"/>
          <w:szCs w:val="21"/>
          <w:highlight w:val="none"/>
        </w:rPr>
      </w:pP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甲公司全称：（盖章） </w:t>
      </w: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pPr>
        <w:widowControl/>
        <w:spacing w:line="360" w:lineRule="auto"/>
        <w:jc w:val="left"/>
        <w:rPr>
          <w:rFonts w:hint="eastAsia" w:ascii="宋体" w:hAnsi="宋体" w:eastAsia="宋体" w:cs="宋体"/>
          <w:color w:val="auto"/>
          <w:szCs w:val="21"/>
          <w:highlight w:val="none"/>
        </w:rPr>
      </w:pP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乙公司全称：（盖章）</w:t>
      </w: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pPr>
        <w:widowControl/>
        <w:spacing w:line="360" w:lineRule="auto"/>
        <w:jc w:val="left"/>
        <w:rPr>
          <w:rFonts w:hint="eastAsia" w:ascii="宋体" w:hAnsi="宋体" w:eastAsia="宋体" w:cs="宋体"/>
          <w:color w:val="auto"/>
          <w:szCs w:val="21"/>
          <w:highlight w:val="none"/>
        </w:rPr>
      </w:pP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……公司全称（盖章）</w:t>
      </w: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pPr>
        <w:widowControl/>
        <w:spacing w:line="360" w:lineRule="auto"/>
        <w:jc w:val="left"/>
        <w:rPr>
          <w:rFonts w:hint="eastAsia" w:ascii="宋体" w:hAnsi="宋体" w:eastAsia="宋体" w:cs="宋体"/>
          <w:color w:val="auto"/>
          <w:szCs w:val="21"/>
          <w:highlight w:val="none"/>
        </w:rPr>
      </w:pPr>
    </w:p>
    <w:p>
      <w:pPr>
        <w:widowControl/>
        <w:spacing w:line="360" w:lineRule="auto"/>
        <w:jc w:val="left"/>
        <w:rPr>
          <w:rFonts w:hint="eastAsia" w:ascii="宋体" w:hAnsi="宋体" w:eastAsia="宋体" w:cs="宋体"/>
          <w:color w:val="auto"/>
          <w:szCs w:val="21"/>
          <w:highlight w:val="none"/>
        </w:rPr>
      </w:pPr>
    </w:p>
    <w:p>
      <w:pPr>
        <w:spacing w:line="360" w:lineRule="auto"/>
        <w:ind w:left="617" w:hanging="617" w:hangingChars="294"/>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numPr>
          <w:ilvl w:val="0"/>
          <w:numId w:val="23"/>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投标人投标时应签订本协议，协议各方成员应在本协议上共同盖章确认。</w:t>
      </w:r>
    </w:p>
    <w:p>
      <w:pPr>
        <w:numPr>
          <w:ilvl w:val="0"/>
          <w:numId w:val="23"/>
        </w:num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本协议内容不得擅自修改。此协议将作为签订合同的附件之一。</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附分包单位的资质证书</w:t>
      </w:r>
    </w:p>
    <w:p>
      <w:pPr>
        <w:pStyle w:val="5"/>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page"/>
      </w:r>
      <w:bookmarkStart w:id="218" w:name="_Toc96523920"/>
      <w:bookmarkStart w:id="219" w:name="_Toc15311_WPSOffice_Level1"/>
      <w:r>
        <w:rPr>
          <w:rFonts w:hint="eastAsia" w:ascii="宋体" w:hAnsi="宋体" w:eastAsia="宋体" w:cs="宋体"/>
          <w:color w:val="auto"/>
          <w:highlight w:val="none"/>
        </w:rPr>
        <w:t>第四章 投标文件服务部分</w:t>
      </w:r>
      <w:bookmarkEnd w:id="218"/>
      <w:bookmarkEnd w:id="219"/>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（格式自拟）</w:t>
      </w:r>
    </w:p>
    <w:p>
      <w:pPr>
        <w:pStyle w:val="10"/>
        <w:ind w:firstLine="0"/>
        <w:rPr>
          <w:rFonts w:hint="eastAsia" w:ascii="宋体" w:hAnsi="宋体" w:eastAsia="宋体" w:cs="宋体"/>
          <w:color w:val="auto"/>
          <w:highlight w:val="none"/>
        </w:rPr>
      </w:pPr>
    </w:p>
    <w:p>
      <w:pPr>
        <w:pStyle w:val="5"/>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20" w:name="_Toc30199_WPSOffice_Level1"/>
      <w:bookmarkStart w:id="221" w:name="_Toc96523921"/>
      <w:r>
        <w:rPr>
          <w:rFonts w:hint="eastAsia" w:ascii="宋体" w:hAnsi="宋体" w:eastAsia="宋体" w:cs="宋体"/>
          <w:color w:val="auto"/>
          <w:highlight w:val="none"/>
        </w:rPr>
        <w:t>第五章 附件及其他</w:t>
      </w:r>
      <w:bookmarkEnd w:id="220"/>
      <w:bookmarkEnd w:id="221"/>
    </w:p>
    <w:p>
      <w:pPr>
        <w:spacing w:line="360" w:lineRule="auto"/>
        <w:rPr>
          <w:rFonts w:hint="eastAsia" w:ascii="宋体" w:hAnsi="宋体" w:eastAsia="宋体" w:cs="宋体"/>
          <w:b/>
          <w:color w:val="auto"/>
          <w:szCs w:val="21"/>
          <w:highlight w:val="none"/>
          <w:lang w:val="en-GB"/>
        </w:rPr>
      </w:pPr>
      <w:bookmarkStart w:id="222" w:name="_Toc21303_WPSOffice_Level1"/>
      <w:r>
        <w:rPr>
          <w:rFonts w:hint="eastAsia" w:ascii="宋体" w:hAnsi="宋体" w:eastAsia="宋体" w:cs="宋体"/>
          <w:b/>
          <w:color w:val="auto"/>
          <w:szCs w:val="21"/>
          <w:highlight w:val="none"/>
          <w:lang w:val="en-GB"/>
        </w:rPr>
        <w:t>附件</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GB"/>
        </w:rPr>
        <w:t>：政府采购履约担保函（投标时无需提供）</w:t>
      </w:r>
      <w:bookmarkEnd w:id="222"/>
    </w:p>
    <w:p>
      <w:pPr>
        <w:spacing w:line="360" w:lineRule="auto"/>
        <w:jc w:val="center"/>
        <w:rPr>
          <w:rFonts w:hint="eastAsia" w:ascii="宋体" w:hAnsi="宋体" w:eastAsia="宋体" w:cs="宋体"/>
          <w:b/>
          <w:bCs/>
          <w:color w:val="auto"/>
          <w:szCs w:val="21"/>
          <w:highlight w:val="none"/>
        </w:rPr>
      </w:pPr>
      <w:bookmarkStart w:id="223" w:name="_Toc14723_WPSOffice_Level1"/>
      <w:r>
        <w:rPr>
          <w:rFonts w:hint="eastAsia" w:ascii="宋体" w:hAnsi="宋体" w:eastAsia="宋体" w:cs="宋体"/>
          <w:b/>
          <w:bCs/>
          <w:color w:val="auto"/>
          <w:szCs w:val="21"/>
          <w:highlight w:val="none"/>
        </w:rPr>
        <w:t>政府采购履约担保函</w:t>
      </w:r>
      <w:bookmarkEnd w:id="223"/>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编号：</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鉴于你方与（以下简称供应商）于年月日</w:t>
      </w:r>
      <w:r>
        <w:rPr>
          <w:rFonts w:hint="eastAsia" w:ascii="宋体" w:hAnsi="宋体" w:eastAsia="宋体" w:cs="宋体"/>
          <w:color w:val="auto"/>
          <w:szCs w:val="21"/>
          <w:highlight w:val="none"/>
          <w:lang w:eastAsia="zh-CN"/>
        </w:rPr>
        <w:t>签订</w:t>
      </w:r>
      <w:r>
        <w:rPr>
          <w:rFonts w:hint="eastAsia" w:ascii="宋体" w:hAnsi="宋体" w:eastAsia="宋体" w:cs="宋体"/>
          <w:color w:val="auto"/>
          <w:szCs w:val="21"/>
          <w:highlight w:val="none"/>
        </w:rPr>
        <w:t>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pacing w:line="360" w:lineRule="auto"/>
        <w:ind w:firstLine="420" w:firstLineChars="200"/>
        <w:rPr>
          <w:rFonts w:hint="eastAsia" w:ascii="宋体" w:hAnsi="宋体" w:eastAsia="宋体" w:cs="宋体"/>
          <w:color w:val="auto"/>
          <w:szCs w:val="21"/>
          <w:highlight w:val="none"/>
        </w:rPr>
      </w:pPr>
      <w:bookmarkStart w:id="224" w:name="_Toc26857_WPSOffice_Level1"/>
      <w:r>
        <w:rPr>
          <w:rFonts w:hint="eastAsia" w:ascii="宋体" w:hAnsi="宋体" w:eastAsia="宋体" w:cs="宋体"/>
          <w:color w:val="auto"/>
          <w:szCs w:val="21"/>
          <w:highlight w:val="none"/>
        </w:rPr>
        <w:t>一、保证责任的情形及保证金额</w:t>
      </w:r>
      <w:bookmarkEnd w:id="22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（一）在供应商出现下列情形之一时，我方承担保证责任：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1．将中标项目转让给他人，或者在投标文件中未说明，且未经采购招标机构人同意，将中标项目分包给他人的；</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2．主合同约定的应当缴纳履约保证金的情形: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（1）未按主合同约定的质量、数量和期限供应货物/提供服务/完成工程的。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（二）我方的保证范围是主合同约定的合同价款总额的%数额为元（大写），币种为。（即主合同履约保证金金额）</w:t>
      </w:r>
    </w:p>
    <w:p>
      <w:pPr>
        <w:spacing w:line="360" w:lineRule="auto"/>
        <w:ind w:firstLine="420" w:firstLineChars="200"/>
        <w:rPr>
          <w:rFonts w:hint="eastAsia" w:ascii="宋体" w:hAnsi="宋体" w:eastAsia="宋体" w:cs="宋体"/>
          <w:color w:val="auto"/>
          <w:szCs w:val="21"/>
          <w:highlight w:val="none"/>
        </w:rPr>
      </w:pPr>
      <w:bookmarkStart w:id="225" w:name="_Toc24199_WPSOffice_Level1"/>
      <w:r>
        <w:rPr>
          <w:rFonts w:hint="eastAsia" w:ascii="宋体" w:hAnsi="宋体" w:eastAsia="宋体" w:cs="宋体"/>
          <w:color w:val="auto"/>
          <w:szCs w:val="21"/>
          <w:highlight w:val="none"/>
        </w:rPr>
        <w:t>二、保证的方式及保证期间</w:t>
      </w:r>
      <w:bookmarkEnd w:id="22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我方保证的方式为：连带责任保证。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我方保证的期间为：自本合同生效之日起至供应商按照主合同约定的供货/完工期限届满后日内。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如果供应商未按主合同约定向贵方供应货物/提供服务/完成工程的，由我方在保证金额内向你方支付上述款项。</w:t>
      </w:r>
    </w:p>
    <w:p>
      <w:pPr>
        <w:spacing w:line="360" w:lineRule="auto"/>
        <w:ind w:firstLine="420" w:firstLineChars="200"/>
        <w:rPr>
          <w:rFonts w:hint="eastAsia" w:ascii="宋体" w:hAnsi="宋体" w:eastAsia="宋体" w:cs="宋体"/>
          <w:color w:val="auto"/>
          <w:szCs w:val="21"/>
          <w:highlight w:val="none"/>
        </w:rPr>
      </w:pPr>
      <w:bookmarkStart w:id="226" w:name="_Toc12848_WPSOffice_Level1"/>
      <w:r>
        <w:rPr>
          <w:rFonts w:hint="eastAsia" w:ascii="宋体" w:hAnsi="宋体" w:eastAsia="宋体" w:cs="宋体"/>
          <w:color w:val="auto"/>
          <w:szCs w:val="21"/>
          <w:highlight w:val="none"/>
        </w:rPr>
        <w:t>三、承担保证责任的程序</w:t>
      </w:r>
      <w:bookmarkEnd w:id="22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1．你方要求我方承担保证责任的，应在本保函保证期间内向我方发出书面索赔通知。索赔通知应写明要求索赔的金额，支付款项应到达的</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。并附有证明供应商违约事实的证明材料。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我方收到你方的书面索赔通知及相应证明材料，在工作日内进行核定后按照本保函的承诺承担保证责任。</w:t>
      </w:r>
    </w:p>
    <w:p>
      <w:pPr>
        <w:spacing w:line="360" w:lineRule="auto"/>
        <w:ind w:firstLine="420" w:firstLineChars="200"/>
        <w:rPr>
          <w:rFonts w:hint="eastAsia" w:ascii="宋体" w:hAnsi="宋体" w:eastAsia="宋体" w:cs="宋体"/>
          <w:color w:val="auto"/>
          <w:szCs w:val="21"/>
          <w:highlight w:val="none"/>
        </w:rPr>
      </w:pPr>
      <w:bookmarkStart w:id="227" w:name="_Toc6622_WPSOffice_Level1"/>
      <w:r>
        <w:rPr>
          <w:rFonts w:hint="eastAsia" w:ascii="宋体" w:hAnsi="宋体" w:eastAsia="宋体" w:cs="宋体"/>
          <w:color w:val="auto"/>
          <w:szCs w:val="21"/>
          <w:highlight w:val="none"/>
        </w:rPr>
        <w:t>四、保证责任的终止</w:t>
      </w:r>
      <w:bookmarkEnd w:id="22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2．我方按照本保函向你方履行了保证责任后，自我方向你方支付款项（支付款项从我方账户划出）之日起，保证责任即终止。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3．按照法律法规的规定或出现应终止我方保证责任的其它情形的，我方在本保函项下的保证责任亦终止。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20" w:firstLineChars="200"/>
        <w:rPr>
          <w:rFonts w:hint="eastAsia" w:ascii="宋体" w:hAnsi="宋体" w:eastAsia="宋体" w:cs="宋体"/>
          <w:color w:val="auto"/>
          <w:szCs w:val="21"/>
          <w:highlight w:val="none"/>
        </w:rPr>
      </w:pPr>
      <w:bookmarkStart w:id="228" w:name="_Toc31304_WPSOffice_Level1"/>
      <w:r>
        <w:rPr>
          <w:rFonts w:hint="eastAsia" w:ascii="宋体" w:hAnsi="宋体" w:eastAsia="宋体" w:cs="宋体"/>
          <w:color w:val="auto"/>
          <w:szCs w:val="21"/>
          <w:highlight w:val="none"/>
        </w:rPr>
        <w:t>五、免责条款</w:t>
      </w:r>
      <w:bookmarkEnd w:id="22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1．因你方违反主合同约定致使供应商不能履行义务的，我方不承担保证责任。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2．依照法律法规的规定或你方与供应商的另行约定，全部或者部分免除供应商应缴纳的保证金义务的，我方亦免除相应的保证责任。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3．因不可抗力造成供应商不能履行供货义务的，我方不承担保证责任。</w:t>
      </w:r>
    </w:p>
    <w:p>
      <w:pPr>
        <w:spacing w:line="360" w:lineRule="auto"/>
        <w:ind w:firstLine="420" w:firstLineChars="200"/>
        <w:rPr>
          <w:rFonts w:hint="eastAsia" w:ascii="宋体" w:hAnsi="宋体" w:eastAsia="宋体" w:cs="宋体"/>
          <w:color w:val="auto"/>
          <w:szCs w:val="21"/>
          <w:highlight w:val="none"/>
        </w:rPr>
      </w:pPr>
      <w:bookmarkStart w:id="229" w:name="_Toc5211_WPSOffice_Level1"/>
      <w:r>
        <w:rPr>
          <w:rFonts w:hint="eastAsia" w:ascii="宋体" w:hAnsi="宋体" w:eastAsia="宋体" w:cs="宋体"/>
          <w:color w:val="auto"/>
          <w:szCs w:val="21"/>
          <w:highlight w:val="none"/>
        </w:rPr>
        <w:t>六、争议的解决</w:t>
      </w:r>
      <w:bookmarkEnd w:id="22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因本保函发生的纠纷，由你我双方协商解决，协商不成的，通过诉讼程序解决，诉讼管辖地法院为法院。</w:t>
      </w:r>
    </w:p>
    <w:p>
      <w:pPr>
        <w:spacing w:line="360" w:lineRule="auto"/>
        <w:ind w:firstLine="420" w:firstLineChars="200"/>
        <w:rPr>
          <w:rFonts w:hint="eastAsia" w:ascii="宋体" w:hAnsi="宋体" w:eastAsia="宋体" w:cs="宋体"/>
          <w:color w:val="auto"/>
          <w:szCs w:val="21"/>
          <w:highlight w:val="none"/>
        </w:rPr>
      </w:pPr>
      <w:bookmarkStart w:id="230" w:name="_Toc20252_WPSOffice_Level1"/>
      <w:r>
        <w:rPr>
          <w:rFonts w:hint="eastAsia" w:ascii="宋体" w:hAnsi="宋体" w:eastAsia="宋体" w:cs="宋体"/>
          <w:color w:val="auto"/>
          <w:szCs w:val="21"/>
          <w:highlight w:val="none"/>
        </w:rPr>
        <w:t>七、保函的生效</w:t>
      </w:r>
      <w:bookmarkEnd w:id="23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本保函自我方加盖公章之日起生效。</w:t>
      </w:r>
    </w:p>
    <w:p>
      <w:pPr>
        <w:spacing w:line="360" w:lineRule="auto"/>
        <w:rPr>
          <w:rFonts w:hint="eastAsia" w:ascii="宋体" w:hAnsi="宋体" w:eastAsia="宋体" w:cs="宋体"/>
          <w:color w:val="auto"/>
          <w:szCs w:val="21"/>
          <w:highlight w:val="none"/>
        </w:rPr>
      </w:pPr>
    </w:p>
    <w:p>
      <w:pPr>
        <w:spacing w:line="360" w:lineRule="auto"/>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231" w:name="_Toc4891_WPSOffice_Level1"/>
      <w:r>
        <w:rPr>
          <w:rFonts w:hint="eastAsia" w:ascii="宋体" w:hAnsi="宋体" w:eastAsia="宋体" w:cs="宋体"/>
          <w:b/>
          <w:bCs/>
          <w:color w:val="auto"/>
          <w:szCs w:val="21"/>
          <w:highlight w:val="none"/>
        </w:rPr>
        <w:t>附件2：政府采购供应商质疑函范本</w:t>
      </w:r>
      <w:bookmarkEnd w:id="231"/>
    </w:p>
    <w:p>
      <w:pPr>
        <w:jc w:val="center"/>
        <w:rPr>
          <w:rFonts w:hint="eastAsia" w:ascii="宋体" w:hAnsi="宋体" w:eastAsia="宋体" w:cs="宋体"/>
          <w:b/>
          <w:bCs/>
          <w:color w:val="auto"/>
          <w:szCs w:val="21"/>
          <w:highlight w:val="none"/>
        </w:rPr>
      </w:pPr>
      <w:bookmarkStart w:id="232" w:name="_Toc31945_WPSOffice_Level1"/>
      <w:r>
        <w:rPr>
          <w:rFonts w:hint="eastAsia" w:ascii="宋体" w:hAnsi="宋体" w:eastAsia="宋体" w:cs="宋体"/>
          <w:b/>
          <w:bCs/>
          <w:color w:val="auto"/>
          <w:szCs w:val="21"/>
          <w:highlight w:val="none"/>
        </w:rPr>
        <w:t>质疑函范本</w:t>
      </w:r>
      <w:bookmarkEnd w:id="232"/>
    </w:p>
    <w:p>
      <w:pPr>
        <w:adjustRightInd w:val="0"/>
        <w:snapToGrid w:val="0"/>
        <w:spacing w:before="319" w:beforeLines="100"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一、质疑供应商基本信息</w:t>
      </w:r>
    </w:p>
    <w:p>
      <w:pPr>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地址：邮编：</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联系人：联系电话：</w:t>
      </w:r>
    </w:p>
    <w:p>
      <w:pPr>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邮编：</w:t>
      </w: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二、质疑项目基本情况</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质疑项目的编号：包号：</w:t>
      </w:r>
    </w:p>
    <w:p>
      <w:pPr>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pPr>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p>
    <w:p>
      <w:pPr>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p>
    <w:p>
      <w:pPr>
        <w:adjustRightInd w:val="0"/>
        <w:snapToGrid w:val="0"/>
        <w:spacing w:line="360" w:lineRule="auto"/>
        <w:rPr>
          <w:rFonts w:hint="eastAsia" w:ascii="宋体" w:hAnsi="宋体" w:eastAsia="宋体" w:cs="宋体"/>
          <w:color w:val="auto"/>
          <w:szCs w:val="21"/>
          <w:highlight w:val="none"/>
          <w:u w:val="dotted"/>
        </w:rPr>
      </w:pPr>
    </w:p>
    <w:p>
      <w:pPr>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四、与质疑事项相关的质疑请求</w:t>
      </w:r>
    </w:p>
    <w:p>
      <w:pPr>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签字(签章)：                   公章：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日期：    </w:t>
      </w:r>
    </w:p>
    <w:p>
      <w:pPr>
        <w:spacing w:line="360" w:lineRule="auto"/>
        <w:jc w:val="center"/>
        <w:rPr>
          <w:rFonts w:hint="eastAsia" w:ascii="宋体" w:hAnsi="宋体" w:eastAsia="宋体" w:cs="宋体"/>
          <w:b/>
          <w:bCs/>
          <w:color w:val="auto"/>
          <w:szCs w:val="21"/>
          <w:highlight w:val="none"/>
        </w:rPr>
      </w:pP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质疑函制作说明：</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pPr>
        <w:rPr>
          <w:rFonts w:hint="eastAsia" w:ascii="宋体" w:hAnsi="宋体" w:eastAsia="宋体" w:cs="宋体"/>
          <w:color w:val="auto"/>
          <w:highlight w:val="none"/>
        </w:rPr>
      </w:pPr>
    </w:p>
    <w:p>
      <w:pPr>
        <w:spacing w:line="360" w:lineRule="auto"/>
        <w:rPr>
          <w:rFonts w:hint="eastAsia" w:ascii="宋体" w:hAnsi="宋体" w:eastAsia="宋体" w:cs="宋体"/>
          <w:color w:val="auto"/>
          <w:szCs w:val="21"/>
          <w:highlight w:val="none"/>
        </w:rPr>
      </w:pPr>
    </w:p>
    <w:p>
      <w:pPr>
        <w:widowControl/>
        <w:jc w:val="left"/>
        <w:rPr>
          <w:rFonts w:hint="eastAsia" w:ascii="宋体" w:hAnsi="宋体" w:eastAsia="宋体" w:cs="宋体"/>
          <w:color w:val="auto"/>
          <w:kern w:val="0"/>
          <w:sz w:val="20"/>
          <w:szCs w:val="20"/>
          <w:highlight w:val="none"/>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Times">
    <w:altName w:val="Times New Roman"/>
    <w:panose1 w:val="02020603050405020304"/>
    <w:charset w:val="00"/>
    <w:family w:val="roman"/>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21"/>
                            <w:rPr>
                              <w:rFonts w:eastAsia="宋体"/>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7456;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fTQJHNQIAAGE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F9NAkc1AgAAYQQAAA4AAAAAAAAAAQAgAAAAIAEAAGRycy9lMm9Eb2MueG1s&#10;UEsFBgAAAAAGAAYAWQEAAMcFAAAAAA==&#10;">
              <v:fill on="f" focussize="0,0"/>
              <v:stroke on="f" weight="0.5pt"/>
              <v:imagedata o:title=""/>
              <o:lock v:ext="edit" aspectratio="f"/>
              <v:textbox inset="0mm,0mm,0mm,0mm" style="mso-fit-shape-to-text:t;">
                <w:txbxContent>
                  <w:p>
                    <w:pPr>
                      <w:pStyle w:val="21"/>
                      <w:rPr>
                        <w:rFonts w:eastAsia="宋体"/>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8727524"/>
    </w:sdtPr>
    <w:sdtContent>
      <w:p>
        <w:pPr>
          <w:pStyle w:val="21"/>
          <w:ind w:firstLine="360"/>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F204"/>
    <w:multiLevelType w:val="singleLevel"/>
    <w:tmpl w:val="9729F204"/>
    <w:lvl w:ilvl="0" w:tentative="0">
      <w:start w:val="1"/>
      <w:numFmt w:val="decimal"/>
      <w:lvlText w:val="%1."/>
      <w:lvlJc w:val="left"/>
      <w:pPr>
        <w:tabs>
          <w:tab w:val="left" w:pos="312"/>
        </w:tabs>
      </w:pPr>
    </w:lvl>
  </w:abstractNum>
  <w:abstractNum w:abstractNumId="1">
    <w:nsid w:val="C9C4209A"/>
    <w:multiLevelType w:val="multilevel"/>
    <w:tmpl w:val="C9C4209A"/>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黑体" w:cs="宋体"/>
      </w:rPr>
    </w:lvl>
    <w:lvl w:ilvl="2" w:tentative="0">
      <w:start w:val="1"/>
      <w:numFmt w:val="decimal"/>
      <w:lvlText w:val="%1.%2.%3."/>
      <w:lvlJc w:val="left"/>
      <w:pPr>
        <w:ind w:left="709" w:hanging="709"/>
      </w:pPr>
      <w:rPr>
        <w:rFonts w:hint="default" w:ascii="宋体" w:hAnsi="宋体" w:eastAsia="黑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pStyle w:val="115"/>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ascii="宋体" w:hAnsi="宋体" w:eastAsia="宋体" w:cs="宋体"/>
      </w:rPr>
    </w:lvl>
    <w:lvl w:ilvl="6" w:tentative="0">
      <w:start w:val="1"/>
      <w:numFmt w:val="decimal"/>
      <w:lvlText w:val="%1.%2.%3.%4.%5.%6.%7."/>
      <w:lvlJc w:val="left"/>
      <w:pPr>
        <w:ind w:left="1275" w:hanging="1275"/>
      </w:pPr>
      <w:rPr>
        <w:rFonts w:hint="default" w:ascii="宋体" w:hAnsi="宋体" w:eastAsia="宋体" w:cs="宋体"/>
      </w:rPr>
    </w:lvl>
    <w:lvl w:ilvl="7" w:tentative="0">
      <w:start w:val="1"/>
      <w:numFmt w:val="decimal"/>
      <w:lvlText w:val="%1.%2.%3.%4.%5.%6.%7.%8."/>
      <w:lvlJc w:val="left"/>
      <w:pPr>
        <w:ind w:left="1418" w:hanging="1418"/>
      </w:pPr>
      <w:rPr>
        <w:rFonts w:hint="default" w:ascii="宋体" w:hAnsi="宋体" w:eastAsia="宋体" w:cs="宋体"/>
      </w:rPr>
    </w:lvl>
    <w:lvl w:ilvl="8" w:tentative="0">
      <w:start w:val="1"/>
      <w:numFmt w:val="decimal"/>
      <w:lvlText w:val="%1.%2.%3.%4.%5.%6.%7.%8.%9."/>
      <w:lvlJc w:val="left"/>
      <w:pPr>
        <w:ind w:left="1558" w:hanging="1558"/>
      </w:pPr>
      <w:rPr>
        <w:rFonts w:hint="default" w:ascii="宋体" w:hAnsi="宋体" w:eastAsia="宋体" w:cs="宋体"/>
      </w:rPr>
    </w:lvl>
  </w:abstractNum>
  <w:abstractNum w:abstractNumId="2">
    <w:nsid w:val="CB562EF3"/>
    <w:multiLevelType w:val="singleLevel"/>
    <w:tmpl w:val="CB562EF3"/>
    <w:lvl w:ilvl="0" w:tentative="0">
      <w:start w:val="1"/>
      <w:numFmt w:val="decimal"/>
      <w:suff w:val="nothing"/>
      <w:lvlText w:val="%1、"/>
      <w:lvlJc w:val="left"/>
    </w:lvl>
  </w:abstractNum>
  <w:abstractNum w:abstractNumId="3">
    <w:nsid w:val="0A494028"/>
    <w:multiLevelType w:val="multilevel"/>
    <w:tmpl w:val="0A4940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5D123A"/>
    <w:multiLevelType w:val="multilevel"/>
    <w:tmpl w:val="0B5D12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E8E525"/>
    <w:multiLevelType w:val="singleLevel"/>
    <w:tmpl w:val="27E8E525"/>
    <w:lvl w:ilvl="0" w:tentative="0">
      <w:start w:val="1"/>
      <w:numFmt w:val="decimal"/>
      <w:suff w:val="nothing"/>
      <w:lvlText w:val="（%1）"/>
      <w:lvlJc w:val="left"/>
    </w:lvl>
  </w:abstractNum>
  <w:abstractNum w:abstractNumId="7">
    <w:nsid w:val="358F7A7C"/>
    <w:multiLevelType w:val="multilevel"/>
    <w:tmpl w:val="358F7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0C153B"/>
    <w:multiLevelType w:val="multilevel"/>
    <w:tmpl w:val="420C153B"/>
    <w:lvl w:ilvl="0" w:tentative="0">
      <w:start w:val="1"/>
      <w:numFmt w:val="decimal"/>
      <w:pStyle w:val="6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4353748C"/>
    <w:multiLevelType w:val="singleLevel"/>
    <w:tmpl w:val="4353748C"/>
    <w:lvl w:ilvl="0" w:tentative="0">
      <w:start w:val="2"/>
      <w:numFmt w:val="decimal"/>
      <w:suff w:val="nothing"/>
      <w:lvlText w:val="%1、"/>
      <w:lvlJc w:val="left"/>
    </w:lvl>
  </w:abstractNum>
  <w:abstractNum w:abstractNumId="10">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E97050F"/>
    <w:multiLevelType w:val="singleLevel"/>
    <w:tmpl w:val="4E97050F"/>
    <w:lvl w:ilvl="0" w:tentative="0">
      <w:start w:val="2"/>
      <w:numFmt w:val="decimal"/>
      <w:suff w:val="nothing"/>
      <w:lvlText w:val="%1、"/>
      <w:lvlJc w:val="left"/>
    </w:lvl>
  </w:abstractNum>
  <w:abstractNum w:abstractNumId="12">
    <w:nsid w:val="53410078"/>
    <w:multiLevelType w:val="singleLevel"/>
    <w:tmpl w:val="53410078"/>
    <w:lvl w:ilvl="0" w:tentative="0">
      <w:start w:val="1"/>
      <w:numFmt w:val="decimal"/>
      <w:suff w:val="space"/>
      <w:lvlText w:val="%1."/>
      <w:lvlJc w:val="left"/>
    </w:lvl>
  </w:abstractNum>
  <w:abstractNum w:abstractNumId="13">
    <w:nsid w:val="5C322488"/>
    <w:multiLevelType w:val="multilevel"/>
    <w:tmpl w:val="5C3224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1F94B54"/>
    <w:multiLevelType w:val="multilevel"/>
    <w:tmpl w:val="61F94B54"/>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563D4D7"/>
    <w:multiLevelType w:val="singleLevel"/>
    <w:tmpl w:val="6563D4D7"/>
    <w:lvl w:ilvl="0" w:tentative="0">
      <w:start w:val="4"/>
      <w:numFmt w:val="chineseCounting"/>
      <w:suff w:val="space"/>
      <w:lvlText w:val="第%1条"/>
      <w:lvlJc w:val="left"/>
      <w:rPr>
        <w:rFonts w:hint="eastAsia"/>
      </w:rPr>
    </w:lvl>
  </w:abstractNum>
  <w:abstractNum w:abstractNumId="16">
    <w:nsid w:val="673827CD"/>
    <w:multiLevelType w:val="multilevel"/>
    <w:tmpl w:val="673827CD"/>
    <w:lvl w:ilvl="0" w:tentative="0">
      <w:start w:val="1"/>
      <w:numFmt w:val="chineseCountingThousand"/>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7">
    <w:nsid w:val="673827E3"/>
    <w:multiLevelType w:val="multilevel"/>
    <w:tmpl w:val="673827E3"/>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8">
    <w:nsid w:val="673827F9"/>
    <w:multiLevelType w:val="multilevel"/>
    <w:tmpl w:val="673827F9"/>
    <w:lvl w:ilvl="0" w:tentative="0">
      <w:start w:val="1"/>
      <w:numFmt w:val="decimal"/>
      <w:lvlText w:val="%1."/>
      <w:lvlJc w:val="left"/>
      <w:pPr>
        <w:ind w:left="420" w:hanging="420"/>
      </w:pPr>
      <w:rPr>
        <w:rFonts w:hint="eastAsia" w:ascii="宋体" w:hAnsi="宋体" w:eastAsia="宋体"/>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9">
    <w:nsid w:val="682D60D7"/>
    <w:multiLevelType w:val="multilevel"/>
    <w:tmpl w:val="682D6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6778866"/>
    <w:multiLevelType w:val="multilevel"/>
    <w:tmpl w:val="76778866"/>
    <w:lvl w:ilvl="0" w:tentative="0">
      <w:start w:val="8"/>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1">
    <w:nsid w:val="7B4156D0"/>
    <w:multiLevelType w:val="singleLevel"/>
    <w:tmpl w:val="7B4156D0"/>
    <w:lvl w:ilvl="0" w:tentative="0">
      <w:start w:val="1"/>
      <w:numFmt w:val="decimal"/>
      <w:suff w:val="nothing"/>
      <w:lvlText w:val="（%1）"/>
      <w:lvlJc w:val="left"/>
    </w:lvl>
  </w:abstractNum>
  <w:abstractNum w:abstractNumId="22">
    <w:nsid w:val="7F052ADE"/>
    <w:multiLevelType w:val="multilevel"/>
    <w:tmpl w:val="7F052ADE"/>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22"/>
  </w:num>
  <w:num w:numId="4">
    <w:abstractNumId w:val="20"/>
  </w:num>
  <w:num w:numId="5">
    <w:abstractNumId w:val="10"/>
  </w:num>
  <w:num w:numId="6">
    <w:abstractNumId w:val="11"/>
  </w:num>
  <w:num w:numId="7">
    <w:abstractNumId w:val="2"/>
  </w:num>
  <w:num w:numId="8">
    <w:abstractNumId w:val="9"/>
  </w:num>
  <w:num w:numId="9">
    <w:abstractNumId w:val="6"/>
  </w:num>
  <w:num w:numId="10">
    <w:abstractNumId w:val="21"/>
  </w:num>
  <w:num w:numId="11">
    <w:abstractNumId w:val="4"/>
  </w:num>
  <w:num w:numId="12">
    <w:abstractNumId w:val="0"/>
  </w:num>
  <w:num w:numId="13">
    <w:abstractNumId w:val="15"/>
  </w:num>
  <w:num w:numId="14">
    <w:abstractNumId w:val="19"/>
  </w:num>
  <w:num w:numId="15">
    <w:abstractNumId w:val="13"/>
  </w:num>
  <w:num w:numId="16">
    <w:abstractNumId w:val="7"/>
  </w:num>
  <w:num w:numId="17">
    <w:abstractNumId w:val="5"/>
  </w:num>
  <w:num w:numId="18">
    <w:abstractNumId w:val="12"/>
  </w:num>
  <w:num w:numId="19">
    <w:abstractNumId w:val="3"/>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A2"/>
    <w:rsid w:val="0000591A"/>
    <w:rsid w:val="00020B8D"/>
    <w:rsid w:val="00100FA2"/>
    <w:rsid w:val="00101FD3"/>
    <w:rsid w:val="00291DD2"/>
    <w:rsid w:val="00334621"/>
    <w:rsid w:val="00686C19"/>
    <w:rsid w:val="0077349E"/>
    <w:rsid w:val="007C1001"/>
    <w:rsid w:val="007E1506"/>
    <w:rsid w:val="00C456A6"/>
    <w:rsid w:val="00E2360C"/>
    <w:rsid w:val="01B2515D"/>
    <w:rsid w:val="02311DAF"/>
    <w:rsid w:val="027A3F9F"/>
    <w:rsid w:val="035F18B8"/>
    <w:rsid w:val="03BA3111"/>
    <w:rsid w:val="03D548F2"/>
    <w:rsid w:val="041B27A9"/>
    <w:rsid w:val="04C7601C"/>
    <w:rsid w:val="05E2077F"/>
    <w:rsid w:val="05E46539"/>
    <w:rsid w:val="069F6C6D"/>
    <w:rsid w:val="075B6F6E"/>
    <w:rsid w:val="07C86D9E"/>
    <w:rsid w:val="08052D53"/>
    <w:rsid w:val="08133301"/>
    <w:rsid w:val="081333B0"/>
    <w:rsid w:val="0890752B"/>
    <w:rsid w:val="08DF1986"/>
    <w:rsid w:val="08EA7296"/>
    <w:rsid w:val="08EC567E"/>
    <w:rsid w:val="09011119"/>
    <w:rsid w:val="093A62A9"/>
    <w:rsid w:val="097926AC"/>
    <w:rsid w:val="09814968"/>
    <w:rsid w:val="09D41C4E"/>
    <w:rsid w:val="0B6D0ACF"/>
    <w:rsid w:val="0B712B2B"/>
    <w:rsid w:val="0B752788"/>
    <w:rsid w:val="0C773549"/>
    <w:rsid w:val="0C782919"/>
    <w:rsid w:val="0CBD16F5"/>
    <w:rsid w:val="0D222803"/>
    <w:rsid w:val="0D8F5338"/>
    <w:rsid w:val="0DA23206"/>
    <w:rsid w:val="0EEA7B1E"/>
    <w:rsid w:val="0F3F507F"/>
    <w:rsid w:val="0FBE3E0A"/>
    <w:rsid w:val="10292F4E"/>
    <w:rsid w:val="11271BC8"/>
    <w:rsid w:val="115621B2"/>
    <w:rsid w:val="129C2D33"/>
    <w:rsid w:val="12B63B65"/>
    <w:rsid w:val="12D25BBD"/>
    <w:rsid w:val="130B4D03"/>
    <w:rsid w:val="131E2669"/>
    <w:rsid w:val="13893C35"/>
    <w:rsid w:val="13BA15EE"/>
    <w:rsid w:val="13C14B90"/>
    <w:rsid w:val="14DF3F63"/>
    <w:rsid w:val="14E659BE"/>
    <w:rsid w:val="151521D7"/>
    <w:rsid w:val="16CB2363"/>
    <w:rsid w:val="171779BA"/>
    <w:rsid w:val="17492AC4"/>
    <w:rsid w:val="18523560"/>
    <w:rsid w:val="185A1754"/>
    <w:rsid w:val="189E4B59"/>
    <w:rsid w:val="1AD70BF6"/>
    <w:rsid w:val="1B1D3C4A"/>
    <w:rsid w:val="1BDA20F9"/>
    <w:rsid w:val="1BF204E8"/>
    <w:rsid w:val="1C452D17"/>
    <w:rsid w:val="1C58538F"/>
    <w:rsid w:val="1C741B17"/>
    <w:rsid w:val="1C9E16D9"/>
    <w:rsid w:val="1D675D2C"/>
    <w:rsid w:val="1DA840F4"/>
    <w:rsid w:val="1DF91C5D"/>
    <w:rsid w:val="1E4D2B6B"/>
    <w:rsid w:val="1F660054"/>
    <w:rsid w:val="1F9E6934"/>
    <w:rsid w:val="1FA57CAA"/>
    <w:rsid w:val="1FEC592A"/>
    <w:rsid w:val="20486D71"/>
    <w:rsid w:val="2076460D"/>
    <w:rsid w:val="20AB595E"/>
    <w:rsid w:val="21DA10AB"/>
    <w:rsid w:val="222422CE"/>
    <w:rsid w:val="22B87E51"/>
    <w:rsid w:val="23E37923"/>
    <w:rsid w:val="24215C55"/>
    <w:rsid w:val="247322A8"/>
    <w:rsid w:val="254937C6"/>
    <w:rsid w:val="260E5C4E"/>
    <w:rsid w:val="26425286"/>
    <w:rsid w:val="267A7F78"/>
    <w:rsid w:val="27235F60"/>
    <w:rsid w:val="27F368F6"/>
    <w:rsid w:val="29A41709"/>
    <w:rsid w:val="2AC51304"/>
    <w:rsid w:val="2C233D76"/>
    <w:rsid w:val="2D686211"/>
    <w:rsid w:val="2E1867B0"/>
    <w:rsid w:val="2E360A56"/>
    <w:rsid w:val="2F89090C"/>
    <w:rsid w:val="32974E8F"/>
    <w:rsid w:val="32C8395E"/>
    <w:rsid w:val="330D179A"/>
    <w:rsid w:val="334873B2"/>
    <w:rsid w:val="33A0495D"/>
    <w:rsid w:val="34845996"/>
    <w:rsid w:val="34A5186D"/>
    <w:rsid w:val="35233318"/>
    <w:rsid w:val="3589045C"/>
    <w:rsid w:val="359A18A0"/>
    <w:rsid w:val="35DF542C"/>
    <w:rsid w:val="36275838"/>
    <w:rsid w:val="36CC64FD"/>
    <w:rsid w:val="37483FA8"/>
    <w:rsid w:val="37B25C6C"/>
    <w:rsid w:val="381C5822"/>
    <w:rsid w:val="382C359E"/>
    <w:rsid w:val="389F5C04"/>
    <w:rsid w:val="38DC3901"/>
    <w:rsid w:val="39AF7671"/>
    <w:rsid w:val="3A282BC0"/>
    <w:rsid w:val="3B3F4A55"/>
    <w:rsid w:val="3B825AC9"/>
    <w:rsid w:val="3B932F5B"/>
    <w:rsid w:val="3BA77254"/>
    <w:rsid w:val="3BF17ADA"/>
    <w:rsid w:val="3C6253C0"/>
    <w:rsid w:val="3C72350D"/>
    <w:rsid w:val="3CB43221"/>
    <w:rsid w:val="3DED7A7E"/>
    <w:rsid w:val="3E2176ED"/>
    <w:rsid w:val="3E847EBF"/>
    <w:rsid w:val="3EB92D04"/>
    <w:rsid w:val="3FC7597D"/>
    <w:rsid w:val="400D73F1"/>
    <w:rsid w:val="42913715"/>
    <w:rsid w:val="42DA3FBF"/>
    <w:rsid w:val="42EC6DA4"/>
    <w:rsid w:val="43090E05"/>
    <w:rsid w:val="435427DA"/>
    <w:rsid w:val="440F2A1E"/>
    <w:rsid w:val="44211BDA"/>
    <w:rsid w:val="4429305F"/>
    <w:rsid w:val="446F2D7F"/>
    <w:rsid w:val="449D58B2"/>
    <w:rsid w:val="450F4ED9"/>
    <w:rsid w:val="45236FC4"/>
    <w:rsid w:val="459364D7"/>
    <w:rsid w:val="460A3878"/>
    <w:rsid w:val="46435EC3"/>
    <w:rsid w:val="474E1689"/>
    <w:rsid w:val="47C86610"/>
    <w:rsid w:val="47D772EC"/>
    <w:rsid w:val="480A7DD2"/>
    <w:rsid w:val="48B15810"/>
    <w:rsid w:val="4B357440"/>
    <w:rsid w:val="4BA76509"/>
    <w:rsid w:val="4C047CA4"/>
    <w:rsid w:val="4C0811B5"/>
    <w:rsid w:val="4C1C5E05"/>
    <w:rsid w:val="4CAF311B"/>
    <w:rsid w:val="4CC82F57"/>
    <w:rsid w:val="4DA41390"/>
    <w:rsid w:val="4E0122BA"/>
    <w:rsid w:val="4E186699"/>
    <w:rsid w:val="4E386EBC"/>
    <w:rsid w:val="4F4408E7"/>
    <w:rsid w:val="4FBB415B"/>
    <w:rsid w:val="4FE13D5B"/>
    <w:rsid w:val="50065C8C"/>
    <w:rsid w:val="50900E23"/>
    <w:rsid w:val="51270A3B"/>
    <w:rsid w:val="5148077A"/>
    <w:rsid w:val="524F38F6"/>
    <w:rsid w:val="52605DEA"/>
    <w:rsid w:val="527A13B1"/>
    <w:rsid w:val="527E04AA"/>
    <w:rsid w:val="533D1A57"/>
    <w:rsid w:val="54054B4E"/>
    <w:rsid w:val="542A69B0"/>
    <w:rsid w:val="54AA2A4A"/>
    <w:rsid w:val="54B90F7D"/>
    <w:rsid w:val="54EE2575"/>
    <w:rsid w:val="55B41744"/>
    <w:rsid w:val="55E14CBB"/>
    <w:rsid w:val="56006927"/>
    <w:rsid w:val="56062AA5"/>
    <w:rsid w:val="56711088"/>
    <w:rsid w:val="569F28C1"/>
    <w:rsid w:val="57786F93"/>
    <w:rsid w:val="58AF5182"/>
    <w:rsid w:val="58CB4319"/>
    <w:rsid w:val="58E52E45"/>
    <w:rsid w:val="59037291"/>
    <w:rsid w:val="59265548"/>
    <w:rsid w:val="5B1F17AE"/>
    <w:rsid w:val="5BF062E2"/>
    <w:rsid w:val="5CA5591F"/>
    <w:rsid w:val="5CFF3F21"/>
    <w:rsid w:val="5DB83089"/>
    <w:rsid w:val="5E161A5E"/>
    <w:rsid w:val="5E6246E0"/>
    <w:rsid w:val="5E9D7A1D"/>
    <w:rsid w:val="5EFA2A44"/>
    <w:rsid w:val="5F4408D8"/>
    <w:rsid w:val="601D3ACE"/>
    <w:rsid w:val="60BC412F"/>
    <w:rsid w:val="60C42960"/>
    <w:rsid w:val="60E14EBC"/>
    <w:rsid w:val="61AB6B38"/>
    <w:rsid w:val="61EF0928"/>
    <w:rsid w:val="62704656"/>
    <w:rsid w:val="62AB761A"/>
    <w:rsid w:val="635516FA"/>
    <w:rsid w:val="636510AF"/>
    <w:rsid w:val="63C557FC"/>
    <w:rsid w:val="63CE5930"/>
    <w:rsid w:val="645F39BD"/>
    <w:rsid w:val="64EE6A20"/>
    <w:rsid w:val="650E3E71"/>
    <w:rsid w:val="65ED6E86"/>
    <w:rsid w:val="67185EF7"/>
    <w:rsid w:val="67404ED5"/>
    <w:rsid w:val="68F6645B"/>
    <w:rsid w:val="69EF7FDC"/>
    <w:rsid w:val="6A683F96"/>
    <w:rsid w:val="6B250CDA"/>
    <w:rsid w:val="6B2736C2"/>
    <w:rsid w:val="6B3077F9"/>
    <w:rsid w:val="6C072141"/>
    <w:rsid w:val="6C2301E6"/>
    <w:rsid w:val="6C5117FC"/>
    <w:rsid w:val="6DEA2018"/>
    <w:rsid w:val="6E381140"/>
    <w:rsid w:val="6E580287"/>
    <w:rsid w:val="6EE33421"/>
    <w:rsid w:val="6EF91FC5"/>
    <w:rsid w:val="6F827C3D"/>
    <w:rsid w:val="6FED62BD"/>
    <w:rsid w:val="704A3603"/>
    <w:rsid w:val="70A77707"/>
    <w:rsid w:val="70C84247"/>
    <w:rsid w:val="70F96057"/>
    <w:rsid w:val="72621C35"/>
    <w:rsid w:val="72A16CE8"/>
    <w:rsid w:val="73000EAC"/>
    <w:rsid w:val="73DF045D"/>
    <w:rsid w:val="74650BC1"/>
    <w:rsid w:val="749660A2"/>
    <w:rsid w:val="75022074"/>
    <w:rsid w:val="75B46517"/>
    <w:rsid w:val="75DF2B0E"/>
    <w:rsid w:val="75F10864"/>
    <w:rsid w:val="769C2B22"/>
    <w:rsid w:val="76B27DFF"/>
    <w:rsid w:val="77812C3F"/>
    <w:rsid w:val="778900B9"/>
    <w:rsid w:val="77CE48A2"/>
    <w:rsid w:val="7925254E"/>
    <w:rsid w:val="794B482C"/>
    <w:rsid w:val="79507FFB"/>
    <w:rsid w:val="79516757"/>
    <w:rsid w:val="795962DF"/>
    <w:rsid w:val="79651846"/>
    <w:rsid w:val="79C168F2"/>
    <w:rsid w:val="79DB4F46"/>
    <w:rsid w:val="7A1C07A1"/>
    <w:rsid w:val="7A2F0BD7"/>
    <w:rsid w:val="7B8A523B"/>
    <w:rsid w:val="7BC815C5"/>
    <w:rsid w:val="7BF2B4E2"/>
    <w:rsid w:val="7D313B3C"/>
    <w:rsid w:val="7DC86808"/>
    <w:rsid w:val="7EFB5F84"/>
    <w:rsid w:val="7F267442"/>
    <w:rsid w:val="7F5659F0"/>
    <w:rsid w:val="7F82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1"/>
      <w:szCs w:val="24"/>
      <w:lang w:val="en-US" w:eastAsia="zh-CN" w:bidi="ar-SA"/>
    </w:rPr>
  </w:style>
  <w:style w:type="paragraph" w:styleId="4">
    <w:name w:val="heading 1"/>
    <w:basedOn w:val="1"/>
    <w:next w:val="1"/>
    <w:link w:val="87"/>
    <w:qFormat/>
    <w:uiPriority w:val="0"/>
    <w:pPr>
      <w:keepNext/>
      <w:keepLines/>
      <w:spacing w:before="120" w:after="120"/>
      <w:jc w:val="center"/>
      <w:outlineLvl w:val="0"/>
    </w:pPr>
    <w:rPr>
      <w:b/>
      <w:kern w:val="44"/>
      <w:sz w:val="44"/>
    </w:rPr>
  </w:style>
  <w:style w:type="paragraph" w:styleId="5">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6">
    <w:name w:val="heading 3"/>
    <w:basedOn w:val="1"/>
    <w:next w:val="1"/>
    <w:link w:val="48"/>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outlineLvl w:val="3"/>
    </w:pPr>
    <w:rPr>
      <w:rFonts w:ascii="Arial" w:hAnsi="Arial" w:eastAsia="黑体"/>
      <w:bCs/>
      <w:kern w:val="0"/>
      <w:sz w:val="24"/>
      <w:szCs w:val="28"/>
    </w:rPr>
  </w:style>
  <w:style w:type="paragraph" w:styleId="8">
    <w:name w:val="heading 5"/>
    <w:basedOn w:val="1"/>
    <w:next w:val="1"/>
    <w:link w:val="50"/>
    <w:qFormat/>
    <w:uiPriority w:val="0"/>
    <w:pPr>
      <w:keepNext/>
      <w:keepLines/>
      <w:spacing w:before="280" w:after="290" w:line="376" w:lineRule="auto"/>
      <w:outlineLvl w:val="4"/>
    </w:pPr>
    <w:rPr>
      <w:b/>
      <w:bCs/>
      <w:sz w:val="28"/>
      <w:szCs w:val="28"/>
    </w:rPr>
  </w:style>
  <w:style w:type="paragraph" w:styleId="9">
    <w:name w:val="heading 6"/>
    <w:basedOn w:val="1"/>
    <w:next w:val="1"/>
    <w:link w:val="54"/>
    <w:qFormat/>
    <w:uiPriority w:val="0"/>
    <w:pPr>
      <w:keepNext/>
      <w:keepLines/>
      <w:spacing w:before="240" w:after="64" w:line="320" w:lineRule="auto"/>
      <w:outlineLvl w:val="5"/>
    </w:pPr>
    <w:rPr>
      <w:rFonts w:ascii="Calibri Light" w:hAnsi="Calibri Light" w:eastAsia="宋体"/>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line="360" w:lineRule="auto"/>
    </w:pPr>
    <w:rPr>
      <w:szCs w:val="20"/>
    </w:rPr>
  </w:style>
  <w:style w:type="paragraph" w:customStyle="1" w:styleId="3">
    <w:name w:val="_Style 2"/>
    <w:basedOn w:val="1"/>
    <w:qFormat/>
    <w:uiPriority w:val="0"/>
    <w:pPr>
      <w:ind w:firstLine="200" w:firstLineChars="200"/>
    </w:pPr>
    <w:rPr>
      <w:rFonts w:ascii="Calibri" w:hAnsi="Calibri"/>
      <w:sz w:val="28"/>
    </w:rPr>
  </w:style>
  <w:style w:type="paragraph" w:styleId="10">
    <w:name w:val="Normal Indent"/>
    <w:basedOn w:val="1"/>
    <w:next w:val="1"/>
    <w:link w:val="51"/>
    <w:unhideWhenUsed/>
    <w:qFormat/>
    <w:uiPriority w:val="0"/>
    <w:pPr>
      <w:ind w:firstLine="420"/>
    </w:pPr>
    <w:rPr>
      <w:szCs w:val="20"/>
    </w:rPr>
  </w:style>
  <w:style w:type="paragraph" w:styleId="11">
    <w:name w:val="caption"/>
    <w:basedOn w:val="1"/>
    <w:next w:val="1"/>
    <w:link w:val="84"/>
    <w:unhideWhenUsed/>
    <w:qFormat/>
    <w:uiPriority w:val="0"/>
    <w:rPr>
      <w:rFonts w:eastAsia="黑体" w:asciiTheme="majorHAnsi" w:hAnsiTheme="majorHAnsi" w:cstheme="majorBidi"/>
      <w:sz w:val="20"/>
      <w:szCs w:val="20"/>
    </w:rPr>
  </w:style>
  <w:style w:type="paragraph" w:styleId="12">
    <w:name w:val="annotation text"/>
    <w:basedOn w:val="1"/>
    <w:link w:val="42"/>
    <w:unhideWhenUsed/>
    <w:qFormat/>
    <w:uiPriority w:val="0"/>
    <w:pPr>
      <w:jc w:val="left"/>
    </w:pPr>
    <w:rPr>
      <w:rFonts w:hint="eastAsia" w:ascii="等线" w:hAnsi="等线" w:eastAsia="等线"/>
      <w:szCs w:val="22"/>
    </w:rPr>
  </w:style>
  <w:style w:type="paragraph" w:styleId="13">
    <w:name w:val="Body Text Indent"/>
    <w:basedOn w:val="1"/>
    <w:next w:val="14"/>
    <w:unhideWhenUsed/>
    <w:qFormat/>
    <w:uiPriority w:val="99"/>
    <w:pPr>
      <w:spacing w:after="120"/>
      <w:ind w:left="420" w:leftChars="200"/>
    </w:pPr>
  </w:style>
  <w:style w:type="paragraph" w:styleId="14">
    <w:name w:val="toc 4"/>
    <w:basedOn w:val="1"/>
    <w:next w:val="1"/>
    <w:qFormat/>
    <w:uiPriority w:val="39"/>
    <w:pPr>
      <w:ind w:left="630"/>
      <w:jc w:val="left"/>
    </w:pPr>
    <w:rPr>
      <w:sz w:val="18"/>
      <w:szCs w:val="18"/>
    </w:rPr>
  </w:style>
  <w:style w:type="paragraph" w:styleId="15">
    <w:name w:val="Block Text"/>
    <w:basedOn w:val="1"/>
    <w:next w:val="1"/>
    <w:qFormat/>
    <w:uiPriority w:val="0"/>
    <w:pPr>
      <w:ind w:left="105" w:right="353" w:firstLine="720"/>
      <w:jc w:val="center"/>
    </w:pPr>
    <w:rPr>
      <w:rFonts w:eastAsia="楷体_GB2312"/>
      <w:sz w:val="24"/>
    </w:rPr>
  </w:style>
  <w:style w:type="paragraph" w:styleId="16">
    <w:name w:val="toc 5"/>
    <w:basedOn w:val="1"/>
    <w:next w:val="1"/>
    <w:unhideWhenUsed/>
    <w:qFormat/>
    <w:uiPriority w:val="0"/>
    <w:pPr>
      <w:ind w:left="840"/>
      <w:jc w:val="left"/>
    </w:pPr>
    <w:rPr>
      <w:sz w:val="18"/>
      <w:szCs w:val="18"/>
    </w:rPr>
  </w:style>
  <w:style w:type="paragraph" w:styleId="17">
    <w:name w:val="toc 3"/>
    <w:basedOn w:val="1"/>
    <w:next w:val="1"/>
    <w:unhideWhenUsed/>
    <w:qFormat/>
    <w:uiPriority w:val="39"/>
    <w:pPr>
      <w:widowControl/>
      <w:spacing w:after="100" w:line="259" w:lineRule="auto"/>
      <w:ind w:left="440"/>
      <w:jc w:val="left"/>
    </w:pPr>
    <w:rPr>
      <w:rFonts w:eastAsia="宋体"/>
      <w:kern w:val="0"/>
      <w:sz w:val="22"/>
      <w:szCs w:val="22"/>
    </w:rPr>
  </w:style>
  <w:style w:type="paragraph" w:styleId="18">
    <w:name w:val="Plain Text"/>
    <w:basedOn w:val="1"/>
    <w:link w:val="46"/>
    <w:qFormat/>
    <w:uiPriority w:val="0"/>
    <w:rPr>
      <w:rFonts w:ascii="宋体" w:hAnsi="Courier New" w:cs="Courier New"/>
      <w:szCs w:val="21"/>
    </w:rPr>
  </w:style>
  <w:style w:type="paragraph" w:styleId="19">
    <w:name w:val="Date"/>
    <w:basedOn w:val="1"/>
    <w:next w:val="1"/>
    <w:link w:val="53"/>
    <w:qFormat/>
    <w:uiPriority w:val="0"/>
    <w:rPr>
      <w:rFonts w:ascii="Times New Roman" w:hAnsi="Times New Roman" w:eastAsia="宋体"/>
      <w:sz w:val="28"/>
      <w:szCs w:val="20"/>
    </w:rPr>
  </w:style>
  <w:style w:type="paragraph" w:styleId="20">
    <w:name w:val="Balloon Text"/>
    <w:basedOn w:val="1"/>
    <w:link w:val="52"/>
    <w:qFormat/>
    <w:uiPriority w:val="99"/>
    <w:rPr>
      <w:sz w:val="18"/>
      <w:szCs w:val="18"/>
    </w:rPr>
  </w:style>
  <w:style w:type="paragraph" w:styleId="21">
    <w:name w:val="footer"/>
    <w:basedOn w:val="1"/>
    <w:link w:val="96"/>
    <w:qFormat/>
    <w:uiPriority w:val="99"/>
    <w:pPr>
      <w:tabs>
        <w:tab w:val="center" w:pos="4153"/>
        <w:tab w:val="right" w:pos="8306"/>
      </w:tabs>
      <w:snapToGrid w:val="0"/>
      <w:jc w:val="left"/>
    </w:pPr>
    <w:rPr>
      <w:sz w:val="18"/>
    </w:rPr>
  </w:style>
  <w:style w:type="paragraph" w:styleId="22">
    <w:name w:val="header"/>
    <w:basedOn w:val="1"/>
    <w:link w:val="7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unhideWhenUsed/>
    <w:qFormat/>
    <w:uiPriority w:val="39"/>
    <w:pPr>
      <w:widowControl/>
      <w:spacing w:after="100" w:line="259" w:lineRule="auto"/>
      <w:jc w:val="left"/>
    </w:pPr>
    <w:rPr>
      <w:rFonts w:eastAsia="宋体"/>
      <w:kern w:val="0"/>
      <w:sz w:val="22"/>
      <w:szCs w:val="22"/>
    </w:rPr>
  </w:style>
  <w:style w:type="paragraph" w:styleId="24">
    <w:name w:val="index heading"/>
    <w:basedOn w:val="1"/>
    <w:next w:val="25"/>
    <w:qFormat/>
    <w:uiPriority w:val="0"/>
    <w:rPr>
      <w:rFonts w:ascii="Times New Roman" w:hAnsi="Times New Roman" w:eastAsia="宋体"/>
      <w:szCs w:val="20"/>
    </w:rPr>
  </w:style>
  <w:style w:type="paragraph" w:styleId="25">
    <w:name w:val="index 1"/>
    <w:basedOn w:val="1"/>
    <w:next w:val="1"/>
    <w:unhideWhenUsed/>
    <w:qFormat/>
    <w:uiPriority w:val="0"/>
  </w:style>
  <w:style w:type="paragraph" w:styleId="26">
    <w:name w:val="footnote text"/>
    <w:basedOn w:val="1"/>
    <w:link w:val="95"/>
    <w:unhideWhenUsed/>
    <w:qFormat/>
    <w:uiPriority w:val="99"/>
    <w:pPr>
      <w:snapToGrid w:val="0"/>
      <w:jc w:val="left"/>
    </w:pPr>
    <w:rPr>
      <w:rFonts w:ascii="仿宋_GB2312" w:hAnsi="新宋体" w:eastAsia="仿宋_GB2312"/>
      <w:sz w:val="18"/>
      <w:szCs w:val="18"/>
    </w:rPr>
  </w:style>
  <w:style w:type="paragraph" w:styleId="27">
    <w:name w:val="toc 2"/>
    <w:basedOn w:val="1"/>
    <w:next w:val="1"/>
    <w:unhideWhenUsed/>
    <w:qFormat/>
    <w:uiPriority w:val="39"/>
    <w:pPr>
      <w:widowControl/>
      <w:spacing w:after="100" w:line="259" w:lineRule="auto"/>
      <w:ind w:left="220"/>
      <w:jc w:val="left"/>
    </w:pPr>
    <w:rPr>
      <w:rFonts w:eastAsia="宋体"/>
      <w:kern w:val="0"/>
      <w:sz w:val="22"/>
      <w:szCs w:val="22"/>
    </w:rPr>
  </w:style>
  <w:style w:type="paragraph" w:styleId="2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9">
    <w:name w:val="Title"/>
    <w:basedOn w:val="1"/>
    <w:next w:val="1"/>
    <w:link w:val="43"/>
    <w:qFormat/>
    <w:uiPriority w:val="10"/>
    <w:pPr>
      <w:spacing w:before="240" w:after="60"/>
      <w:jc w:val="center"/>
      <w:outlineLvl w:val="0"/>
    </w:pPr>
    <w:rPr>
      <w:rFonts w:ascii="Calibri Light" w:hAnsi="Calibri Light" w:eastAsia="宋体"/>
      <w:b/>
      <w:bCs/>
      <w:sz w:val="32"/>
      <w:szCs w:val="32"/>
    </w:rPr>
  </w:style>
  <w:style w:type="paragraph" w:styleId="30">
    <w:name w:val="annotation subject"/>
    <w:basedOn w:val="12"/>
    <w:next w:val="12"/>
    <w:link w:val="47"/>
    <w:unhideWhenUsed/>
    <w:qFormat/>
    <w:uiPriority w:val="99"/>
    <w:rPr>
      <w:b/>
      <w:bCs/>
    </w:rPr>
  </w:style>
  <w:style w:type="paragraph" w:styleId="31">
    <w:name w:val="Body Text First Indent"/>
    <w:basedOn w:val="2"/>
    <w:next w:val="32"/>
    <w:qFormat/>
    <w:uiPriority w:val="0"/>
    <w:pPr>
      <w:spacing w:after="120" w:line="240" w:lineRule="auto"/>
      <w:ind w:firstLine="100" w:firstLineChars="100"/>
    </w:pPr>
    <w:rPr>
      <w:szCs w:val="24"/>
    </w:rPr>
  </w:style>
  <w:style w:type="paragraph" w:styleId="32">
    <w:name w:val="Body Text First Indent 2"/>
    <w:basedOn w:val="13"/>
    <w:next w:val="2"/>
    <w:link w:val="88"/>
    <w:qFormat/>
    <w:uiPriority w:val="0"/>
    <w:pPr>
      <w:tabs>
        <w:tab w:val="left" w:pos="630"/>
      </w:tabs>
      <w:ind w:firstLine="420" w:firstLineChars="300"/>
    </w:pPr>
    <w:rPr>
      <w:rFonts w:ascii="Verdana" w:hAnsi="Verdana" w:eastAsia="宋体"/>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basedOn w:val="35"/>
    <w:unhideWhenUsed/>
    <w:qFormat/>
    <w:uiPriority w:val="99"/>
    <w:rPr>
      <w:sz w:val="21"/>
      <w:szCs w:val="21"/>
    </w:rPr>
  </w:style>
  <w:style w:type="character" w:customStyle="1" w:styleId="40">
    <w:name w:val="批注文字 字符"/>
    <w:qFormat/>
    <w:uiPriority w:val="99"/>
    <w:rPr>
      <w:szCs w:val="24"/>
    </w:rPr>
  </w:style>
  <w:style w:type="character" w:customStyle="1" w:styleId="41">
    <w:name w:val="纯文本 字符"/>
    <w:qFormat/>
    <w:locked/>
    <w:uiPriority w:val="0"/>
    <w:rPr>
      <w:rFonts w:ascii="宋体" w:hAnsi="Courier New"/>
      <w:kern w:val="2"/>
      <w:sz w:val="21"/>
      <w:szCs w:val="21"/>
    </w:rPr>
  </w:style>
  <w:style w:type="character" w:customStyle="1" w:styleId="42">
    <w:name w:val="批注文字 字符2"/>
    <w:link w:val="12"/>
    <w:qFormat/>
    <w:uiPriority w:val="99"/>
    <w:rPr>
      <w:rFonts w:ascii="Calibri" w:hAnsi="Calibri" w:eastAsia="仿宋"/>
      <w:kern w:val="2"/>
      <w:sz w:val="21"/>
      <w:szCs w:val="24"/>
    </w:rPr>
  </w:style>
  <w:style w:type="character" w:customStyle="1" w:styleId="43">
    <w:name w:val="标题 字符"/>
    <w:link w:val="29"/>
    <w:qFormat/>
    <w:uiPriority w:val="10"/>
    <w:rPr>
      <w:rFonts w:ascii="Calibri Light" w:hAnsi="Calibri Light" w:cs="Times New Roman"/>
      <w:b/>
      <w:bCs/>
      <w:kern w:val="2"/>
      <w:sz w:val="32"/>
      <w:szCs w:val="32"/>
    </w:rPr>
  </w:style>
  <w:style w:type="character" w:customStyle="1" w:styleId="44">
    <w:name w:val="列表段落 字符"/>
    <w:link w:val="45"/>
    <w:qFormat/>
    <w:uiPriority w:val="34"/>
    <w:rPr>
      <w:rFonts w:ascii="Calibri" w:hAnsi="Calibri" w:eastAsia="仿宋"/>
      <w:kern w:val="2"/>
      <w:sz w:val="21"/>
      <w:szCs w:val="24"/>
    </w:rPr>
  </w:style>
  <w:style w:type="paragraph" w:customStyle="1" w:styleId="45">
    <w:name w:val="列表段落1"/>
    <w:basedOn w:val="1"/>
    <w:link w:val="44"/>
    <w:qFormat/>
    <w:uiPriority w:val="34"/>
    <w:pPr>
      <w:ind w:firstLine="420" w:firstLineChars="200"/>
    </w:pPr>
  </w:style>
  <w:style w:type="character" w:customStyle="1" w:styleId="46">
    <w:name w:val="纯文本 字符1"/>
    <w:link w:val="18"/>
    <w:qFormat/>
    <w:locked/>
    <w:uiPriority w:val="0"/>
    <w:rPr>
      <w:rFonts w:ascii="宋体" w:hAnsi="Courier New" w:eastAsia="仿宋" w:cs="Courier New"/>
      <w:kern w:val="2"/>
      <w:sz w:val="21"/>
      <w:szCs w:val="21"/>
    </w:rPr>
  </w:style>
  <w:style w:type="character" w:customStyle="1" w:styleId="47">
    <w:name w:val="批注主题 字符"/>
    <w:link w:val="30"/>
    <w:semiHidden/>
    <w:qFormat/>
    <w:uiPriority w:val="99"/>
    <w:rPr>
      <w:rFonts w:ascii="Calibri" w:hAnsi="Calibri" w:eastAsia="仿宋"/>
      <w:b/>
      <w:bCs/>
      <w:kern w:val="2"/>
      <w:sz w:val="21"/>
      <w:szCs w:val="24"/>
    </w:rPr>
  </w:style>
  <w:style w:type="character" w:customStyle="1" w:styleId="48">
    <w:name w:val="标题 3 字符"/>
    <w:link w:val="6"/>
    <w:qFormat/>
    <w:uiPriority w:val="0"/>
    <w:rPr>
      <w:rFonts w:ascii="Calibri" w:hAnsi="Calibri" w:eastAsia="仿宋"/>
      <w:b/>
      <w:bCs/>
      <w:kern w:val="2"/>
      <w:sz w:val="32"/>
      <w:szCs w:val="32"/>
    </w:rPr>
  </w:style>
  <w:style w:type="character" w:customStyle="1" w:styleId="49">
    <w:name w:val="纯文本 Char"/>
    <w:qFormat/>
    <w:uiPriority w:val="99"/>
    <w:rPr>
      <w:rFonts w:ascii="宋体" w:hAnsi="Courier New" w:eastAsia="宋体"/>
      <w:kern w:val="2"/>
      <w:sz w:val="24"/>
      <w:szCs w:val="21"/>
      <w:lang w:val="en-US" w:eastAsia="zh-CN" w:bidi="ar-SA"/>
    </w:rPr>
  </w:style>
  <w:style w:type="character" w:customStyle="1" w:styleId="50">
    <w:name w:val="标题 5 字符"/>
    <w:link w:val="8"/>
    <w:qFormat/>
    <w:uiPriority w:val="0"/>
    <w:rPr>
      <w:rFonts w:ascii="Calibri" w:hAnsi="Calibri" w:eastAsia="仿宋"/>
      <w:b/>
      <w:bCs/>
      <w:kern w:val="2"/>
      <w:sz w:val="28"/>
      <w:szCs w:val="28"/>
    </w:rPr>
  </w:style>
  <w:style w:type="character" w:customStyle="1" w:styleId="51">
    <w:name w:val="正文缩进 字符1"/>
    <w:link w:val="10"/>
    <w:qFormat/>
    <w:locked/>
    <w:uiPriority w:val="0"/>
    <w:rPr>
      <w:rFonts w:ascii="Calibri" w:hAnsi="Calibri" w:eastAsia="仿宋"/>
      <w:kern w:val="2"/>
      <w:sz w:val="21"/>
    </w:rPr>
  </w:style>
  <w:style w:type="character" w:customStyle="1" w:styleId="52">
    <w:name w:val="批注框文本 字符"/>
    <w:link w:val="20"/>
    <w:qFormat/>
    <w:uiPriority w:val="99"/>
    <w:rPr>
      <w:rFonts w:ascii="Calibri" w:hAnsi="Calibri" w:eastAsia="仿宋" w:cs="Times New Roman"/>
      <w:kern w:val="2"/>
      <w:sz w:val="18"/>
      <w:szCs w:val="18"/>
    </w:rPr>
  </w:style>
  <w:style w:type="character" w:customStyle="1" w:styleId="53">
    <w:name w:val="日期 字符"/>
    <w:link w:val="19"/>
    <w:qFormat/>
    <w:uiPriority w:val="0"/>
    <w:rPr>
      <w:kern w:val="2"/>
      <w:sz w:val="28"/>
    </w:rPr>
  </w:style>
  <w:style w:type="character" w:customStyle="1" w:styleId="54">
    <w:name w:val="标题 6 字符"/>
    <w:link w:val="9"/>
    <w:qFormat/>
    <w:uiPriority w:val="0"/>
    <w:rPr>
      <w:rFonts w:ascii="Calibri Light" w:hAnsi="Calibri Light" w:eastAsia="宋体" w:cs="Times New Roman"/>
      <w:b/>
      <w:bCs/>
      <w:kern w:val="2"/>
      <w:sz w:val="24"/>
      <w:szCs w:val="24"/>
    </w:r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6">
    <w:name w:val="Table Paragraph"/>
    <w:basedOn w:val="1"/>
    <w:qFormat/>
    <w:uiPriority w:val="1"/>
    <w:pPr>
      <w:autoSpaceDE w:val="0"/>
      <w:autoSpaceDN w:val="0"/>
      <w:adjustRightInd w:val="0"/>
      <w:jc w:val="left"/>
    </w:pPr>
    <w:rPr>
      <w:rFonts w:ascii="宋体" w:hAnsi="Times New Roman" w:cs="宋体"/>
      <w:kern w:val="0"/>
      <w:sz w:val="24"/>
    </w:rPr>
  </w:style>
  <w:style w:type="paragraph" w:customStyle="1" w:styleId="57">
    <w:name w:val="样式N"/>
    <w:basedOn w:val="58"/>
    <w:qFormat/>
    <w:uiPriority w:val="0"/>
    <w:rPr>
      <w:sz w:val="30"/>
    </w:rPr>
  </w:style>
  <w:style w:type="paragraph" w:customStyle="1" w:styleId="58">
    <w:name w:val="样式H"/>
    <w:basedOn w:val="4"/>
    <w:next w:val="1"/>
    <w:qFormat/>
    <w:uiPriority w:val="0"/>
    <w:pPr>
      <w:spacing w:before="100" w:line="500" w:lineRule="exact"/>
    </w:pPr>
  </w:style>
  <w:style w:type="paragraph" w:customStyle="1" w:styleId="59">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WPSOffice手动目录 2"/>
    <w:qFormat/>
    <w:uiPriority w:val="0"/>
    <w:pPr>
      <w:ind w:left="200" w:leftChars="200"/>
    </w:pPr>
    <w:rPr>
      <w:rFonts w:ascii="Calibri" w:hAnsi="Calibri" w:eastAsia="宋体" w:cs="Times New Roman"/>
      <w:lang w:val="en-US" w:eastAsia="zh-CN" w:bidi="ar-SA"/>
    </w:rPr>
  </w:style>
  <w:style w:type="paragraph" w:customStyle="1" w:styleId="61">
    <w:name w:val="WPSOffice手动目录 3"/>
    <w:qFormat/>
    <w:uiPriority w:val="0"/>
    <w:pPr>
      <w:ind w:left="400" w:leftChars="400"/>
    </w:pPr>
    <w:rPr>
      <w:rFonts w:ascii="Calibri" w:hAnsi="Calibri" w:eastAsia="宋体" w:cs="Times New Roman"/>
      <w:lang w:val="en-US" w:eastAsia="zh-CN" w:bidi="ar-SA"/>
    </w:rPr>
  </w:style>
  <w:style w:type="paragraph" w:customStyle="1" w:styleId="62">
    <w:name w:val="修订1"/>
    <w:unhideWhenUsed/>
    <w:qFormat/>
    <w:uiPriority w:val="99"/>
    <w:rPr>
      <w:rFonts w:ascii="Calibri" w:hAnsi="Calibri" w:eastAsia="仿宋" w:cs="Times New Roman"/>
      <w:kern w:val="2"/>
      <w:sz w:val="21"/>
      <w:szCs w:val="24"/>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正文_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szCs w:val="20"/>
    </w:rPr>
  </w:style>
  <w:style w:type="paragraph" w:customStyle="1" w:styleId="66">
    <w:name w:val="TOC 标题1"/>
    <w:basedOn w:val="4"/>
    <w:next w:val="1"/>
    <w:qFormat/>
    <w:uiPriority w:val="39"/>
    <w:pPr>
      <w:widowControl/>
      <w:spacing w:before="240" w:after="0" w:line="259" w:lineRule="auto"/>
      <w:jc w:val="left"/>
      <w:outlineLvl w:val="9"/>
    </w:pPr>
    <w:rPr>
      <w:rFonts w:ascii="Calibri Light" w:hAnsi="Calibri Light" w:eastAsia="宋体"/>
      <w:b w:val="0"/>
      <w:color w:val="2E74B5"/>
      <w:kern w:val="0"/>
      <w:sz w:val="32"/>
      <w:szCs w:val="32"/>
    </w:rPr>
  </w:style>
  <w:style w:type="paragraph" w:customStyle="1" w:styleId="6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68">
    <w:name w:val="列出段落11"/>
    <w:basedOn w:val="1"/>
    <w:qFormat/>
    <w:uiPriority w:val="34"/>
    <w:pPr>
      <w:ind w:firstLine="420" w:firstLineChars="200"/>
    </w:pPr>
    <w:rPr>
      <w:rFonts w:eastAsia="宋体"/>
      <w:szCs w:val="22"/>
      <w:lang w:val="zh-CN"/>
    </w:rPr>
  </w:style>
  <w:style w:type="paragraph" w:customStyle="1" w:styleId="69">
    <w:name w:val="正文_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表格文字"/>
    <w:basedOn w:val="1"/>
    <w:qFormat/>
    <w:uiPriority w:val="0"/>
    <w:pPr>
      <w:spacing w:before="25" w:after="25" w:line="300" w:lineRule="auto"/>
    </w:pPr>
    <w:rPr>
      <w:rFonts w:ascii="Times" w:hAnsi="Times" w:eastAsia="宋体"/>
      <w:spacing w:val="10"/>
      <w:kern w:val="0"/>
      <w:sz w:val="24"/>
      <w:szCs w:val="20"/>
    </w:rPr>
  </w:style>
  <w:style w:type="character" w:customStyle="1" w:styleId="71">
    <w:name w:val="正文缩进 字符"/>
    <w:qFormat/>
    <w:locked/>
    <w:uiPriority w:val="0"/>
    <w:rPr>
      <w:rFonts w:ascii="Calibri" w:hAnsi="Calibri" w:eastAsia="仿宋"/>
      <w:kern w:val="2"/>
      <w:sz w:val="21"/>
      <w:szCs w:val="24"/>
    </w:rPr>
  </w:style>
  <w:style w:type="character" w:customStyle="1" w:styleId="72">
    <w:name w:val="批注文字 字符1"/>
    <w:qFormat/>
    <w:uiPriority w:val="0"/>
    <w:rPr>
      <w:rFonts w:ascii="Calibri" w:hAnsi="Calibri" w:eastAsia="仿宋"/>
      <w:kern w:val="2"/>
      <w:sz w:val="21"/>
      <w:szCs w:val="24"/>
    </w:rPr>
  </w:style>
  <w:style w:type="paragraph" w:customStyle="1" w:styleId="73">
    <w:name w:val="Char Char4"/>
    <w:basedOn w:val="1"/>
    <w:qFormat/>
    <w:uiPriority w:val="0"/>
    <w:pPr>
      <w:tabs>
        <w:tab w:val="left" w:pos="360"/>
      </w:tabs>
    </w:pPr>
    <w:rPr>
      <w:rFonts w:eastAsia="宋体"/>
      <w:sz w:val="24"/>
    </w:rPr>
  </w:style>
  <w:style w:type="paragraph" w:customStyle="1" w:styleId="74">
    <w:name w:val="修订2"/>
    <w:hidden/>
    <w:semiHidden/>
    <w:qFormat/>
    <w:uiPriority w:val="99"/>
    <w:rPr>
      <w:rFonts w:ascii="Calibri" w:hAnsi="Calibri" w:eastAsia="仿宋" w:cs="Times New Roman"/>
      <w:kern w:val="2"/>
      <w:sz w:val="21"/>
      <w:szCs w:val="24"/>
      <w:lang w:val="en-US" w:eastAsia="zh-CN" w:bidi="ar-SA"/>
    </w:rPr>
  </w:style>
  <w:style w:type="paragraph" w:customStyle="1" w:styleId="7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76">
    <w:name w:val="Normal_25_0"/>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77">
    <w:name w:val="页眉 字符"/>
    <w:link w:val="22"/>
    <w:qFormat/>
    <w:uiPriority w:val="99"/>
    <w:rPr>
      <w:rFonts w:ascii="Calibri" w:hAnsi="Calibri" w:eastAsia="仿宋"/>
      <w:kern w:val="2"/>
      <w:sz w:val="18"/>
      <w:szCs w:val="24"/>
    </w:rPr>
  </w:style>
  <w:style w:type="paragraph" w:customStyle="1" w:styleId="78">
    <w:name w:val="列出段落1"/>
    <w:basedOn w:val="1"/>
    <w:qFormat/>
    <w:uiPriority w:val="0"/>
    <w:pPr>
      <w:spacing w:line="360" w:lineRule="auto"/>
      <w:ind w:firstLine="420" w:firstLineChars="200"/>
    </w:pPr>
    <w:rPr>
      <w:szCs w:val="22"/>
    </w:rPr>
  </w:style>
  <w:style w:type="paragraph" w:customStyle="1" w:styleId="79">
    <w:name w:val="正文2"/>
    <w:basedOn w:val="11"/>
    <w:qFormat/>
    <w:uiPriority w:val="0"/>
    <w:pPr>
      <w:jc w:val="left"/>
    </w:pPr>
    <w:rPr>
      <w:rFonts w:ascii="等线 Light" w:hAnsi="等线 Light" w:eastAsia="宋体" w:cs="Times New Roman"/>
      <w:sz w:val="24"/>
      <w:szCs w:val="22"/>
    </w:rPr>
  </w:style>
  <w:style w:type="paragraph" w:customStyle="1" w:styleId="80">
    <w:name w:val="正文_0"/>
    <w:qFormat/>
    <w:uiPriority w:val="0"/>
    <w:rPr>
      <w:rFonts w:ascii="Times New Roman" w:hAnsi="Times New Roman" w:eastAsia="宋体" w:cs="Times New Roman"/>
      <w:sz w:val="21"/>
      <w:lang w:val="en-US" w:eastAsia="zh-CN" w:bidi="ar-SA"/>
    </w:rPr>
  </w:style>
  <w:style w:type="paragraph" w:customStyle="1" w:styleId="81">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paragraph" w:customStyle="1" w:styleId="82">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customStyle="1" w:styleId="83">
    <w:name w:val="修订3"/>
    <w:hidden/>
    <w:semiHidden/>
    <w:qFormat/>
    <w:uiPriority w:val="99"/>
    <w:rPr>
      <w:rFonts w:ascii="Calibri" w:hAnsi="Calibri" w:eastAsia="仿宋" w:cs="Times New Roman"/>
      <w:kern w:val="2"/>
      <w:sz w:val="21"/>
      <w:szCs w:val="24"/>
      <w:lang w:val="en-US" w:eastAsia="zh-CN" w:bidi="ar-SA"/>
    </w:rPr>
  </w:style>
  <w:style w:type="character" w:customStyle="1" w:styleId="84">
    <w:name w:val="题注 字符"/>
    <w:link w:val="11"/>
    <w:qFormat/>
    <w:uiPriority w:val="0"/>
    <w:rPr>
      <w:rFonts w:eastAsia="黑体" w:asciiTheme="majorHAnsi" w:hAnsiTheme="majorHAnsi" w:cstheme="majorBidi"/>
      <w:kern w:val="2"/>
    </w:rPr>
  </w:style>
  <w:style w:type="paragraph" w:customStyle="1" w:styleId="85">
    <w:name w:val="修订4"/>
    <w:hidden/>
    <w:semiHidden/>
    <w:qFormat/>
    <w:uiPriority w:val="99"/>
    <w:rPr>
      <w:rFonts w:ascii="Calibri" w:hAnsi="Calibri" w:eastAsia="仿宋" w:cs="Times New Roman"/>
      <w:kern w:val="2"/>
      <w:sz w:val="21"/>
      <w:szCs w:val="24"/>
      <w:lang w:val="en-US" w:eastAsia="zh-CN" w:bidi="ar-SA"/>
    </w:rPr>
  </w:style>
  <w:style w:type="paragraph" w:customStyle="1" w:styleId="86">
    <w:name w:val="修订5"/>
    <w:hidden/>
    <w:semiHidden/>
    <w:qFormat/>
    <w:uiPriority w:val="99"/>
    <w:rPr>
      <w:rFonts w:ascii="Calibri" w:hAnsi="Calibri" w:eastAsia="仿宋" w:cs="Times New Roman"/>
      <w:kern w:val="2"/>
      <w:sz w:val="21"/>
      <w:szCs w:val="24"/>
      <w:lang w:val="en-US" w:eastAsia="zh-CN" w:bidi="ar-SA"/>
    </w:rPr>
  </w:style>
  <w:style w:type="character" w:customStyle="1" w:styleId="87">
    <w:name w:val="标题 1 字符"/>
    <w:basedOn w:val="35"/>
    <w:link w:val="4"/>
    <w:qFormat/>
    <w:uiPriority w:val="0"/>
    <w:rPr>
      <w:rFonts w:ascii="Calibri" w:hAnsi="Calibri" w:eastAsia="仿宋"/>
      <w:b/>
      <w:kern w:val="44"/>
      <w:sz w:val="44"/>
      <w:szCs w:val="24"/>
    </w:rPr>
  </w:style>
  <w:style w:type="character" w:customStyle="1" w:styleId="88">
    <w:name w:val="正文文本首行缩进 2 字符"/>
    <w:basedOn w:val="35"/>
    <w:link w:val="32"/>
    <w:qFormat/>
    <w:uiPriority w:val="0"/>
    <w:rPr>
      <w:rFonts w:ascii="Verdana" w:hAnsi="Verdana"/>
      <w:kern w:val="2"/>
      <w:sz w:val="21"/>
      <w:szCs w:val="24"/>
    </w:rPr>
  </w:style>
  <w:style w:type="paragraph" w:customStyle="1" w:styleId="89">
    <w:name w:val="_Style 3"/>
    <w:basedOn w:val="1"/>
    <w:qFormat/>
    <w:uiPriority w:val="0"/>
    <w:pPr>
      <w:ind w:firstLine="420" w:firstLineChars="200"/>
    </w:pPr>
    <w:rPr>
      <w:rFonts w:ascii="Times New Roman" w:hAnsi="Times New Roman" w:eastAsia="宋体"/>
      <w:sz w:val="20"/>
    </w:rPr>
  </w:style>
  <w:style w:type="paragraph" w:customStyle="1" w:styleId="9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91">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92">
    <w:name w:val="修订6"/>
    <w:hidden/>
    <w:semiHidden/>
    <w:qFormat/>
    <w:uiPriority w:val="99"/>
    <w:rPr>
      <w:rFonts w:ascii="Calibri" w:hAnsi="Calibri" w:eastAsia="仿宋" w:cs="Times New Roman"/>
      <w:kern w:val="2"/>
      <w:sz w:val="21"/>
      <w:szCs w:val="24"/>
      <w:lang w:val="en-US" w:eastAsia="zh-CN" w:bidi="ar-SA"/>
    </w:rPr>
  </w:style>
  <w:style w:type="paragraph" w:customStyle="1" w:styleId="93">
    <w:name w:val="修订7"/>
    <w:hidden/>
    <w:semiHidden/>
    <w:qFormat/>
    <w:uiPriority w:val="99"/>
    <w:rPr>
      <w:rFonts w:ascii="Calibri" w:hAnsi="Calibri" w:eastAsia="仿宋" w:cs="Times New Roman"/>
      <w:kern w:val="2"/>
      <w:sz w:val="21"/>
      <w:szCs w:val="24"/>
      <w:lang w:val="en-US" w:eastAsia="zh-CN" w:bidi="ar-SA"/>
    </w:rPr>
  </w:style>
  <w:style w:type="paragraph" w:customStyle="1" w:styleId="94">
    <w:name w:val="修订8"/>
    <w:hidden/>
    <w:unhideWhenUsed/>
    <w:qFormat/>
    <w:uiPriority w:val="99"/>
    <w:rPr>
      <w:rFonts w:ascii="Calibri" w:hAnsi="Calibri" w:eastAsia="仿宋" w:cs="Times New Roman"/>
      <w:kern w:val="2"/>
      <w:sz w:val="21"/>
      <w:szCs w:val="24"/>
      <w:lang w:val="en-US" w:eastAsia="zh-CN" w:bidi="ar-SA"/>
    </w:rPr>
  </w:style>
  <w:style w:type="character" w:customStyle="1" w:styleId="95">
    <w:name w:val="脚注文本 字符"/>
    <w:basedOn w:val="35"/>
    <w:link w:val="26"/>
    <w:qFormat/>
    <w:uiPriority w:val="99"/>
    <w:rPr>
      <w:rFonts w:ascii="仿宋_GB2312" w:hAnsi="新宋体" w:eastAsia="仿宋_GB2312"/>
      <w:kern w:val="2"/>
      <w:sz w:val="18"/>
      <w:szCs w:val="18"/>
    </w:rPr>
  </w:style>
  <w:style w:type="character" w:customStyle="1" w:styleId="96">
    <w:name w:val="页脚 字符"/>
    <w:basedOn w:val="35"/>
    <w:link w:val="21"/>
    <w:qFormat/>
    <w:uiPriority w:val="99"/>
    <w:rPr>
      <w:rFonts w:ascii="Calibri" w:hAnsi="Calibri" w:eastAsia="仿宋"/>
      <w:kern w:val="2"/>
      <w:sz w:val="18"/>
      <w:szCs w:val="24"/>
    </w:rPr>
  </w:style>
  <w:style w:type="paragraph" w:customStyle="1" w:styleId="97">
    <w:name w:val="修订9"/>
    <w:hidden/>
    <w:semiHidden/>
    <w:qFormat/>
    <w:uiPriority w:val="99"/>
    <w:rPr>
      <w:rFonts w:ascii="Calibri" w:hAnsi="Calibri" w:eastAsia="仿宋" w:cs="Times New Roman"/>
      <w:kern w:val="2"/>
      <w:sz w:val="21"/>
      <w:szCs w:val="24"/>
      <w:lang w:val="en-US" w:eastAsia="zh-CN" w:bidi="ar-SA"/>
    </w:rPr>
  </w:style>
  <w:style w:type="paragraph" w:customStyle="1" w:styleId="98">
    <w:name w:val="修订10"/>
    <w:hidden/>
    <w:unhideWhenUsed/>
    <w:qFormat/>
    <w:uiPriority w:val="99"/>
    <w:rPr>
      <w:rFonts w:ascii="Calibri" w:hAnsi="Calibri" w:eastAsia="仿宋" w:cs="Times New Roman"/>
      <w:kern w:val="2"/>
      <w:sz w:val="21"/>
      <w:szCs w:val="24"/>
      <w:lang w:val="en-US" w:eastAsia="zh-CN" w:bidi="ar-SA"/>
    </w:rPr>
  </w:style>
  <w:style w:type="paragraph" w:customStyle="1" w:styleId="99">
    <w:name w:val="p_text_indent_2"/>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0">
    <w:name w:val="fontstyle01"/>
    <w:basedOn w:val="35"/>
    <w:qFormat/>
    <w:uiPriority w:val="0"/>
    <w:rPr>
      <w:rFonts w:hint="eastAsia" w:ascii="微软雅黑" w:hAnsi="微软雅黑" w:eastAsia="微软雅黑"/>
      <w:color w:val="000000"/>
      <w:sz w:val="32"/>
      <w:szCs w:val="32"/>
    </w:rPr>
  </w:style>
  <w:style w:type="paragraph" w:customStyle="1" w:styleId="101">
    <w:name w:val="western"/>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2">
    <w:name w:val="占位符文本1"/>
    <w:basedOn w:val="35"/>
    <w:semiHidden/>
    <w:qFormat/>
    <w:uiPriority w:val="99"/>
    <w:rPr>
      <w:color w:val="808080"/>
    </w:rPr>
  </w:style>
  <w:style w:type="paragraph" w:customStyle="1" w:styleId="103">
    <w:name w:val="修订11"/>
    <w:hidden/>
    <w:unhideWhenUsed/>
    <w:qFormat/>
    <w:uiPriority w:val="99"/>
    <w:rPr>
      <w:rFonts w:ascii="Calibri" w:hAnsi="Calibri" w:eastAsia="仿宋" w:cs="Times New Roman"/>
      <w:kern w:val="2"/>
      <w:sz w:val="21"/>
      <w:szCs w:val="24"/>
      <w:lang w:val="en-US" w:eastAsia="zh-CN" w:bidi="ar-SA"/>
    </w:rPr>
  </w:style>
  <w:style w:type="paragraph" w:customStyle="1" w:styleId="104">
    <w:name w:val="正文格式"/>
    <w:basedOn w:val="1"/>
    <w:qFormat/>
    <w:uiPriority w:val="0"/>
    <w:pPr>
      <w:spacing w:before="156" w:beforeLines="50" w:after="156" w:afterLines="50" w:line="360" w:lineRule="auto"/>
    </w:pPr>
    <w:rPr>
      <w:szCs w:val="20"/>
    </w:rPr>
  </w:style>
  <w:style w:type="paragraph" w:customStyle="1" w:styleId="105">
    <w:name w:val="二级条标题"/>
    <w:basedOn w:val="1"/>
    <w:next w:val="106"/>
    <w:qFormat/>
    <w:uiPriority w:val="0"/>
    <w:pPr>
      <w:widowControl/>
      <w:tabs>
        <w:tab w:val="left" w:pos="2160"/>
      </w:tabs>
      <w:spacing w:before="50" w:after="50"/>
      <w:ind w:left="2160" w:hanging="360"/>
      <w:jc w:val="left"/>
      <w:outlineLvl w:val="3"/>
    </w:pPr>
    <w:rPr>
      <w:rFonts w:ascii="黑体" w:eastAsia="黑体"/>
      <w:kern w:val="0"/>
      <w:szCs w:val="21"/>
    </w:rPr>
  </w:style>
  <w:style w:type="paragraph" w:customStyle="1" w:styleId="106">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07">
    <w:name w:val="_Style 8"/>
    <w:basedOn w:val="2"/>
    <w:next w:val="31"/>
    <w:qFormat/>
    <w:uiPriority w:val="0"/>
    <w:pPr>
      <w:ind w:firstLine="420" w:firstLineChars="100"/>
    </w:pPr>
    <w:rPr>
      <w:rFonts w:eastAsiaTheme="minorEastAsia" w:cstheme="minorBidi"/>
    </w:rPr>
  </w:style>
  <w:style w:type="paragraph" w:customStyle="1" w:styleId="108">
    <w:name w:val="正文_1_0_0"/>
    <w:qFormat/>
    <w:uiPriority w:val="0"/>
    <w:rPr>
      <w:rFonts w:ascii="Times New Roman" w:hAnsi="Times New Roman" w:eastAsia="宋体" w:cs="Times New Roman"/>
      <w:sz w:val="21"/>
      <w:lang w:val="en-US" w:eastAsia="zh-CN" w:bidi="ar-SA"/>
    </w:rPr>
  </w:style>
  <w:style w:type="paragraph" w:customStyle="1" w:styleId="109">
    <w:name w:val="批注文字_0"/>
    <w:basedOn w:val="1"/>
    <w:qFormat/>
    <w:uiPriority w:val="99"/>
    <w:pPr>
      <w:jc w:val="left"/>
    </w:pPr>
    <w:rPr>
      <w:rFonts w:ascii="Times New Roman" w:hAnsi="Times New Roman" w:eastAsia="宋体"/>
    </w:rPr>
  </w:style>
  <w:style w:type="character" w:customStyle="1" w:styleId="110">
    <w:name w:val="text_jayku"/>
    <w:basedOn w:val="35"/>
    <w:qFormat/>
    <w:uiPriority w:val="0"/>
  </w:style>
  <w:style w:type="table" w:customStyle="1" w:styleId="111">
    <w:name w:val="Table Normal"/>
    <w:unhideWhenUsed/>
    <w:qFormat/>
    <w:uiPriority w:val="0"/>
    <w:tblPr>
      <w:tblCellMar>
        <w:top w:w="0" w:type="dxa"/>
        <w:left w:w="0" w:type="dxa"/>
        <w:bottom w:w="0" w:type="dxa"/>
        <w:right w:w="0" w:type="dxa"/>
      </w:tblCellMar>
    </w:tblPr>
  </w:style>
  <w:style w:type="table" w:customStyle="1" w:styleId="112">
    <w:name w:val="TableGrid"/>
    <w:basedOn w:val="33"/>
    <w:qFormat/>
    <w:uiPriority w:val="0"/>
    <w:rPr>
      <w:rFonts w:hint="eastAsia" w:ascii="等线" w:hAnsi="等线" w:eastAsia="等线" w:cs="等线"/>
      <w:kern w:val="2"/>
      <w:sz w:val="21"/>
      <w:szCs w:val="22"/>
    </w:rPr>
    <w:tblPr>
      <w:tblCellMar>
        <w:left w:w="0" w:type="dxa"/>
        <w:right w:w="0" w:type="dxa"/>
      </w:tblCellMar>
    </w:tblPr>
  </w:style>
  <w:style w:type="paragraph" w:customStyle="1" w:styleId="113">
    <w:name w:val="修订12"/>
    <w:hidden/>
    <w:unhideWhenUsed/>
    <w:qFormat/>
    <w:uiPriority w:val="99"/>
    <w:rPr>
      <w:rFonts w:ascii="Calibri" w:hAnsi="Calibri" w:eastAsia="仿宋" w:cs="Times New Roman"/>
      <w:kern w:val="2"/>
      <w:sz w:val="21"/>
      <w:szCs w:val="24"/>
      <w:lang w:val="en-US" w:eastAsia="zh-CN" w:bidi="ar-SA"/>
    </w:rPr>
  </w:style>
  <w:style w:type="paragraph" w:customStyle="1" w:styleId="114">
    <w:name w:val="Normal_0_0"/>
    <w:next w:val="115"/>
    <w:qFormat/>
    <w:uiPriority w:val="0"/>
    <w:pPr>
      <w:widowControl w:val="0"/>
      <w:wordWrap w:val="0"/>
      <w:spacing w:after="160" w:line="360" w:lineRule="auto"/>
      <w:jc w:val="both"/>
    </w:pPr>
    <w:rPr>
      <w:rFonts w:ascii="宋体" w:hAnsi="宋体" w:eastAsia="宋体" w:cs="Times New Roman"/>
      <w:kern w:val="2"/>
      <w:sz w:val="24"/>
      <w:lang w:val="en-US" w:eastAsia="zh-CN" w:bidi="ar-SA"/>
    </w:rPr>
  </w:style>
  <w:style w:type="paragraph" w:customStyle="1" w:styleId="115">
    <w:name w:val="Heading 5_0"/>
    <w:basedOn w:val="1"/>
    <w:next w:val="114"/>
    <w:qFormat/>
    <w:uiPriority w:val="9"/>
    <w:pPr>
      <w:keepNext/>
      <w:keepLines/>
      <w:widowControl/>
      <w:numPr>
        <w:ilvl w:val="4"/>
        <w:numId w:val="2"/>
      </w:numPr>
      <w:overflowPunct w:val="0"/>
      <w:autoSpaceDE w:val="0"/>
      <w:autoSpaceDN w:val="0"/>
      <w:adjustRightInd w:val="0"/>
      <w:spacing w:after="160" w:line="360" w:lineRule="auto"/>
      <w:jc w:val="left"/>
      <w:outlineLvl w:val="4"/>
    </w:pPr>
    <w:rPr>
      <w:rFonts w:eastAsia="黑体"/>
      <w:b/>
      <w:bCs/>
      <w:kern w:val="0"/>
      <w:sz w:val="32"/>
      <w:szCs w:val="28"/>
    </w:rPr>
  </w:style>
  <w:style w:type="paragraph" w:customStyle="1" w:styleId="116">
    <w:name w:val="列出段落"/>
    <w:basedOn w:val="1"/>
    <w:qFormat/>
    <w:uiPriority w:val="34"/>
    <w:pPr>
      <w:ind w:firstLine="420" w:firstLineChars="200"/>
    </w:pPr>
  </w:style>
  <w:style w:type="paragraph" w:customStyle="1" w:styleId="117">
    <w:name w:val="Normal_0"/>
    <w:next w:val="118"/>
    <w:qFormat/>
    <w:uiPriority w:val="0"/>
    <w:pPr>
      <w:widowControl w:val="0"/>
      <w:spacing w:after="160" w:line="259" w:lineRule="auto"/>
      <w:jc w:val="both"/>
    </w:pPr>
    <w:rPr>
      <w:rFonts w:ascii="Times New Roman" w:hAnsi="Times New Roman" w:eastAsia="宋体" w:cs="Times New Roman"/>
      <w:kern w:val="2"/>
      <w:sz w:val="24"/>
      <w:lang w:val="en-US" w:eastAsia="zh-CN" w:bidi="ar-SA"/>
    </w:rPr>
  </w:style>
  <w:style w:type="paragraph" w:customStyle="1" w:styleId="118">
    <w:name w:val="Normal Indent1_0"/>
    <w:qFormat/>
    <w:uiPriority w:val="0"/>
    <w:pPr>
      <w:spacing w:after="160" w:afterLines="50" w:line="360" w:lineRule="auto"/>
      <w:ind w:firstLine="420" w:firstLineChars="200"/>
    </w:pPr>
    <w:rPr>
      <w:rFonts w:ascii="Times New Roman" w:hAnsi="Times New Roman" w:eastAsia="宋体" w:cs="Times New Roman"/>
      <w:lang w:val="en-US" w:eastAsia="zh-CN" w:bidi="ar-SA"/>
    </w:rPr>
  </w:style>
  <w:style w:type="paragraph" w:customStyle="1" w:styleId="119">
    <w:name w:val="Heading 1_0"/>
    <w:basedOn w:val="1"/>
    <w:next w:val="114"/>
    <w:qFormat/>
    <w:uiPriority w:val="0"/>
    <w:pPr>
      <w:keepNext/>
      <w:keepLines/>
      <w:wordWrap w:val="0"/>
      <w:spacing w:after="160" w:line="360" w:lineRule="auto"/>
      <w:jc w:val="left"/>
      <w:outlineLvl w:val="0"/>
    </w:pPr>
    <w:rPr>
      <w:rFonts w:ascii="等线" w:hAnsi="等线"/>
      <w:b/>
      <w:bCs/>
      <w:kern w:val="44"/>
      <w:sz w:val="36"/>
      <w:szCs w:val="44"/>
    </w:rPr>
  </w:style>
  <w:style w:type="paragraph" w:customStyle="1" w:styleId="120">
    <w:name w:val="Table Text"/>
    <w:basedOn w:val="1"/>
    <w:semiHidden/>
    <w:qFormat/>
    <w:uiPriority w:val="0"/>
    <w:rPr>
      <w:rFonts w:ascii="宋体" w:hAnsi="宋体" w:cs="宋体"/>
      <w:szCs w:val="21"/>
      <w:lang w:eastAsia="en-US"/>
    </w:rPr>
  </w:style>
  <w:style w:type="paragraph" w:customStyle="1" w:styleId="121">
    <w:name w:val="Revision"/>
    <w:hidden/>
    <w:semiHidden/>
    <w:qFormat/>
    <w:uiPriority w:val="99"/>
    <w:rPr>
      <w:rFonts w:ascii="Calibri" w:hAnsi="Calibri" w:eastAsia="仿宋" w:cs="Times New Roman"/>
      <w:kern w:val="2"/>
      <w:sz w:val="21"/>
      <w:szCs w:val="24"/>
      <w:lang w:val="en-US" w:eastAsia="zh-CN" w:bidi="ar-SA"/>
    </w:rPr>
  </w:style>
  <w:style w:type="paragraph" w:customStyle="1" w:styleId="122">
    <w:name w:val="MsoNormal"/>
    <w:basedOn w:val="1"/>
    <w:qFormat/>
    <w:uiPriority w:val="0"/>
  </w:style>
  <w:style w:type="table" w:customStyle="1" w:styleId="123">
    <w:name w:val="MsoTableGrid"/>
    <w:basedOn w:val="33"/>
    <w:qFormat/>
    <w:uiPriority w:val="0"/>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125">
    <w:name w:val="正文 New"/>
    <w:qFormat/>
    <w:uiPriority w:val="0"/>
    <w:pPr>
      <w:widowControl w:val="0"/>
      <w:jc w:val="both"/>
    </w:pPr>
    <w:rPr>
      <w:rFonts w:ascii="宋体" w:hAnsi="宋体" w:eastAsia="宋体" w:cs="Times New Roman"/>
      <w:kern w:val="16"/>
      <w:sz w:val="21"/>
      <w:szCs w:val="24"/>
      <w:lang w:val="en-US" w:eastAsia="zh-CN" w:bidi="ar-SA"/>
    </w:rPr>
  </w:style>
  <w:style w:type="paragraph" w:styleId="126">
    <w:name w:val="List Paragraph"/>
    <w:basedOn w:val="1"/>
    <w:qFormat/>
    <w:uiPriority w:val="0"/>
    <w:pPr>
      <w:ind w:firstLine="420" w:firstLineChars="200"/>
    </w:pPr>
    <w:rPr>
      <w:szCs w:val="24"/>
    </w:rPr>
  </w:style>
  <w:style w:type="paragraph" w:customStyle="1" w:styleId="1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134</Pages>
  <Words>6515</Words>
  <Characters>7190</Characters>
  <Lines>394</Lines>
  <Paragraphs>111</Paragraphs>
  <TotalTime>1</TotalTime>
  <ScaleCrop>false</ScaleCrop>
  <LinksUpToDate>false</LinksUpToDate>
  <CharactersWithSpaces>7295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2024-05-14T20:22:00Z</dcterms:created>
  <dc:creator>WSC</dc:creator>
  <cp:lastModifiedBy>李绍娟</cp:lastModifiedBy>
  <cp:lastPrinted>2025-10-26T09:34:00Z</cp:lastPrinted>
  <dcterms:modified xsi:type="dcterms:W3CDTF">2026-03-03T03:36:55Z</dcterms:modified>
  <dc:title>服务类公开招标文件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940393EB855041EF8E8C05FBB1BA379C</vt:lpwstr>
  </property>
  <property fmtid="{D5CDD505-2E9C-101B-9397-08002B2CF9AE}" pid="4" name="KSOTemplateDocerSaveRecord">
    <vt:lpwstr>eyJoZGlkIjoiN2U1YjZjMzZhZmViMDE4OTgyZTVhODdiZDc4NDMwMzgiLCJ1c2VySWQiOiIxMTczNDY4MjU2In0=</vt:lpwstr>
  </property>
</Properties>
</file>