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011001</w:t>
      </w:r>
      <w:r>
        <w:rPr>
          <w:rFonts w:hint="eastAsia" w:ascii="仿宋_GB2312" w:hAnsi="仿宋" w:eastAsia="仿宋_GB2312"/>
          <w:color w:val="auto"/>
          <w:sz w:val="32"/>
          <w:szCs w:val="32"/>
        </w:rPr>
        <w:tab/>
      </w:r>
      <w:r>
        <w:rPr>
          <w:rFonts w:hint="eastAsia" w:ascii="仿宋_GB2312" w:hAnsi="仿宋" w:eastAsia="仿宋_GB2312"/>
          <w:color w:val="auto"/>
          <w:sz w:val="32"/>
          <w:szCs w:val="32"/>
        </w:rPr>
        <w:t>契税征收</w:t>
      </w: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object>
          <v:shape id="_x0000_i1025" o:spt="75" type="#_x0000_t75" style="height:357.05pt;width:395.3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Visio.Drawing.15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0266C"/>
    <w:rsid w:val="394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省地方税务局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2025-03-09T10:19:00Z</dcterms:created>
  <dc:creator>雷昕</dc:creator>
  <cp:lastModifiedBy>雷昕</cp:lastModifiedBy>
  <dcterms:modified xsi:type="dcterms:W3CDTF">2025-03-09T10:19:36Z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