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1"/>
        <w:gridCol w:w="2156"/>
        <w:gridCol w:w="588"/>
        <w:gridCol w:w="3172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台山市税务局公务用车维修项目磋商评分表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维修工时报价折扣率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以投标报价最低的为评标基准价，计满分，其他投标报价按如下公 式计算得分：报价得分=评标基准价/投标报价×30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技术人员资质情况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投标人具有包含但不限于以下工种岗位人员：机修、电器、钣金、油漆、安全生产员等，以技术人员数得分：一人得5分，最高分30分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提供（持有上岗资格证书）资质证明、相关劳动合同复印件及社保缴纳情况证明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免费服务措施和实施方案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根据投标商提供的服务措施（如提供24小时接待、市内免费施救、质保期内免费保修及优先安排维修等）进行评分，满分20分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具有较健全的管理制度，优秀得10分；良好得5分；一般得2分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附管理制度等相关资料。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综合考察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对投标企业地理位置、经营场所面积、交通状况、检修设备及纳税评级情况等进行现场考察，综合进行评价，满分10分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F0465"/>
    <w:rsid w:val="485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2024-12-05T08:26:00Z</dcterms:created>
  <dc:creator>陈镇光</dc:creator>
  <cp:lastModifiedBy>陈镇光</cp:lastModifiedBy>
  <dcterms:modified xsi:type="dcterms:W3CDTF">2024-12-05T08:27:18Z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