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620" w:lineRule="exact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监管执法</w:t>
      </w:r>
    </w:p>
    <w:p>
      <w:pPr>
        <w:numPr>
          <w:numId w:val="0"/>
        </w:numPr>
        <w:adjustRightInd w:val="0"/>
        <w:snapToGrid w:val="0"/>
        <w:spacing w:line="620" w:lineRule="exact"/>
        <w:rPr>
          <w:rFonts w:hint="default" w:ascii="黑体" w:hAnsi="黑体" w:eastAsia="黑体"/>
          <w:color w:val="auto"/>
          <w:sz w:val="32"/>
          <w:szCs w:val="2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6EC4B"/>
    <w:multiLevelType w:val="singleLevel"/>
    <w:tmpl w:val="6176E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7465"/>
    <w:rsid w:val="0E433C4A"/>
    <w:rsid w:val="45E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2025-03-07T02:29:00Z</dcterms:created>
  <dc:creator>朱翔宇</dc:creator>
  <cp:lastModifiedBy>朱翔宇</cp:lastModifiedBy>
  <dcterms:modified xsi:type="dcterms:W3CDTF">2025-03-07T03:01:49Z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