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</w:rPr>
        <w:t>税务行政职权运行流程图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</w:p>
    <w:p>
      <w:pPr>
        <w:numPr>
          <w:ilvl w:val="0"/>
          <w:numId w:val="1"/>
        </w:numPr>
        <w:adjustRightInd w:val="0"/>
        <w:snapToGrid w:val="0"/>
        <w:spacing w:line="620" w:lineRule="exact"/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22"/>
          <w:lang w:eastAsia="zh-CN"/>
        </w:rPr>
        <w:t>监管执法</w:t>
      </w:r>
    </w:p>
    <w:p>
      <w:pPr>
        <w:numPr>
          <w:numId w:val="0"/>
        </w:numPr>
        <w:adjustRightInd w:val="0"/>
        <w:snapToGrid w:val="0"/>
        <w:spacing w:line="620" w:lineRule="exact"/>
        <w:rPr>
          <w:rFonts w:hint="default" w:ascii="黑体" w:hAnsi="黑体" w:eastAsia="黑体"/>
          <w:color w:val="auto"/>
          <w:sz w:val="32"/>
          <w:szCs w:val="22"/>
          <w:lang w:val="en-US" w:eastAsia="zh-CN"/>
        </w:rPr>
      </w:pPr>
      <w:bookmarkStart w:id="0" w:name="_GoBack"/>
      <w:bookmarkEnd w:id="0"/>
    </w:p>
    <w:p>
      <w:pPr>
        <w:adjustRightInd w:val="0"/>
        <w:snapToGrid w:val="0"/>
        <w:spacing w:line="62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081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color w:val="auto"/>
          <w:sz w:val="32"/>
          <w:szCs w:val="32"/>
        </w:rPr>
        <w:t>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纳税人税收风险分析及组织应对</w:t>
      </w:r>
    </w:p>
    <w:p>
      <w:pPr>
        <w:adjustRightInd w:val="0"/>
        <w:snapToGrid w:val="0"/>
        <w:spacing w:line="62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25" o:spt="75" type="#_x0000_t75" style="height:241.5pt;width:128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Visio.Drawing.15" ShapeID="_x0000_i1025" DrawAspect="Content" ObjectID="_1468075725" r:id="rId4">
            <o:LockedField>false</o:LockedField>
          </o:OLEObject>
        </w:objec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76EC4B"/>
    <w:multiLevelType w:val="singleLevel"/>
    <w:tmpl w:val="6176EC4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ED7465"/>
    <w:rsid w:val="0E433C4A"/>
    <w:rsid w:val="45ED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2025-03-07T02:29:00Z</dcterms:created>
  <dc:creator>朱翔宇</dc:creator>
  <cp:lastModifiedBy>朱翔宇</cp:lastModifiedBy>
  <dcterms:modified xsi:type="dcterms:W3CDTF">2025-03-07T03:01:49Z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