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rPr>
          <w:rFonts w:hint="eastAsia" w:eastAsia="Arial Unicode MS"/>
          <w:color w:val="auto"/>
          <w:highlight w:val="none"/>
          <w:lang w:val="en-US" w:eastAsia="zh-CN"/>
        </w:rPr>
      </w:pPr>
    </w:p>
    <w:p>
      <w:pPr>
        <w:spacing w:line="480" w:lineRule="exact"/>
        <w:jc w:val="center"/>
        <w:rPr>
          <w:rFonts w:ascii="宋体" w:hAnsi="宋体" w:eastAsia="宋体" w:cs="宋体"/>
          <w:b/>
          <w:color w:val="auto"/>
          <w:sz w:val="32"/>
          <w:szCs w:val="32"/>
          <w:highlight w:val="none"/>
        </w:rPr>
      </w:pPr>
    </w:p>
    <w:p>
      <w:pPr>
        <w:spacing w:line="360" w:lineRule="auto"/>
        <w:ind w:firstLine="261" w:firstLineChars="50"/>
        <w:jc w:val="center"/>
        <w:rPr>
          <w:rFonts w:ascii="宋体" w:hAnsi="宋体" w:eastAsia="宋体" w:cs="宋体"/>
          <w:b/>
          <w:color w:val="auto"/>
          <w:sz w:val="52"/>
          <w:szCs w:val="52"/>
          <w:highlight w:val="none"/>
        </w:rPr>
      </w:pPr>
    </w:p>
    <w:p>
      <w:pPr>
        <w:spacing w:line="360" w:lineRule="auto"/>
        <w:ind w:firstLine="110" w:firstLineChars="50"/>
        <w:jc w:val="center"/>
        <w:rPr>
          <w:rFonts w:ascii="宋体" w:hAnsi="宋体" w:eastAsia="宋体" w:cs="宋体"/>
          <w:b/>
          <w:color w:val="auto"/>
          <w:sz w:val="22"/>
          <w:highlight w:val="none"/>
        </w:rPr>
      </w:pPr>
    </w:p>
    <w:p>
      <w:pPr>
        <w:spacing w:line="360" w:lineRule="auto"/>
        <w:jc w:val="center"/>
        <w:rPr>
          <w:rFonts w:ascii="宋体" w:hAnsi="宋体" w:eastAsia="宋体" w:cs="宋体"/>
          <w:b/>
          <w:color w:val="auto"/>
          <w:sz w:val="44"/>
          <w:szCs w:val="48"/>
          <w:highlight w:val="none"/>
        </w:rPr>
      </w:pPr>
      <w:r>
        <w:rPr>
          <w:rFonts w:hint="eastAsia" w:ascii="宋体" w:hAnsi="宋体" w:eastAsia="宋体" w:cs="宋体"/>
          <w:b/>
          <w:color w:val="auto"/>
          <w:sz w:val="44"/>
          <w:szCs w:val="48"/>
          <w:highlight w:val="none"/>
        </w:rPr>
        <w:t>服务类公开招标文件</w:t>
      </w:r>
    </w:p>
    <w:p>
      <w:pPr>
        <w:spacing w:line="480" w:lineRule="exact"/>
        <w:jc w:val="center"/>
        <w:rPr>
          <w:rFonts w:ascii="宋体" w:hAnsi="宋体" w:eastAsia="宋体" w:cs="宋体"/>
          <w:b/>
          <w:color w:val="auto"/>
          <w:sz w:val="22"/>
          <w:szCs w:val="22"/>
          <w:highlight w:val="none"/>
        </w:rPr>
      </w:pPr>
    </w:p>
    <w:p>
      <w:pPr>
        <w:spacing w:line="480" w:lineRule="exact"/>
        <w:jc w:val="center"/>
        <w:rPr>
          <w:rFonts w:ascii="宋体" w:hAnsi="宋体" w:eastAsia="宋体" w:cs="宋体"/>
          <w:b/>
          <w:color w:val="auto"/>
          <w:sz w:val="22"/>
          <w:szCs w:val="22"/>
          <w:highlight w:val="none"/>
        </w:rPr>
      </w:pPr>
    </w:p>
    <w:p>
      <w:pPr>
        <w:spacing w:line="360" w:lineRule="auto"/>
        <w:ind w:firstLine="1325" w:firstLineChars="600"/>
        <w:rPr>
          <w:rFonts w:ascii="宋体" w:hAnsi="宋体" w:eastAsia="宋体" w:cs="宋体"/>
          <w:b/>
          <w:color w:val="auto"/>
          <w:sz w:val="22"/>
          <w:szCs w:val="22"/>
          <w:highlight w:val="none"/>
        </w:rPr>
      </w:pPr>
    </w:p>
    <w:p>
      <w:pPr>
        <w:spacing w:line="360" w:lineRule="auto"/>
        <w:ind w:firstLine="1325" w:firstLineChars="600"/>
        <w:rPr>
          <w:rFonts w:ascii="宋体" w:hAnsi="宋体" w:eastAsia="宋体" w:cs="宋体"/>
          <w:b/>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left="2446" w:leftChars="400" w:hanging="1606" w:hangingChars="500"/>
        <w:jc w:val="left"/>
        <w:textAlignment w:val="auto"/>
        <w:outlineLvl w:val="0"/>
        <w:rPr>
          <w:rFonts w:hint="eastAsia" w:ascii="宋体" w:hAnsi="宋体" w:eastAsia="宋体" w:cs="宋体"/>
          <w:b/>
          <w:i/>
          <w:color w:val="auto"/>
          <w:sz w:val="18"/>
          <w:szCs w:val="18"/>
          <w:highlight w:val="none"/>
          <w:u w:val="single"/>
          <w:lang w:eastAsia="zh-CN"/>
        </w:rPr>
      </w:pPr>
      <w:bookmarkStart w:id="0" w:name="_Toc16720"/>
      <w:r>
        <w:rPr>
          <w:rFonts w:hint="eastAsia" w:ascii="宋体" w:hAnsi="宋体" w:eastAsia="宋体" w:cs="宋体"/>
          <w:b/>
          <w:color w:val="auto"/>
          <w:sz w:val="32"/>
          <w:szCs w:val="28"/>
          <w:highlight w:val="none"/>
        </w:rPr>
        <w:t>项目名称：</w:t>
      </w:r>
      <w:bookmarkEnd w:id="0"/>
      <w:r>
        <w:rPr>
          <w:rFonts w:hint="eastAsia" w:ascii="宋体" w:hAnsi="宋体" w:eastAsia="宋体" w:cs="宋体"/>
          <w:b/>
          <w:color w:val="auto"/>
          <w:sz w:val="32"/>
          <w:szCs w:val="28"/>
          <w:highlight w:val="none"/>
          <w:lang w:eastAsia="zh-CN"/>
        </w:rPr>
        <w:t>国家税务总局阳江市税务局网络电路租赁服务项目</w:t>
      </w:r>
    </w:p>
    <w:p>
      <w:pPr>
        <w:keepNext w:val="0"/>
        <w:keepLines w:val="0"/>
        <w:pageBreakBefore w:val="0"/>
        <w:widowControl w:val="0"/>
        <w:kinsoku/>
        <w:wordWrap/>
        <w:overflowPunct/>
        <w:topLinePunct w:val="0"/>
        <w:autoSpaceDE/>
        <w:autoSpaceDN/>
        <w:bidi w:val="0"/>
        <w:adjustRightInd w:val="0"/>
        <w:snapToGrid/>
        <w:spacing w:line="360" w:lineRule="auto"/>
        <w:ind w:left="840" w:leftChars="400" w:firstLine="0" w:firstLineChars="0"/>
        <w:jc w:val="left"/>
        <w:textAlignment w:val="auto"/>
        <w:outlineLvl w:val="0"/>
        <w:rPr>
          <w:rFonts w:hint="eastAsia" w:ascii="宋体" w:hAnsi="宋体" w:eastAsia="宋体" w:cs="宋体"/>
          <w:b/>
          <w:color w:val="auto"/>
          <w:sz w:val="32"/>
          <w:szCs w:val="28"/>
          <w:highlight w:val="none"/>
          <w:lang w:eastAsia="zh-CN"/>
        </w:rPr>
      </w:pPr>
      <w:bookmarkStart w:id="1" w:name="_Toc14636"/>
      <w:r>
        <w:rPr>
          <w:rFonts w:hint="eastAsia" w:ascii="宋体" w:hAnsi="宋体" w:eastAsia="宋体" w:cs="宋体"/>
          <w:b/>
          <w:color w:val="auto"/>
          <w:sz w:val="32"/>
          <w:szCs w:val="28"/>
          <w:highlight w:val="none"/>
        </w:rPr>
        <w:t>项目编号：</w:t>
      </w:r>
      <w:bookmarkEnd w:id="1"/>
      <w:r>
        <w:rPr>
          <w:rFonts w:hint="eastAsia" w:ascii="宋体" w:hAnsi="宋体" w:eastAsia="宋体" w:cs="宋体"/>
          <w:b/>
          <w:iCs/>
          <w:color w:val="auto"/>
          <w:sz w:val="32"/>
          <w:szCs w:val="32"/>
          <w:highlight w:val="none"/>
          <w:lang w:eastAsia="zh-CN"/>
        </w:rPr>
        <w:t>M4400000707532662001</w:t>
      </w:r>
    </w:p>
    <w:p>
      <w:pPr>
        <w:spacing w:line="360" w:lineRule="auto"/>
        <w:ind w:firstLine="1269" w:firstLineChars="395"/>
        <w:rPr>
          <w:rFonts w:ascii="宋体" w:hAnsi="宋体" w:eastAsia="宋体" w:cs="宋体"/>
          <w:b/>
          <w:color w:val="auto"/>
          <w:sz w:val="32"/>
          <w:szCs w:val="32"/>
          <w:highlight w:val="none"/>
        </w:rPr>
      </w:pPr>
    </w:p>
    <w:p>
      <w:pPr>
        <w:spacing w:line="360" w:lineRule="auto"/>
        <w:ind w:firstLine="1269" w:firstLineChars="395"/>
        <w:rPr>
          <w:rFonts w:ascii="宋体" w:hAnsi="宋体" w:eastAsia="宋体" w:cs="宋体"/>
          <w:b/>
          <w:color w:val="auto"/>
          <w:sz w:val="32"/>
          <w:szCs w:val="32"/>
          <w:highlight w:val="none"/>
        </w:rPr>
      </w:pPr>
    </w:p>
    <w:p>
      <w:pPr>
        <w:spacing w:line="360" w:lineRule="auto"/>
        <w:ind w:firstLine="1269" w:firstLineChars="395"/>
        <w:rPr>
          <w:rFonts w:ascii="宋体" w:hAnsi="宋体" w:eastAsia="宋体" w:cs="宋体"/>
          <w:b/>
          <w:color w:val="auto"/>
          <w:sz w:val="32"/>
          <w:szCs w:val="32"/>
          <w:highlight w:val="none"/>
        </w:rPr>
      </w:pPr>
    </w:p>
    <w:p>
      <w:pPr>
        <w:spacing w:line="360" w:lineRule="auto"/>
        <w:ind w:firstLine="1269" w:firstLineChars="395"/>
        <w:rPr>
          <w:rFonts w:ascii="宋体" w:hAnsi="宋体" w:eastAsia="宋体" w:cs="宋体"/>
          <w:b/>
          <w:color w:val="auto"/>
          <w:sz w:val="32"/>
          <w:szCs w:val="32"/>
          <w:highlight w:val="none"/>
        </w:rPr>
      </w:pPr>
    </w:p>
    <w:p>
      <w:pPr>
        <w:spacing w:line="360" w:lineRule="auto"/>
        <w:ind w:firstLine="1269" w:firstLineChars="395"/>
        <w:rPr>
          <w:rFonts w:ascii="宋体" w:hAnsi="宋体" w:eastAsia="宋体" w:cs="宋体"/>
          <w:b/>
          <w:color w:val="auto"/>
          <w:sz w:val="32"/>
          <w:szCs w:val="32"/>
          <w:highlight w:val="none"/>
        </w:rPr>
      </w:pPr>
    </w:p>
    <w:p>
      <w:pPr>
        <w:spacing w:line="360" w:lineRule="auto"/>
        <w:ind w:firstLine="1269" w:firstLineChars="395"/>
        <w:rPr>
          <w:rFonts w:ascii="宋体" w:hAnsi="宋体" w:eastAsia="宋体" w:cs="宋体"/>
          <w:b/>
          <w:color w:val="auto"/>
          <w:sz w:val="32"/>
          <w:szCs w:val="32"/>
          <w:highlight w:val="none"/>
        </w:rPr>
      </w:pPr>
    </w:p>
    <w:p>
      <w:pPr>
        <w:widowControl/>
        <w:spacing w:line="360" w:lineRule="auto"/>
        <w:jc w:val="center"/>
        <w:rPr>
          <w:rFonts w:hint="eastAsia" w:ascii="宋体" w:hAnsi="宋体" w:eastAsia="宋体" w:cs="宋体"/>
          <w:b/>
          <w:bCs/>
          <w:color w:val="auto"/>
          <w:kern w:val="0"/>
          <w:sz w:val="28"/>
          <w:szCs w:val="22"/>
          <w:highlight w:val="none"/>
          <w:lang w:eastAsia="zh-CN"/>
        </w:rPr>
      </w:pPr>
      <w:r>
        <w:rPr>
          <w:rFonts w:hint="eastAsia" w:ascii="宋体" w:hAnsi="宋体" w:eastAsia="宋体" w:cs="宋体"/>
          <w:b/>
          <w:bCs/>
          <w:color w:val="auto"/>
          <w:kern w:val="0"/>
          <w:sz w:val="28"/>
          <w:szCs w:val="22"/>
          <w:highlight w:val="none"/>
          <w:lang w:eastAsia="zh-CN"/>
        </w:rPr>
        <w:t>国家税务总局阳江市税务局</w:t>
      </w:r>
    </w:p>
    <w:p>
      <w:pPr>
        <w:widowControl/>
        <w:spacing w:line="360" w:lineRule="auto"/>
        <w:jc w:val="center"/>
        <w:outlineLvl w:val="0"/>
        <w:rPr>
          <w:rFonts w:ascii="宋体" w:hAnsi="宋体" w:eastAsia="宋体" w:cs="宋体"/>
          <w:b/>
          <w:bCs/>
          <w:color w:val="auto"/>
          <w:kern w:val="0"/>
          <w:sz w:val="28"/>
          <w:szCs w:val="22"/>
          <w:highlight w:val="none"/>
        </w:rPr>
      </w:pPr>
      <w:bookmarkStart w:id="2" w:name="_Toc29628"/>
      <w:r>
        <w:rPr>
          <w:rFonts w:hint="eastAsia" w:ascii="宋体" w:hAnsi="宋体" w:eastAsia="宋体" w:cs="宋体"/>
          <w:b/>
          <w:bCs/>
          <w:color w:val="auto"/>
          <w:kern w:val="0"/>
          <w:sz w:val="28"/>
          <w:szCs w:val="22"/>
          <w:highlight w:val="none"/>
        </w:rPr>
        <w:t>广东省机电设备招标有限公司</w:t>
      </w:r>
      <w:bookmarkEnd w:id="2"/>
    </w:p>
    <w:p>
      <w:pPr>
        <w:widowControl/>
        <w:jc w:val="center"/>
        <w:rPr>
          <w:rFonts w:ascii="宋体" w:hAnsi="宋体" w:eastAsia="宋体" w:cs="宋体"/>
          <w:b/>
          <w:bCs/>
          <w:color w:val="auto"/>
          <w:sz w:val="28"/>
          <w:szCs w:val="36"/>
          <w:highlight w:val="none"/>
        </w:rPr>
      </w:pPr>
      <w:r>
        <w:rPr>
          <w:rFonts w:hint="eastAsia" w:ascii="宋体" w:hAnsi="宋体" w:eastAsia="宋体" w:cs="宋体"/>
          <w:b/>
          <w:bCs/>
          <w:color w:val="auto"/>
          <w:kern w:val="0"/>
          <w:sz w:val="28"/>
          <w:szCs w:val="22"/>
          <w:highlight w:val="none"/>
        </w:rPr>
        <w:t>发布日期：</w:t>
      </w:r>
      <w:r>
        <w:rPr>
          <w:rFonts w:hint="eastAsia"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月</w:t>
      </w:r>
    </w:p>
    <w:p>
      <w:pPr>
        <w:jc w:val="center"/>
        <w:rPr>
          <w:rFonts w:ascii="宋体" w:hAnsi="宋体" w:eastAsia="宋体" w:cs="宋体"/>
          <w:b/>
          <w:color w:val="auto"/>
          <w:highlight w:val="none"/>
        </w:rPr>
      </w:pPr>
      <w:r>
        <w:rPr>
          <w:rFonts w:hint="eastAsia" w:ascii="宋体" w:hAnsi="宋体" w:eastAsia="宋体" w:cs="宋体"/>
          <w:color w:val="auto"/>
          <w:sz w:val="36"/>
          <w:highlight w:val="none"/>
        </w:rPr>
        <w:br w:type="page"/>
      </w:r>
      <w:bookmarkStart w:id="3" w:name="_Toc95484118"/>
      <w:r>
        <w:rPr>
          <w:rFonts w:hint="eastAsia" w:ascii="宋体" w:hAnsi="宋体" w:eastAsia="宋体" w:cs="宋体"/>
          <w:b/>
          <w:color w:val="auto"/>
          <w:sz w:val="36"/>
          <w:highlight w:val="none"/>
        </w:rPr>
        <w:t>温馨提示</w:t>
      </w:r>
      <w:bookmarkEnd w:id="3"/>
    </w:p>
    <w:p>
      <w:pPr>
        <w:spacing w:line="360" w:lineRule="auto"/>
        <w:jc w:val="center"/>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（本提示内容非招标文件的组成部分，仅为善意提醒。如有不一致，以招标文件为准）</w:t>
      </w:r>
    </w:p>
    <w:p>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如无另行说明，投标文件递交时间为投标文件</w:t>
      </w:r>
      <w:r>
        <w:rPr>
          <w:rFonts w:hint="eastAsia" w:ascii="宋体" w:hAnsi="宋体" w:eastAsia="宋体" w:cs="宋体"/>
          <w:b/>
          <w:color w:val="auto"/>
          <w:szCs w:val="21"/>
          <w:highlight w:val="none"/>
          <w:u w:val="single"/>
        </w:rPr>
        <w:t>递交截止时间之前30分钟</w:t>
      </w:r>
      <w:r>
        <w:rPr>
          <w:rFonts w:hint="eastAsia" w:ascii="宋体" w:hAnsi="宋体" w:eastAsia="宋体" w:cs="宋体"/>
          <w:color w:val="auto"/>
          <w:szCs w:val="21"/>
          <w:highlight w:val="none"/>
        </w:rPr>
        <w:t>内。</w:t>
      </w:r>
    </w:p>
    <w:p>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对可接受分支机构投标的项目，分支机构投标的，须提供分支机构的营业执照（执业许可证）复印件、总公司（总所）的营业执照副本复印件及总公司（总所）出具给分支机构的授权书，</w:t>
      </w:r>
      <w:r>
        <w:rPr>
          <w:rFonts w:hint="eastAsia" w:ascii="宋体" w:hAnsi="宋体" w:eastAsia="宋体" w:cs="宋体"/>
          <w:b/>
          <w:color w:val="auto"/>
          <w:szCs w:val="21"/>
          <w:highlight w:val="none"/>
        </w:rPr>
        <w:t>授权书须加盖总公司（总所）公章</w:t>
      </w:r>
      <w:r>
        <w:rPr>
          <w:rFonts w:hint="eastAsia" w:ascii="宋体" w:hAnsi="宋体" w:eastAsia="宋体" w:cs="宋体"/>
          <w:color w:val="auto"/>
          <w:szCs w:val="21"/>
          <w:highlight w:val="none"/>
        </w:rPr>
        <w:t>。总公司（总所）可就本项目或此类项目在一定范围或时间内出具授权书。已由总公司（总所）授权的，总公司（总所）取得的相关资质证书对分支机构有效，法律法规或者行业另有规定的除外。</w:t>
      </w:r>
    </w:p>
    <w:p>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投标人请注意区分投标保证金及采购代理服务费收款</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的区别。如项目（采购包）要求缴纳投标保证金的，供应商在按照招标公告</w:t>
      </w:r>
      <w:bookmarkStart w:id="223" w:name="_GoBack"/>
      <w:bookmarkEnd w:id="223"/>
      <w:r>
        <w:rPr>
          <w:rFonts w:hint="eastAsia" w:ascii="宋体" w:hAnsi="宋体" w:eastAsia="宋体" w:cs="宋体"/>
          <w:color w:val="auto"/>
          <w:szCs w:val="21"/>
          <w:highlight w:val="none"/>
        </w:rPr>
        <w:t>及招标文件规定获取招标文件后，请投标人务必按要求将保证金存入所投项目（采购包）指定的保证金专用账户；投标保证金的转账当天不一定能够达账，为避免因投标保证金未达账而导致投标被拒绝，建议在递交投标保证金充分考虑以上因素。采购代理服务费存入指定的</w:t>
      </w:r>
      <w:r>
        <w:rPr>
          <w:rFonts w:hint="eastAsia" w:ascii="宋体" w:hAnsi="宋体" w:eastAsia="宋体" w:cs="宋体"/>
          <w:b/>
          <w:color w:val="auto"/>
          <w:szCs w:val="21"/>
          <w:highlight w:val="none"/>
          <w:u w:val="single"/>
        </w:rPr>
        <w:t>采购代理服务费缴费账户</w:t>
      </w:r>
      <w:r>
        <w:rPr>
          <w:rFonts w:hint="eastAsia" w:ascii="宋体" w:hAnsi="宋体" w:eastAsia="宋体" w:cs="宋体"/>
          <w:color w:val="auto"/>
          <w:szCs w:val="21"/>
          <w:highlight w:val="none"/>
        </w:rPr>
        <w:t>。</w:t>
      </w:r>
    </w:p>
    <w:p>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为了节约社会交易成本与时间，获取了招标文件而决定不参加本次投标的供应商，在投标文件递交截止时间的3日前，按招标公告中的联系方式，</w:t>
      </w:r>
      <w:r>
        <w:rPr>
          <w:rFonts w:hint="eastAsia" w:ascii="宋体" w:hAnsi="宋体" w:eastAsia="宋体" w:cs="宋体"/>
          <w:b/>
          <w:color w:val="auto"/>
          <w:szCs w:val="21"/>
          <w:highlight w:val="none"/>
          <w:u w:val="single"/>
        </w:rPr>
        <w:t>告知采购代理机构</w:t>
      </w:r>
      <w:r>
        <w:rPr>
          <w:rFonts w:hint="eastAsia" w:ascii="宋体" w:hAnsi="宋体" w:eastAsia="宋体" w:cs="宋体"/>
          <w:color w:val="auto"/>
          <w:szCs w:val="21"/>
          <w:highlight w:val="none"/>
        </w:rPr>
        <w:t>。对您的支持与配合，谨此致谢。</w:t>
      </w:r>
    </w:p>
    <w:p>
      <w:pPr>
        <w:ind w:left="480" w:firstLine="480" w:firstLineChars="200"/>
        <w:rPr>
          <w:rFonts w:ascii="宋体" w:hAnsi="宋体" w:eastAsia="宋体" w:cs="宋体"/>
          <w:color w:val="auto"/>
          <w:sz w:val="24"/>
          <w:highlight w:val="none"/>
        </w:rPr>
      </w:pPr>
    </w:p>
    <w:p>
      <w:pPr>
        <w:jc w:val="center"/>
        <w:rPr>
          <w:rFonts w:ascii="宋体" w:hAnsi="宋体" w:eastAsia="宋体" w:cs="宋体"/>
          <w:b/>
          <w:bCs/>
          <w:color w:val="auto"/>
          <w:sz w:val="36"/>
          <w:szCs w:val="44"/>
          <w:highlight w:val="none"/>
        </w:rPr>
        <w:sectPr>
          <w:pgSz w:w="11906" w:h="16838"/>
          <w:pgMar w:top="1440" w:right="1800" w:bottom="1440" w:left="1236" w:header="851" w:footer="992" w:gutter="0"/>
          <w:cols w:space="720" w:num="1"/>
          <w:docGrid w:type="lines" w:linePitch="312" w:charSpace="0"/>
        </w:sectPr>
      </w:pPr>
    </w:p>
    <w:p>
      <w:pPr>
        <w:spacing w:line="360" w:lineRule="auto"/>
        <w:jc w:val="center"/>
        <w:rPr>
          <w:rFonts w:ascii="宋体" w:hAnsi="宋体" w:eastAsia="宋体"/>
          <w:color w:val="auto"/>
          <w:sz w:val="40"/>
          <w:szCs w:val="48"/>
          <w:highlight w:val="none"/>
        </w:rPr>
      </w:pPr>
    </w:p>
    <w:sdt>
      <w:sdtPr>
        <w:rPr>
          <w:rFonts w:ascii="宋体" w:hAnsi="宋体" w:eastAsia="宋体"/>
          <w:color w:val="auto"/>
          <w:sz w:val="40"/>
          <w:szCs w:val="48"/>
          <w:highlight w:val="none"/>
        </w:rPr>
        <w:id w:val="147464600"/>
        <w:docPartObj>
          <w:docPartGallery w:val="Table of Contents"/>
          <w:docPartUnique/>
        </w:docPartObj>
      </w:sdtPr>
      <w:sdtEndPr>
        <w:rPr>
          <w:rFonts w:ascii="宋体" w:hAnsi="宋体" w:eastAsia="宋体" w:cs="宋体"/>
          <w:color w:val="auto"/>
          <w:sz w:val="21"/>
          <w:szCs w:val="21"/>
          <w:highlight w:val="none"/>
        </w:rPr>
      </w:sdtEndPr>
      <w:sdtContent>
        <w:p>
          <w:pPr>
            <w:spacing w:line="480" w:lineRule="auto"/>
            <w:jc w:val="center"/>
            <w:rPr>
              <w:color w:val="auto"/>
              <w:sz w:val="44"/>
              <w:szCs w:val="52"/>
              <w:highlight w:val="none"/>
            </w:rPr>
          </w:pPr>
          <w:r>
            <w:rPr>
              <w:rFonts w:ascii="宋体" w:hAnsi="宋体" w:eastAsia="宋体"/>
              <w:color w:val="auto"/>
              <w:sz w:val="44"/>
              <w:szCs w:val="52"/>
              <w:highlight w:val="none"/>
            </w:rPr>
            <w:t>目录</w:t>
          </w:r>
        </w:p>
        <w:p>
          <w:pPr>
            <w:pStyle w:val="64"/>
            <w:tabs>
              <w:tab w:val="right" w:leader="dot" w:pos="8306"/>
            </w:tabs>
            <w:spacing w:line="480" w:lineRule="auto"/>
            <w:rPr>
              <w:color w:val="auto"/>
              <w:sz w:val="40"/>
              <w:szCs w:val="40"/>
              <w:highlight w:val="none"/>
            </w:rPr>
          </w:pPr>
          <w:r>
            <w:rPr>
              <w:rFonts w:ascii="宋体" w:hAnsi="宋体" w:cs="宋体"/>
              <w:b/>
              <w:color w:val="auto"/>
              <w:sz w:val="40"/>
              <w:szCs w:val="44"/>
              <w:highlight w:val="none"/>
            </w:rPr>
            <w:fldChar w:fldCharType="begin"/>
          </w:r>
          <w:r>
            <w:rPr>
              <w:rFonts w:ascii="宋体" w:hAnsi="宋体" w:cs="宋体"/>
              <w:b/>
              <w:color w:val="auto"/>
              <w:sz w:val="40"/>
              <w:szCs w:val="44"/>
              <w:highlight w:val="none"/>
            </w:rPr>
            <w:instrText xml:space="preserve">TOC \o "1-1" \h \u </w:instrText>
          </w:r>
          <w:r>
            <w:rPr>
              <w:rFonts w:ascii="宋体" w:hAnsi="宋体" w:cs="宋体"/>
              <w:b/>
              <w:color w:val="auto"/>
              <w:sz w:val="40"/>
              <w:szCs w:val="44"/>
              <w:highlight w:val="none"/>
            </w:rPr>
            <w:fldChar w:fldCharType="separate"/>
          </w:r>
        </w:p>
        <w:p>
          <w:pPr>
            <w:pStyle w:val="64"/>
            <w:tabs>
              <w:tab w:val="right" w:leader="dot" w:pos="8306"/>
            </w:tabs>
            <w:spacing w:line="480" w:lineRule="auto"/>
            <w:rPr>
              <w:color w:val="auto"/>
              <w:sz w:val="28"/>
              <w:szCs w:val="28"/>
              <w:highlight w:val="none"/>
            </w:rPr>
          </w:pPr>
          <w:r>
            <w:rPr>
              <w:color w:val="auto"/>
              <w:sz w:val="15"/>
              <w:szCs w:val="15"/>
              <w:highlight w:val="none"/>
            </w:rPr>
            <w:fldChar w:fldCharType="begin"/>
          </w:r>
          <w:r>
            <w:rPr>
              <w:color w:val="auto"/>
              <w:sz w:val="15"/>
              <w:szCs w:val="15"/>
              <w:highlight w:val="none"/>
            </w:rPr>
            <w:instrText xml:space="preserve"> HYPERLINK \l "_Toc10644" </w:instrText>
          </w:r>
          <w:r>
            <w:rPr>
              <w:color w:val="auto"/>
              <w:sz w:val="15"/>
              <w:szCs w:val="15"/>
              <w:highlight w:val="none"/>
            </w:rPr>
            <w:fldChar w:fldCharType="separate"/>
          </w:r>
          <w:r>
            <w:rPr>
              <w:rFonts w:hint="eastAsia" w:ascii="宋体" w:hAnsi="宋体" w:cs="宋体"/>
              <w:color w:val="auto"/>
              <w:sz w:val="28"/>
              <w:szCs w:val="28"/>
              <w:highlight w:val="none"/>
            </w:rPr>
            <w:t>第一部分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_Toc10644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64"/>
            <w:tabs>
              <w:tab w:val="right" w:leader="dot" w:pos="8306"/>
            </w:tabs>
            <w:spacing w:line="480" w:lineRule="auto"/>
            <w:rPr>
              <w:color w:val="auto"/>
              <w:sz w:val="28"/>
              <w:szCs w:val="28"/>
              <w:highlight w:val="none"/>
            </w:rPr>
          </w:pPr>
          <w:r>
            <w:rPr>
              <w:color w:val="auto"/>
              <w:sz w:val="15"/>
              <w:szCs w:val="15"/>
              <w:highlight w:val="none"/>
            </w:rPr>
            <w:fldChar w:fldCharType="begin"/>
          </w:r>
          <w:r>
            <w:rPr>
              <w:color w:val="auto"/>
              <w:sz w:val="15"/>
              <w:szCs w:val="15"/>
              <w:highlight w:val="none"/>
            </w:rPr>
            <w:instrText xml:space="preserve"> HYPERLINK \l "_Toc13216" </w:instrText>
          </w:r>
          <w:r>
            <w:rPr>
              <w:color w:val="auto"/>
              <w:sz w:val="15"/>
              <w:szCs w:val="15"/>
              <w:highlight w:val="none"/>
            </w:rPr>
            <w:fldChar w:fldCharType="separate"/>
          </w:r>
          <w:r>
            <w:rPr>
              <w:rFonts w:hint="eastAsia" w:ascii="宋体" w:hAnsi="宋体" w:cs="宋体"/>
              <w:color w:val="auto"/>
              <w:sz w:val="28"/>
              <w:szCs w:val="28"/>
              <w:highlight w:val="none"/>
            </w:rPr>
            <w:t>第二部分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_Toc13216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pPr>
            <w:pStyle w:val="64"/>
            <w:tabs>
              <w:tab w:val="right" w:leader="dot" w:pos="8306"/>
            </w:tabs>
            <w:spacing w:line="480" w:lineRule="auto"/>
            <w:rPr>
              <w:color w:val="auto"/>
              <w:sz w:val="28"/>
              <w:szCs w:val="28"/>
              <w:highlight w:val="none"/>
            </w:rPr>
          </w:pPr>
          <w:r>
            <w:rPr>
              <w:color w:val="auto"/>
              <w:sz w:val="15"/>
              <w:szCs w:val="15"/>
              <w:highlight w:val="none"/>
            </w:rPr>
            <w:fldChar w:fldCharType="begin"/>
          </w:r>
          <w:r>
            <w:rPr>
              <w:color w:val="auto"/>
              <w:sz w:val="15"/>
              <w:szCs w:val="15"/>
              <w:highlight w:val="none"/>
            </w:rPr>
            <w:instrText xml:space="preserve"> HYPERLINK \l "_Toc865" </w:instrText>
          </w:r>
          <w:r>
            <w:rPr>
              <w:color w:val="auto"/>
              <w:sz w:val="15"/>
              <w:szCs w:val="15"/>
              <w:highlight w:val="none"/>
            </w:rPr>
            <w:fldChar w:fldCharType="separate"/>
          </w:r>
          <w:r>
            <w:rPr>
              <w:rFonts w:hint="eastAsia" w:ascii="宋体" w:hAnsi="宋体" w:cs="宋体"/>
              <w:color w:val="auto"/>
              <w:sz w:val="28"/>
              <w:szCs w:val="28"/>
              <w:highlight w:val="none"/>
            </w:rPr>
            <w:t>第三部分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评标方法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_Toc865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64"/>
            <w:tabs>
              <w:tab w:val="right" w:leader="dot" w:pos="8306"/>
            </w:tabs>
            <w:spacing w:line="480" w:lineRule="auto"/>
            <w:rPr>
              <w:color w:val="auto"/>
              <w:sz w:val="28"/>
              <w:szCs w:val="28"/>
              <w:highlight w:val="none"/>
            </w:rPr>
          </w:pPr>
          <w:r>
            <w:rPr>
              <w:color w:val="auto"/>
              <w:sz w:val="15"/>
              <w:szCs w:val="15"/>
              <w:highlight w:val="none"/>
            </w:rPr>
            <w:fldChar w:fldCharType="begin"/>
          </w:r>
          <w:r>
            <w:rPr>
              <w:color w:val="auto"/>
              <w:sz w:val="15"/>
              <w:szCs w:val="15"/>
              <w:highlight w:val="none"/>
            </w:rPr>
            <w:instrText xml:space="preserve"> HYPERLINK \l "_Toc13258" </w:instrText>
          </w:r>
          <w:r>
            <w:rPr>
              <w:color w:val="auto"/>
              <w:sz w:val="15"/>
              <w:szCs w:val="15"/>
              <w:highlight w:val="none"/>
            </w:rPr>
            <w:fldChar w:fldCharType="separate"/>
          </w:r>
          <w:r>
            <w:rPr>
              <w:rFonts w:hint="eastAsia" w:ascii="宋体" w:hAnsi="宋体" w:cs="宋体"/>
              <w:color w:val="auto"/>
              <w:sz w:val="28"/>
              <w:szCs w:val="28"/>
              <w:highlight w:val="none"/>
            </w:rPr>
            <w:t>第四部分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_Toc13258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pPr>
            <w:pStyle w:val="64"/>
            <w:tabs>
              <w:tab w:val="right" w:leader="dot" w:pos="8306"/>
            </w:tabs>
            <w:spacing w:line="480" w:lineRule="auto"/>
            <w:rPr>
              <w:color w:val="auto"/>
              <w:sz w:val="28"/>
              <w:szCs w:val="28"/>
              <w:highlight w:val="none"/>
            </w:rPr>
          </w:pPr>
          <w:r>
            <w:rPr>
              <w:color w:val="auto"/>
              <w:sz w:val="15"/>
              <w:szCs w:val="15"/>
              <w:highlight w:val="none"/>
            </w:rPr>
            <w:fldChar w:fldCharType="begin"/>
          </w:r>
          <w:r>
            <w:rPr>
              <w:color w:val="auto"/>
              <w:sz w:val="15"/>
              <w:szCs w:val="15"/>
              <w:highlight w:val="none"/>
            </w:rPr>
            <w:instrText xml:space="preserve"> HYPERLINK \l "_Toc1848" </w:instrText>
          </w:r>
          <w:r>
            <w:rPr>
              <w:color w:val="auto"/>
              <w:sz w:val="15"/>
              <w:szCs w:val="15"/>
              <w:highlight w:val="none"/>
            </w:rPr>
            <w:fldChar w:fldCharType="separate"/>
          </w:r>
          <w:r>
            <w:rPr>
              <w:rFonts w:hint="eastAsia" w:ascii="宋体" w:hAnsi="宋体" w:cs="宋体"/>
              <w:color w:val="auto"/>
              <w:sz w:val="28"/>
              <w:szCs w:val="28"/>
              <w:highlight w:val="none"/>
            </w:rPr>
            <w:t>第五部分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投标文件内容及格式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_Toc1848 \h </w:instrText>
          </w:r>
          <w:r>
            <w:rPr>
              <w:color w:val="auto"/>
              <w:sz w:val="28"/>
              <w:szCs w:val="28"/>
              <w:highlight w:val="none"/>
            </w:rPr>
            <w:fldChar w:fldCharType="separate"/>
          </w:r>
          <w:r>
            <w:rPr>
              <w:color w:val="auto"/>
              <w:sz w:val="28"/>
              <w:szCs w:val="28"/>
              <w:highlight w:val="none"/>
            </w:rPr>
            <w:t>55</w:t>
          </w:r>
          <w:r>
            <w:rPr>
              <w:color w:val="auto"/>
              <w:sz w:val="28"/>
              <w:szCs w:val="28"/>
              <w:highlight w:val="none"/>
            </w:rPr>
            <w:fldChar w:fldCharType="end"/>
          </w:r>
          <w:r>
            <w:rPr>
              <w:color w:val="auto"/>
              <w:sz w:val="28"/>
              <w:szCs w:val="28"/>
              <w:highlight w:val="none"/>
            </w:rPr>
            <w:fldChar w:fldCharType="end"/>
          </w:r>
        </w:p>
        <w:p>
          <w:pPr>
            <w:spacing w:line="480" w:lineRule="auto"/>
            <w:jc w:val="left"/>
            <w:rPr>
              <w:rFonts w:ascii="宋体" w:hAnsi="宋体" w:eastAsia="宋体" w:cs="宋体"/>
              <w:b/>
              <w:color w:val="auto"/>
              <w:szCs w:val="21"/>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rFonts w:ascii="宋体" w:hAnsi="宋体" w:eastAsia="宋体" w:cs="宋体"/>
              <w:color w:val="auto"/>
              <w:sz w:val="44"/>
              <w:szCs w:val="44"/>
              <w:highlight w:val="none"/>
            </w:rPr>
            <w:fldChar w:fldCharType="end"/>
          </w:r>
        </w:p>
      </w:sdtContent>
    </w:sdt>
    <w:p>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32"/>
          <w:szCs w:val="32"/>
          <w:highlight w:val="none"/>
          <w:lang w:val="en-US" w:eastAsia="zh-CN"/>
        </w:rPr>
        <w:t>投标邀请</w:t>
      </w:r>
    </w:p>
    <w:p>
      <w:pPr>
        <w:widowControl/>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国家税务总局阳江市税务局网络电路租赁服务项目</w:t>
      </w:r>
      <w:r>
        <w:rPr>
          <w:rFonts w:hint="eastAsia" w:ascii="宋体" w:hAnsi="宋体" w:eastAsia="宋体" w:cs="宋体"/>
          <w:color w:val="auto"/>
          <w:kern w:val="0"/>
          <w:szCs w:val="21"/>
          <w:highlight w:val="none"/>
        </w:rPr>
        <w:t>）招标项目的潜在投标人应在广咨电子招投标交易平台（www.gzebid.cn）获取招标文件，并于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w:t>
      </w:r>
      <w:r>
        <w:rPr>
          <w:rFonts w:hint="eastAsia" w:ascii="宋体" w:hAnsi="宋体" w:eastAsia="宋体" w:cs="宋体"/>
          <w:color w:val="auto"/>
          <w:kern w:val="0"/>
          <w:szCs w:val="21"/>
          <w:highlight w:val="none"/>
        </w:rPr>
        <w:t>前递交投标文件。</w:t>
      </w:r>
    </w:p>
    <w:p>
      <w:pPr>
        <w:spacing w:line="360" w:lineRule="auto"/>
        <w:rPr>
          <w:rFonts w:ascii="宋体" w:hAnsi="宋体" w:eastAsia="宋体" w:cs="宋体"/>
          <w:b/>
          <w:color w:val="auto"/>
          <w:highlight w:val="none"/>
        </w:rPr>
      </w:pPr>
      <w:bookmarkStart w:id="4" w:name="_Toc28359079"/>
      <w:bookmarkStart w:id="5" w:name="_Toc35393790"/>
      <w:bookmarkStart w:id="6" w:name="_Toc19156_WPSOffice_Level1"/>
      <w:bookmarkStart w:id="7" w:name="_Toc54335348"/>
      <w:bookmarkStart w:id="8" w:name="_Toc35393621"/>
      <w:bookmarkStart w:id="9" w:name="_Toc28359002"/>
      <w:bookmarkStart w:id="10" w:name="_Toc95484121"/>
      <w:bookmarkStart w:id="11" w:name="_Hlk24379207"/>
      <w:r>
        <w:rPr>
          <w:rFonts w:hint="eastAsia" w:ascii="宋体" w:hAnsi="宋体" w:eastAsia="宋体" w:cs="宋体"/>
          <w:b/>
          <w:color w:val="auto"/>
          <w:highlight w:val="none"/>
        </w:rPr>
        <w:t>一、项目基本情况</w:t>
      </w:r>
      <w:bookmarkEnd w:id="4"/>
      <w:bookmarkEnd w:id="5"/>
      <w:bookmarkEnd w:id="6"/>
      <w:bookmarkEnd w:id="7"/>
      <w:bookmarkEnd w:id="8"/>
      <w:bookmarkEnd w:id="9"/>
      <w:bookmarkEnd w:id="10"/>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eastAsia="zh-CN"/>
        </w:rPr>
        <w:t>M4400000707532662001</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国家税务总局阳江市税务局网络电路租赁服务项目</w:t>
      </w:r>
    </w:p>
    <w:bookmarkEnd w:id="11"/>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u w:val="single"/>
          <w:lang w:val="en-US" w:eastAsia="zh-CN"/>
        </w:rPr>
        <w:t>175.05万元</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63"/>
        <w:gridCol w:w="817"/>
        <w:gridCol w:w="407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402" w:type="pct"/>
            <w:vAlign w:val="center"/>
          </w:tcPr>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包组号</w:t>
            </w:r>
          </w:p>
        </w:tc>
        <w:tc>
          <w:tcPr>
            <w:tcW w:w="1008" w:type="pct"/>
            <w:vAlign w:val="center"/>
          </w:tcPr>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标的名称</w:t>
            </w:r>
          </w:p>
        </w:tc>
        <w:tc>
          <w:tcPr>
            <w:tcW w:w="467" w:type="pct"/>
            <w:vAlign w:val="center"/>
          </w:tcPr>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数量</w:t>
            </w:r>
          </w:p>
        </w:tc>
        <w:tc>
          <w:tcPr>
            <w:tcW w:w="2329" w:type="pct"/>
            <w:vAlign w:val="center"/>
          </w:tcPr>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简要技术需求或服务要求</w:t>
            </w:r>
          </w:p>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（具体详见采购需求）</w:t>
            </w:r>
          </w:p>
        </w:tc>
        <w:tc>
          <w:tcPr>
            <w:tcW w:w="792" w:type="pct"/>
            <w:vAlign w:val="center"/>
          </w:tcPr>
          <w:p>
            <w:pPr>
              <w:widowControl/>
              <w:spacing w:line="360" w:lineRule="auto"/>
              <w:jc w:val="center"/>
              <w:rPr>
                <w:rFonts w:hint="eastAsia" w:ascii="宋体" w:hAnsi="宋体" w:eastAsia="宋体" w:cs="宋体"/>
                <w:color w:val="auto"/>
                <w:kern w:val="2"/>
                <w:sz w:val="21"/>
                <w:szCs w:val="22"/>
                <w:highlight w:val="none"/>
                <w:u w:color="FFFFFF" w:themeColor="background1"/>
                <w:lang w:val="en-US" w:eastAsia="zh-CN" w:bidi="ar-SA"/>
              </w:rPr>
            </w:pPr>
            <w:r>
              <w:rPr>
                <w:rFonts w:hint="eastAsia" w:ascii="宋体" w:hAnsi="宋体" w:eastAsia="宋体" w:cs="宋体"/>
                <w:color w:val="auto"/>
                <w:kern w:val="2"/>
                <w:sz w:val="21"/>
                <w:szCs w:val="22"/>
                <w:highlight w:val="none"/>
                <w:u w:color="FFFFFF" w:themeColor="background1"/>
                <w:lang w:val="en-US" w:eastAsia="zh-CN" w:bidi="ar-SA"/>
              </w:rPr>
              <w:t>预算金额（人民币万元）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02" w:type="pct"/>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08" w:type="pct"/>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eastAsia="zh-CN"/>
              </w:rPr>
              <w:t>国家税务总局阳江市税务局</w:t>
            </w:r>
            <w:r>
              <w:rPr>
                <w:rFonts w:hint="eastAsia" w:ascii="宋体" w:hAnsi="宋体" w:eastAsia="宋体" w:cs="宋体"/>
                <w:color w:val="auto"/>
                <w:sz w:val="21"/>
                <w:szCs w:val="21"/>
                <w:highlight w:val="none"/>
                <w:lang w:val="en-US" w:eastAsia="zh-CN"/>
              </w:rPr>
              <w:t>主用</w:t>
            </w:r>
            <w:r>
              <w:rPr>
                <w:rFonts w:hint="eastAsia" w:ascii="宋体" w:hAnsi="宋体" w:eastAsia="宋体" w:cs="宋体"/>
                <w:color w:val="auto"/>
                <w:sz w:val="21"/>
                <w:szCs w:val="21"/>
                <w:highlight w:val="none"/>
                <w:lang w:eastAsia="zh-CN"/>
              </w:rPr>
              <w:t>网络电路租赁</w:t>
            </w:r>
          </w:p>
        </w:tc>
        <w:tc>
          <w:tcPr>
            <w:tcW w:w="467" w:type="pct"/>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w:t>
            </w:r>
          </w:p>
        </w:tc>
        <w:tc>
          <w:tcPr>
            <w:tcW w:w="2329" w:type="pct"/>
            <w:vMerge w:val="restart"/>
            <w:vAlign w:val="center"/>
          </w:tcPr>
          <w:p>
            <w:pPr>
              <w:pStyle w:val="12"/>
              <w:rPr>
                <w:rFonts w:hint="eastAsia" w:ascii="宋体" w:hAnsi="宋体" w:eastAsia="宋体" w:cs="宋体"/>
                <w:color w:val="auto"/>
                <w:highlight w:val="none"/>
                <w:u w:color="FFFFFF" w:themeColor="background1"/>
                <w:lang w:eastAsia="zh-CN"/>
              </w:rPr>
            </w:pPr>
            <w:r>
              <w:rPr>
                <w:rFonts w:hint="eastAsia" w:ascii="宋体" w:hAnsi="宋体" w:eastAsia="宋体" w:cs="宋体"/>
                <w:color w:val="auto"/>
                <w:highlight w:val="none"/>
                <w:u w:color="FFFFFF" w:themeColor="background1"/>
                <w:lang w:eastAsia="zh-CN"/>
              </w:rPr>
              <w:t>因工作需要，阳江市税务局需租赁主用及备用网络线路，其中主用线路47条，备用线路37条。为避免单一线路中断影响网络正常使用，主用、备用线路须采用不同的运营商，使用不同的线路接入。</w:t>
            </w:r>
          </w:p>
        </w:tc>
        <w:tc>
          <w:tcPr>
            <w:tcW w:w="792" w:type="pct"/>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02" w:type="pct"/>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008" w:type="pct"/>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国家税务总局阳江市税务局</w:t>
            </w:r>
            <w:r>
              <w:rPr>
                <w:rFonts w:hint="eastAsia" w:ascii="宋体" w:hAnsi="宋体" w:eastAsia="宋体" w:cs="宋体"/>
                <w:color w:val="auto"/>
                <w:sz w:val="21"/>
                <w:szCs w:val="21"/>
                <w:highlight w:val="none"/>
                <w:lang w:val="en-US" w:eastAsia="zh-CN"/>
              </w:rPr>
              <w:t>备用</w:t>
            </w:r>
            <w:r>
              <w:rPr>
                <w:rFonts w:hint="eastAsia" w:ascii="宋体" w:hAnsi="宋体" w:eastAsia="宋体" w:cs="宋体"/>
                <w:color w:val="auto"/>
                <w:sz w:val="21"/>
                <w:szCs w:val="21"/>
                <w:highlight w:val="none"/>
                <w:lang w:eastAsia="zh-CN"/>
              </w:rPr>
              <w:t>网络电路租赁</w:t>
            </w:r>
          </w:p>
        </w:tc>
        <w:tc>
          <w:tcPr>
            <w:tcW w:w="467" w:type="pct"/>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w:t>
            </w:r>
          </w:p>
        </w:tc>
        <w:tc>
          <w:tcPr>
            <w:tcW w:w="2329" w:type="pct"/>
            <w:vMerge w:val="continue"/>
            <w:vAlign w:val="center"/>
          </w:tcPr>
          <w:p>
            <w:pPr>
              <w:pStyle w:val="12"/>
              <w:rPr>
                <w:rFonts w:hint="eastAsia" w:ascii="宋体" w:hAnsi="宋体" w:eastAsia="宋体" w:cs="宋体"/>
                <w:color w:val="auto"/>
                <w:highlight w:val="none"/>
                <w:u w:color="FFFFFF" w:themeColor="background1"/>
                <w:lang w:eastAsia="zh-CN"/>
              </w:rPr>
            </w:pPr>
          </w:p>
        </w:tc>
        <w:tc>
          <w:tcPr>
            <w:tcW w:w="792" w:type="pct"/>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59.1</w:t>
            </w:r>
          </w:p>
        </w:tc>
      </w:tr>
    </w:tbl>
    <w:p>
      <w:pPr>
        <w:widowControl/>
        <w:adjustRightInd w:val="0"/>
        <w:snapToGrid w:val="0"/>
        <w:spacing w:line="360" w:lineRule="auto"/>
        <w:ind w:firstLine="420" w:firstLineChars="200"/>
        <w:jc w:val="left"/>
        <w:rPr>
          <w:rFonts w:ascii="宋体" w:hAnsi="宋体" w:eastAsia="宋体" w:cs="宋体"/>
          <w:i/>
          <w:color w:val="auto"/>
          <w:szCs w:val="21"/>
          <w:highlight w:val="none"/>
        </w:rPr>
      </w:pPr>
      <w:r>
        <w:rPr>
          <w:rFonts w:hint="eastAsia" w:ascii="宋体" w:hAnsi="宋体" w:eastAsia="宋体" w:cs="宋体"/>
          <w:color w:val="auto"/>
          <w:szCs w:val="21"/>
          <w:highlight w:val="none"/>
        </w:rPr>
        <w:t>本项目采购标的所属行业为：</w:t>
      </w:r>
      <w:r>
        <w:rPr>
          <w:rFonts w:hint="eastAsia" w:ascii="宋体" w:hAnsi="宋体" w:eastAsia="宋体" w:cs="宋体"/>
          <w:color w:val="auto"/>
          <w:sz w:val="21"/>
          <w:szCs w:val="21"/>
          <w:highlight w:val="none"/>
          <w:shd w:val="clear" w:color="auto" w:fill="FFFFFF"/>
          <w:lang w:eastAsia="zh-CN"/>
        </w:rPr>
        <w:t>信息传输业</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本项目兼投不兼中。</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合同履行期限：本项目服务期为</w:t>
      </w:r>
      <w:r>
        <w:rPr>
          <w:rFonts w:hint="eastAsia" w:ascii="宋体" w:hAnsi="宋体" w:eastAsia="宋体" w:cs="宋体"/>
          <w:color w:val="auto"/>
          <w:szCs w:val="21"/>
          <w:highlight w:val="none"/>
          <w:lang w:val="en-US" w:eastAsia="zh-CN"/>
        </w:rPr>
        <w:t>15个月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项目验收合格</w:t>
      </w:r>
      <w:r>
        <w:rPr>
          <w:rFonts w:hint="eastAsia" w:ascii="宋体" w:hAnsi="宋体" w:eastAsia="宋体" w:cs="宋体"/>
          <w:color w:val="auto"/>
          <w:szCs w:val="21"/>
          <w:highlight w:val="none"/>
          <w:lang w:val="en-US" w:eastAsia="zh-CN"/>
        </w:rPr>
        <w:t>之日起计算。</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pPr>
        <w:spacing w:line="360" w:lineRule="auto"/>
        <w:rPr>
          <w:rFonts w:ascii="宋体" w:hAnsi="宋体" w:eastAsia="宋体" w:cs="宋体"/>
          <w:b/>
          <w:color w:val="auto"/>
          <w:highlight w:val="none"/>
        </w:rPr>
      </w:pPr>
      <w:bookmarkStart w:id="12" w:name="_Toc95484122"/>
      <w:bookmarkStart w:id="13" w:name="_Toc12980_WPSOffice_Level1"/>
      <w:bookmarkStart w:id="14" w:name="_Toc28359003"/>
      <w:bookmarkStart w:id="15" w:name="_Toc35393622"/>
      <w:bookmarkStart w:id="16" w:name="_Toc54335349"/>
      <w:bookmarkStart w:id="17" w:name="_Toc28359080"/>
      <w:bookmarkStart w:id="18" w:name="_Toc35393791"/>
      <w:r>
        <w:rPr>
          <w:rFonts w:hint="eastAsia" w:ascii="宋体" w:hAnsi="宋体" w:eastAsia="宋体" w:cs="宋体"/>
          <w:b/>
          <w:color w:val="auto"/>
          <w:highlight w:val="none"/>
        </w:rPr>
        <w:t>二、申请人的资格要求</w:t>
      </w:r>
      <w:bookmarkEnd w:id="12"/>
      <w:bookmarkEnd w:id="13"/>
      <w:bookmarkEnd w:id="14"/>
      <w:bookmarkEnd w:id="15"/>
      <w:bookmarkEnd w:id="16"/>
      <w:bookmarkEnd w:id="17"/>
      <w:bookmarkEnd w:id="18"/>
    </w:p>
    <w:p>
      <w:pPr>
        <w:spacing w:line="360" w:lineRule="auto"/>
        <w:ind w:firstLine="422" w:firstLineChars="200"/>
        <w:rPr>
          <w:rFonts w:ascii="宋体" w:hAnsi="宋体" w:eastAsia="宋体" w:cs="宋体"/>
          <w:color w:val="auto"/>
          <w:kern w:val="0"/>
          <w:szCs w:val="21"/>
          <w:highlight w:val="none"/>
        </w:rPr>
      </w:pPr>
      <w:bookmarkStart w:id="19" w:name="_Toc28359004"/>
      <w:bookmarkStart w:id="20" w:name="_Toc28359081"/>
      <w:r>
        <w:rPr>
          <w:rFonts w:hint="eastAsia" w:ascii="宋体" w:hAnsi="宋体" w:eastAsia="宋体" w:cs="宋体"/>
          <w:b/>
          <w:color w:val="auto"/>
          <w:szCs w:val="21"/>
          <w:highlight w:val="none"/>
        </w:rPr>
        <w:t>1.满足《中华人民共和国政府采购法》第二十二条规定；</w:t>
      </w:r>
    </w:p>
    <w:p>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2.落实政府采购政策需满足的资格要求：</w:t>
      </w:r>
    </w:p>
    <w:p>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本项目不属于专门面向中小企业采购的项目，本项目属于服务标。</w:t>
      </w:r>
    </w:p>
    <w:p>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3.本项目的特定资格要求：</w:t>
      </w:r>
    </w:p>
    <w:p>
      <w:pPr>
        <w:spacing w:line="360" w:lineRule="auto"/>
        <w:ind w:firstLine="441" w:firstLineChars="21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（1）应具备《中华人民共和国政府采购法》第二十二条规定的条件，提供以下材料：</w:t>
      </w:r>
    </w:p>
    <w:p>
      <w:pPr>
        <w:spacing w:line="360" w:lineRule="auto"/>
        <w:ind w:firstLine="441" w:firstLineChars="21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①具有独立承担民事责任的能力(在中华人民共和国境内注册的法人或其他组织</w:t>
      </w:r>
      <w:r>
        <w:rPr>
          <w:rFonts w:hint="eastAsia" w:ascii="宋体" w:hAnsi="宋体" w:eastAsia="宋体" w:cs="宋体"/>
          <w:color w:val="auto"/>
          <w:sz w:val="21"/>
          <w:szCs w:val="21"/>
          <w:highlight w:val="none"/>
        </w:rPr>
        <w:t>或自然人</w:t>
      </w:r>
      <w:r>
        <w:rPr>
          <w:rFonts w:hint="eastAsia" w:ascii="宋体" w:hAnsi="宋体" w:eastAsia="宋体" w:cs="宋体"/>
          <w:color w:val="auto"/>
          <w:kern w:val="0"/>
          <w:szCs w:val="21"/>
          <w:highlight w:val="none"/>
          <w:lang w:val="en-US" w:eastAsia="zh-CN"/>
        </w:rPr>
        <w:t>,投标(响应)时提交有效的营业执照(或事业法人登记证或身份证等相关证明)副本复印件。分支机构投标的,须提供总公司和分公司营业执照副本复印件,总公司出具给分支机构的授权书);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41" w:firstLineChars="21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②具有良好的商业信誉和健全的财务会计制度(</w:t>
      </w:r>
      <w:r>
        <w:rPr>
          <w:rFonts w:hint="eastAsia" w:ascii="宋体" w:hAnsi="宋体" w:eastAsia="宋体" w:cs="宋体"/>
          <w:color w:val="auto"/>
          <w:kern w:val="0"/>
          <w:szCs w:val="21"/>
          <w:highlight w:val="none"/>
        </w:rPr>
        <w:t>提供以下①或②证明材料：①经会计师事务所审计的202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年度财务状况报告；②同时提供a.基本开户行出具的资信证明，b.《基本存款账号信息》或《开户许可证》</w:t>
      </w:r>
      <w:r>
        <w:rPr>
          <w:rFonts w:hint="eastAsia" w:ascii="宋体" w:hAnsi="宋体" w:eastAsia="宋体" w:cs="宋体"/>
          <w:color w:val="auto"/>
          <w:kern w:val="0"/>
          <w:szCs w:val="21"/>
          <w:highlight w:val="none"/>
          <w:lang w:val="en-US" w:eastAsia="zh-CN"/>
        </w:rPr>
        <w:t>);</w:t>
      </w:r>
    </w:p>
    <w:p>
      <w:pPr>
        <w:spacing w:line="360" w:lineRule="auto"/>
        <w:ind w:firstLine="441" w:firstLineChars="21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③具有履行合同所必需的设备和专业技术能力(提供</w:t>
      </w:r>
      <w:r>
        <w:rPr>
          <w:rFonts w:hint="eastAsia" w:ascii="宋体" w:hAnsi="宋体" w:eastAsia="宋体" w:cs="宋体"/>
          <w:color w:val="auto"/>
          <w:kern w:val="0"/>
          <w:szCs w:val="21"/>
          <w:highlight w:val="none"/>
        </w:rPr>
        <w:t>设备及专业技术能力情况</w:t>
      </w:r>
      <w:r>
        <w:rPr>
          <w:rFonts w:hint="eastAsia" w:ascii="宋体" w:hAnsi="宋体" w:eastAsia="宋体" w:cs="宋体"/>
          <w:color w:val="auto"/>
          <w:kern w:val="0"/>
          <w:szCs w:val="21"/>
          <w:highlight w:val="none"/>
          <w:lang w:val="en-US" w:eastAsia="zh-CN"/>
        </w:rPr>
        <w:t>证明材料</w:t>
      </w:r>
      <w:r>
        <w:rPr>
          <w:rFonts w:hint="eastAsia" w:ascii="宋体" w:hAnsi="宋体" w:eastAsia="宋体" w:cs="宋体"/>
          <w:color w:val="auto"/>
          <w:kern w:val="0"/>
          <w:szCs w:val="21"/>
          <w:highlight w:val="none"/>
        </w:rPr>
        <w:t>或提供按照招标文件的格式签署盖章的《资格声明函》</w:t>
      </w:r>
      <w:r>
        <w:rPr>
          <w:rFonts w:hint="eastAsia" w:ascii="宋体" w:hAnsi="宋体" w:eastAsia="宋体" w:cs="宋体"/>
          <w:color w:val="auto"/>
          <w:kern w:val="0"/>
          <w:szCs w:val="21"/>
          <w:highlight w:val="none"/>
          <w:lang w:val="en-US" w:eastAsia="zh-CN"/>
        </w:rPr>
        <w:t>);</w:t>
      </w:r>
    </w:p>
    <w:p>
      <w:pPr>
        <w:spacing w:line="360" w:lineRule="auto"/>
        <w:ind w:firstLine="441" w:firstLineChars="21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④</w:t>
      </w:r>
      <w:r>
        <w:rPr>
          <w:rFonts w:hint="default" w:ascii="宋体" w:hAnsi="宋体" w:eastAsia="宋体" w:cs="宋体"/>
          <w:color w:val="auto"/>
          <w:kern w:val="0"/>
          <w:szCs w:val="21"/>
          <w:highlight w:val="none"/>
          <w:lang w:val="en-US" w:eastAsia="zh-CN"/>
        </w:rPr>
        <w:t>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41" w:firstLineChars="21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⑤</w:t>
      </w:r>
      <w:r>
        <w:rPr>
          <w:rFonts w:hint="default" w:ascii="宋体" w:hAnsi="宋体" w:eastAsia="宋体" w:cs="宋体"/>
          <w:color w:val="auto"/>
          <w:kern w:val="0"/>
          <w:szCs w:val="21"/>
          <w:highlight w:val="none"/>
          <w:lang w:val="en-US" w:eastAsia="zh-CN"/>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以投标人在《资格声明函》中的承诺为准</w:t>
      </w:r>
    </w:p>
    <w:p>
      <w:pPr>
        <w:spacing w:line="360" w:lineRule="auto"/>
        <w:ind w:firstLine="441" w:firstLineChars="21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⑥法律、行政法规规定的其他条件(</w:t>
      </w:r>
      <w:r>
        <w:rPr>
          <w:rFonts w:hint="eastAsia" w:ascii="宋体" w:hAnsi="宋体" w:eastAsia="宋体" w:cs="宋体"/>
          <w:color w:val="auto"/>
          <w:kern w:val="0"/>
          <w:szCs w:val="21"/>
          <w:highlight w:val="none"/>
        </w:rPr>
        <w:t>以投标人在《资格声明函》中的承诺为准</w:t>
      </w:r>
      <w:r>
        <w:rPr>
          <w:rFonts w:hint="eastAsia" w:ascii="宋体" w:hAnsi="宋体" w:eastAsia="宋体" w:cs="宋体"/>
          <w:color w:val="auto"/>
          <w:kern w:val="0"/>
          <w:szCs w:val="21"/>
          <w:highlight w:val="none"/>
          <w:lang w:val="en-US" w:eastAsia="zh-CN"/>
        </w:rPr>
        <w:t>)。</w:t>
      </w:r>
    </w:p>
    <w:p>
      <w:pPr>
        <w:tabs>
          <w:tab w:val="left" w:pos="709"/>
          <w:tab w:val="left" w:pos="851"/>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信用记录：投标人未被列入“信用中国网站(www.creditchina.gov.cn)”重大税</w:t>
      </w:r>
      <w:r>
        <w:rPr>
          <w:rFonts w:hint="eastAsia" w:ascii="宋体" w:hAnsi="宋体" w:eastAsia="宋体" w:cs="宋体"/>
          <w:color w:val="auto"/>
          <w:szCs w:val="21"/>
          <w:highlight w:val="none"/>
          <w:lang w:eastAsia="zh-CN"/>
        </w:rPr>
        <w:t>收违法失信主体</w:t>
      </w:r>
      <w:r>
        <w:rPr>
          <w:rFonts w:hint="eastAsia" w:ascii="宋体" w:hAnsi="宋体" w:eastAsia="宋体" w:cs="宋体"/>
          <w:color w:val="auto"/>
          <w:szCs w:val="21"/>
          <w:highlight w:val="none"/>
        </w:rPr>
        <w:t>；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p>
      <w:pPr>
        <w:widowControl/>
        <w:shd w:val="clear" w:color="auto" w:fill="FFFFFF"/>
        <w:spacing w:line="360" w:lineRule="auto"/>
        <w:ind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投标人必须符合法律、行政法规规定的其他条件：单位负责人为同一人或者存在直接控股、管理关系的不同供应商，不得同时参加本采购项目（或同一合同项下）投标。为本项目提供整体设计、规范编制或者项目管理、监理、检测等服务的投标人，不得再参与本项目投标。（以投标人在《资格声明函》中的承诺为准）。</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iCs/>
          <w:color w:val="auto"/>
          <w:szCs w:val="21"/>
          <w:highlight w:val="none"/>
        </w:rPr>
        <w:t>投标人已按招标公告及招标文件的规定获取了招标文件。</w:t>
      </w:r>
    </w:p>
    <w:p>
      <w:pPr>
        <w:spacing w:line="360" w:lineRule="auto"/>
        <w:ind w:firstLine="441" w:firstLineChars="21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）本项目不接受联合体投标，</w:t>
      </w:r>
      <w:r>
        <w:rPr>
          <w:rFonts w:hint="eastAsia" w:ascii="宋体" w:hAnsi="宋体" w:eastAsia="宋体" w:cs="宋体"/>
          <w:color w:val="auto"/>
          <w:kern w:val="0"/>
          <w:szCs w:val="21"/>
          <w:highlight w:val="none"/>
        </w:rPr>
        <w:t>不接受中标备选方案。</w:t>
      </w:r>
    </w:p>
    <w:p>
      <w:pPr>
        <w:spacing w:line="360" w:lineRule="auto"/>
        <w:rPr>
          <w:rFonts w:ascii="宋体" w:hAnsi="宋体" w:eastAsia="宋体" w:cs="宋体"/>
          <w:b/>
          <w:color w:val="auto"/>
          <w:highlight w:val="none"/>
        </w:rPr>
      </w:pPr>
      <w:bookmarkStart w:id="21" w:name="_Toc35393623"/>
      <w:bookmarkStart w:id="22" w:name="_Toc35393792"/>
      <w:bookmarkStart w:id="23" w:name="_Toc95484123"/>
      <w:bookmarkStart w:id="24" w:name="_Toc54335350"/>
      <w:bookmarkStart w:id="25" w:name="_Toc28176_WPSOffice_Level1"/>
      <w:r>
        <w:rPr>
          <w:rFonts w:hint="eastAsia" w:ascii="宋体" w:hAnsi="宋体" w:eastAsia="宋体" w:cs="宋体"/>
          <w:b/>
          <w:color w:val="auto"/>
          <w:highlight w:val="none"/>
        </w:rPr>
        <w:t>三、获取招标文件</w:t>
      </w:r>
      <w:bookmarkEnd w:id="19"/>
      <w:bookmarkEnd w:id="20"/>
      <w:bookmarkEnd w:id="21"/>
      <w:bookmarkEnd w:id="22"/>
      <w:bookmarkEnd w:id="23"/>
      <w:bookmarkEnd w:id="24"/>
      <w:bookmarkEnd w:id="25"/>
    </w:p>
    <w:p>
      <w:pPr>
        <w:spacing w:line="360" w:lineRule="auto"/>
        <w:ind w:firstLine="539"/>
        <w:rPr>
          <w:rFonts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ascii="宋体" w:hAnsi="宋体" w:eastAsia="宋体" w:cs="宋体"/>
          <w:color w:val="auto"/>
          <w:szCs w:val="21"/>
          <w:highlight w:val="none"/>
        </w:rPr>
        <w:t>日至</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ascii="宋体" w:hAnsi="宋体" w:eastAsia="宋体" w:cs="宋体"/>
          <w:color w:val="auto"/>
          <w:szCs w:val="21"/>
          <w:highlight w:val="none"/>
        </w:rPr>
        <w:t>日，每天上午9：00至12：00，下午1</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：00至17：30（北京时间，法定节假日除外）</w:t>
      </w:r>
    </w:p>
    <w:p>
      <w:pPr>
        <w:spacing w:line="360" w:lineRule="auto"/>
        <w:ind w:firstLine="539"/>
        <w:rPr>
          <w:rFonts w:ascii="宋体" w:hAnsi="宋体" w:eastAsia="宋体" w:cs="宋体"/>
          <w:color w:val="auto"/>
          <w:szCs w:val="21"/>
          <w:highlight w:val="none"/>
        </w:rPr>
      </w:pPr>
      <w:r>
        <w:rPr>
          <w:rFonts w:hint="eastAsia" w:ascii="宋体" w:hAnsi="宋体" w:eastAsia="宋体" w:cs="宋体"/>
          <w:color w:val="auto"/>
          <w:szCs w:val="21"/>
          <w:highlight w:val="none"/>
        </w:rPr>
        <w:t>地点：通过广咨电子招投标交易平台（www.gzebid.cn）在线获取</w:t>
      </w:r>
    </w:p>
    <w:p>
      <w:pPr>
        <w:spacing w:line="360" w:lineRule="auto"/>
        <w:ind w:firstLine="539"/>
        <w:rPr>
          <w:rFonts w:ascii="宋体" w:hAnsi="宋体" w:eastAsia="宋体" w:cs="宋体"/>
          <w:color w:val="auto"/>
          <w:szCs w:val="21"/>
          <w:highlight w:val="none"/>
        </w:rPr>
      </w:pPr>
      <w:r>
        <w:rPr>
          <w:rFonts w:hint="eastAsia" w:ascii="宋体" w:hAnsi="宋体" w:eastAsia="宋体" w:cs="宋体"/>
          <w:color w:val="auto"/>
          <w:szCs w:val="21"/>
          <w:highlight w:val="none"/>
        </w:rPr>
        <w:t>方式：详见本招标公告“六、其他补充事宜”。</w:t>
      </w:r>
    </w:p>
    <w:p>
      <w:pPr>
        <w:spacing w:line="360" w:lineRule="auto"/>
        <w:ind w:firstLine="539"/>
        <w:rPr>
          <w:rFonts w:ascii="宋体" w:hAnsi="宋体" w:eastAsia="宋体" w:cs="宋体"/>
          <w:color w:val="auto"/>
          <w:szCs w:val="21"/>
          <w:highlight w:val="none"/>
          <w:u w:val="single"/>
        </w:rPr>
      </w:pPr>
      <w:r>
        <w:rPr>
          <w:rFonts w:hint="eastAsia" w:ascii="宋体" w:hAnsi="宋体" w:eastAsia="宋体" w:cs="宋体"/>
          <w:color w:val="auto"/>
          <w:szCs w:val="21"/>
          <w:highlight w:val="none"/>
        </w:rPr>
        <w:t>售价：¥0.0元，本公告包含的招标文件售价总和。</w:t>
      </w:r>
    </w:p>
    <w:p>
      <w:pPr>
        <w:spacing w:line="360" w:lineRule="auto"/>
        <w:rPr>
          <w:rFonts w:ascii="宋体" w:hAnsi="宋体" w:eastAsia="宋体" w:cs="宋体"/>
          <w:b/>
          <w:color w:val="auto"/>
          <w:highlight w:val="none"/>
        </w:rPr>
      </w:pPr>
      <w:bookmarkStart w:id="26" w:name="_Toc28359005"/>
      <w:bookmarkStart w:id="27" w:name="_Toc28359082"/>
      <w:bookmarkStart w:id="28" w:name="_Toc35393793"/>
      <w:bookmarkStart w:id="29" w:name="_Toc35393624"/>
      <w:bookmarkStart w:id="30" w:name="_Toc95484124"/>
      <w:bookmarkStart w:id="31" w:name="_Toc14454_WPSOffice_Level1"/>
      <w:bookmarkStart w:id="32" w:name="_Toc54335351"/>
      <w:r>
        <w:rPr>
          <w:rFonts w:hint="eastAsia" w:ascii="宋体" w:hAnsi="宋体" w:eastAsia="宋体" w:cs="宋体"/>
          <w:b/>
          <w:color w:val="auto"/>
          <w:highlight w:val="none"/>
        </w:rPr>
        <w:t>四、提交投标文件</w:t>
      </w:r>
      <w:bookmarkEnd w:id="26"/>
      <w:bookmarkEnd w:id="27"/>
      <w:r>
        <w:rPr>
          <w:rFonts w:hint="eastAsia" w:ascii="宋体" w:hAnsi="宋体" w:eastAsia="宋体" w:cs="宋体"/>
          <w:b/>
          <w:color w:val="auto"/>
          <w:highlight w:val="none"/>
        </w:rPr>
        <w:t>截止时间、开标时间和地点</w:t>
      </w:r>
      <w:bookmarkEnd w:id="28"/>
      <w:bookmarkEnd w:id="29"/>
      <w:bookmarkEnd w:id="30"/>
      <w:bookmarkEnd w:id="31"/>
      <w:bookmarkEnd w:id="32"/>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（自招标文件开始发出之日起至投标人提交投标文件截止之日止，不得少于20日）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bCs/>
          <w:color w:val="auto"/>
          <w:szCs w:val="21"/>
          <w:highlight w:val="none"/>
        </w:rPr>
        <w:t>（北京时间）</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地点：广东省机电设备招标有限公司（广州市环市中路316号金鹰大厦）10楼会议室</w:t>
      </w:r>
    </w:p>
    <w:p>
      <w:pPr>
        <w:spacing w:line="360" w:lineRule="auto"/>
        <w:rPr>
          <w:rFonts w:ascii="宋体" w:hAnsi="宋体" w:eastAsia="宋体" w:cs="宋体"/>
          <w:b/>
          <w:color w:val="auto"/>
          <w:highlight w:val="none"/>
        </w:rPr>
      </w:pPr>
      <w:bookmarkStart w:id="33" w:name="_Toc54335352"/>
      <w:bookmarkStart w:id="34" w:name="_Toc28359007"/>
      <w:bookmarkStart w:id="35" w:name="_Toc28359084"/>
      <w:bookmarkStart w:id="36" w:name="_Toc30090_WPSOffice_Level1"/>
      <w:bookmarkStart w:id="37" w:name="_Toc95484125"/>
      <w:bookmarkStart w:id="38" w:name="_Toc35393625"/>
      <w:bookmarkStart w:id="39" w:name="_Toc35393794"/>
      <w:r>
        <w:rPr>
          <w:rFonts w:hint="eastAsia" w:ascii="宋体" w:hAnsi="宋体" w:eastAsia="宋体" w:cs="宋体"/>
          <w:b/>
          <w:color w:val="auto"/>
          <w:highlight w:val="none"/>
        </w:rPr>
        <w:t>五、公告期限</w:t>
      </w:r>
      <w:bookmarkEnd w:id="33"/>
      <w:bookmarkEnd w:id="34"/>
      <w:bookmarkEnd w:id="35"/>
      <w:bookmarkEnd w:id="36"/>
      <w:bookmarkEnd w:id="37"/>
      <w:bookmarkEnd w:id="38"/>
      <w:bookmarkEnd w:id="39"/>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rPr>
          <w:rFonts w:ascii="宋体" w:hAnsi="宋体" w:eastAsia="宋体" w:cs="宋体"/>
          <w:b/>
          <w:color w:val="auto"/>
          <w:highlight w:val="none"/>
        </w:rPr>
      </w:pPr>
      <w:bookmarkStart w:id="40" w:name="_Toc54335353"/>
      <w:bookmarkStart w:id="41" w:name="_Toc95484126"/>
      <w:bookmarkStart w:id="42" w:name="_Toc35393795"/>
      <w:bookmarkStart w:id="43" w:name="_Toc35393626"/>
      <w:bookmarkStart w:id="44" w:name="_Toc29804_WPSOffice_Level1"/>
      <w:bookmarkStart w:id="45" w:name="_Toc35393796"/>
      <w:bookmarkStart w:id="46" w:name="_Toc28359008"/>
      <w:bookmarkStart w:id="47" w:name="_Toc95484127"/>
      <w:bookmarkStart w:id="48" w:name="_Toc35393627"/>
      <w:bookmarkStart w:id="49" w:name="_Toc29851_WPSOffice_Level1"/>
      <w:bookmarkStart w:id="50" w:name="_Toc28359085"/>
      <w:bookmarkStart w:id="51" w:name="_Toc54335354"/>
      <w:r>
        <w:rPr>
          <w:rFonts w:hint="eastAsia" w:ascii="宋体" w:hAnsi="宋体" w:eastAsia="宋体" w:cs="宋体"/>
          <w:b/>
          <w:color w:val="auto"/>
          <w:highlight w:val="none"/>
        </w:rPr>
        <w:t>六、其他补充事宜</w:t>
      </w:r>
      <w:bookmarkEnd w:id="40"/>
      <w:bookmarkEnd w:id="41"/>
      <w:bookmarkEnd w:id="42"/>
      <w:bookmarkEnd w:id="43"/>
      <w:bookmarkEnd w:id="44"/>
    </w:p>
    <w:p>
      <w:pPr>
        <w:spacing w:line="360" w:lineRule="auto"/>
        <w:ind w:firstLine="539"/>
        <w:rPr>
          <w:rFonts w:ascii="宋体" w:hAnsi="宋体" w:eastAsia="宋体" w:cs="宋体"/>
          <w:color w:val="auto"/>
          <w:szCs w:val="21"/>
          <w:highlight w:val="none"/>
        </w:rPr>
      </w:pPr>
      <w:r>
        <w:rPr>
          <w:rFonts w:hint="eastAsia" w:ascii="宋体" w:hAnsi="宋体" w:eastAsia="宋体" w:cs="宋体"/>
          <w:color w:val="auto"/>
          <w:szCs w:val="21"/>
          <w:highlight w:val="none"/>
        </w:rPr>
        <w:t>(1)获取招标文件的方式：</w:t>
      </w:r>
    </w:p>
    <w:p>
      <w:pPr>
        <w:spacing w:line="360" w:lineRule="auto"/>
        <w:ind w:firstLine="539"/>
        <w:rPr>
          <w:rFonts w:ascii="宋体" w:hAnsi="宋体" w:eastAsia="宋体" w:cs="宋体"/>
          <w:b/>
          <w:color w:val="auto"/>
          <w:szCs w:val="21"/>
          <w:highlight w:val="none"/>
        </w:rPr>
      </w:pPr>
      <w:r>
        <w:rPr>
          <w:rFonts w:hint="eastAsia" w:ascii="宋体" w:hAnsi="宋体" w:eastAsia="宋体" w:cs="宋体"/>
          <w:b/>
          <w:color w:val="auto"/>
          <w:szCs w:val="21"/>
          <w:highlight w:val="none"/>
        </w:rPr>
        <w:t>代理机构处线上免费获取</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获取方式：潜在投标人登陆广咨电子招投标交易平台网站（http://www.gzebid.cn）进行注册，注册通过后可以进行网上登记、获取招标文件。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获取招标文件、注册、完善主体资料的相关操作见网站“平台服务&gt;&gt;操作手册&gt;&gt;广咨国际数字化采购咨询平台供应商操作手册”。具体流程操作见网站“平台服务—办事指引”的对应栏目。客服电话：400-9030-870，客服QQ：</w:t>
      </w:r>
      <w:r>
        <w:rPr>
          <w:rFonts w:hint="eastAsia" w:ascii="宋体" w:hAnsi="宋体" w:eastAsia="宋体" w:cs="宋体"/>
          <w:bCs/>
          <w:color w:val="auto"/>
          <w:szCs w:val="21"/>
          <w:highlight w:val="none"/>
        </w:rPr>
        <w:t>2136118347</w:t>
      </w:r>
      <w:r>
        <w:rPr>
          <w:rFonts w:hint="eastAsia" w:ascii="宋体" w:hAnsi="宋体" w:eastAsia="宋体" w:cs="宋体"/>
          <w:color w:val="auto"/>
          <w:szCs w:val="21"/>
          <w:highlight w:val="none"/>
        </w:rPr>
        <w:t>。</w:t>
      </w:r>
    </w:p>
    <w:p>
      <w:pPr>
        <w:numPr>
          <w:ilvl w:val="-1"/>
          <w:numId w:val="0"/>
        </w:numPr>
        <w:adjustRightInd/>
        <w:spacing w:line="360" w:lineRule="auto"/>
        <w:ind w:firstLine="539"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落实的政府采购政策：《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w:t>
      </w:r>
    </w:p>
    <w:p>
      <w:pPr>
        <w:numPr>
          <w:ilvl w:val="0"/>
          <w:numId w:val="0"/>
        </w:numPr>
        <w:spacing w:line="360" w:lineRule="auto"/>
        <w:rPr>
          <w:rFonts w:ascii="宋体" w:hAnsi="宋体" w:eastAsia="宋体" w:cs="宋体"/>
          <w:b/>
          <w:color w:val="auto"/>
          <w:highlight w:val="none"/>
        </w:rPr>
      </w:pPr>
      <w:r>
        <w:rPr>
          <w:rFonts w:hint="eastAsia" w:ascii="宋体" w:hAnsi="宋体" w:eastAsia="宋体" w:cs="宋体"/>
          <w:b/>
          <w:color w:val="auto"/>
          <w:highlight w:val="none"/>
        </w:rPr>
        <w:t>七、对本次招标提出询问，请按以下方式联系。</w:t>
      </w:r>
      <w:bookmarkEnd w:id="45"/>
      <w:bookmarkEnd w:id="46"/>
      <w:bookmarkEnd w:id="47"/>
      <w:bookmarkEnd w:id="48"/>
      <w:bookmarkEnd w:id="49"/>
      <w:bookmarkEnd w:id="50"/>
      <w:bookmarkEnd w:id="51"/>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kern w:val="0"/>
          <w:szCs w:val="21"/>
          <w:highlight w:val="none"/>
          <w:lang w:eastAsia="zh-CN"/>
        </w:rPr>
        <w:t>国家税务总局阳江市税务局</w:t>
      </w:r>
    </w:p>
    <w:p>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阳江市江城区创业路88号</w:t>
      </w:r>
    </w:p>
    <w:p>
      <w:pPr>
        <w:spacing w:line="360" w:lineRule="auto"/>
        <w:ind w:firstLine="630" w:firstLineChars="3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eastAsia="zh-CN"/>
        </w:rPr>
        <w:t>：范家瑞</w:t>
      </w:r>
    </w:p>
    <w:p>
      <w:pPr>
        <w:spacing w:line="360" w:lineRule="auto"/>
        <w:ind w:firstLine="630" w:firstLineChars="3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bookmarkStart w:id="52" w:name="_Toc28359009"/>
      <w:bookmarkStart w:id="53" w:name="_Toc28359086"/>
      <w:r>
        <w:rPr>
          <w:rFonts w:hint="eastAsia" w:ascii="宋体" w:hAnsi="宋体" w:eastAsia="宋体" w:cs="宋体"/>
          <w:color w:val="auto"/>
          <w:szCs w:val="21"/>
          <w:highlight w:val="none"/>
          <w:lang w:eastAsia="zh-CN"/>
        </w:rPr>
        <w:t>0662-3161026</w:t>
      </w:r>
    </w:p>
    <w:bookmarkEnd w:id="52"/>
    <w:bookmarkEnd w:id="53"/>
    <w:p>
      <w:pPr>
        <w:widowControl/>
        <w:spacing w:line="360" w:lineRule="auto"/>
        <w:ind w:firstLine="63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名称：广东省机电设备招标有限公司</w:t>
      </w:r>
    </w:p>
    <w:p>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地址：广州市环市中路316号金鹰大厦13楼1306室</w:t>
      </w:r>
    </w:p>
    <w:p>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吴思聪、林子斐</w:t>
      </w:r>
      <w:r>
        <w:rPr>
          <w:rFonts w:hint="eastAsia" w:ascii="宋体" w:hAnsi="宋体" w:eastAsia="宋体" w:cs="宋体"/>
          <w:color w:val="auto"/>
          <w:szCs w:val="21"/>
          <w:highlight w:val="none"/>
        </w:rPr>
        <w:t>020-83540305</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吴思聪、林子斐</w:t>
      </w:r>
    </w:p>
    <w:p>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电话：020-83540305</w:t>
      </w:r>
    </w:p>
    <w:p>
      <w:pPr>
        <w:wordWrap w:val="0"/>
        <w:spacing w:line="360" w:lineRule="auto"/>
        <w:ind w:firstLine="630" w:firstLineChars="300"/>
        <w:jc w:val="right"/>
        <w:rPr>
          <w:rFonts w:ascii="宋体" w:hAnsi="宋体" w:eastAsia="宋体" w:cs="宋体"/>
          <w:color w:val="auto"/>
          <w:szCs w:val="21"/>
          <w:highlight w:val="none"/>
        </w:rPr>
      </w:pPr>
      <w:r>
        <w:rPr>
          <w:rFonts w:hint="eastAsia" w:ascii="宋体" w:hAnsi="宋体" w:eastAsia="宋体" w:cs="宋体"/>
          <w:color w:val="auto"/>
          <w:szCs w:val="21"/>
          <w:highlight w:val="none"/>
        </w:rPr>
        <w:t>发布人：</w:t>
      </w:r>
      <w:r>
        <w:rPr>
          <w:rFonts w:hint="eastAsia" w:ascii="宋体" w:hAnsi="宋体" w:eastAsia="宋体" w:cs="宋体"/>
          <w:color w:val="auto"/>
          <w:szCs w:val="21"/>
          <w:highlight w:val="none"/>
          <w:u w:val="single"/>
        </w:rPr>
        <w:t>广东省机电设备招标有限公司</w:t>
      </w:r>
    </w:p>
    <w:p>
      <w:pPr>
        <w:widowControl/>
        <w:wordWrap w:val="0"/>
        <w:spacing w:line="360" w:lineRule="auto"/>
        <w:ind w:firstLine="630" w:firstLineChars="300"/>
        <w:jc w:val="right"/>
        <w:rPr>
          <w:rStyle w:val="39"/>
          <w:rFonts w:hint="eastAsia" w:ascii="等线" w:hAnsi="等线" w:eastAsia="等线"/>
          <w:color w:val="auto"/>
          <w:highlight w:val="none"/>
        </w:rPr>
      </w:pPr>
      <w:r>
        <w:rPr>
          <w:rFonts w:hint="eastAsia" w:ascii="宋体" w:hAnsi="宋体" w:eastAsia="宋体" w:cs="宋体"/>
          <w:color w:val="auto"/>
          <w:highlight w:val="none"/>
        </w:rPr>
        <w:t>发布日期：</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22</w:t>
      </w:r>
      <w:r>
        <w:rPr>
          <w:rFonts w:hint="eastAsia" w:ascii="宋体" w:hAnsi="宋体" w:eastAsia="宋体" w:cs="宋体"/>
          <w:color w:val="auto"/>
          <w:szCs w:val="21"/>
          <w:highlight w:val="none"/>
          <w:u w:val="single"/>
        </w:rPr>
        <w:t>日</w:t>
      </w:r>
      <w:r>
        <w:rPr>
          <w:rStyle w:val="39"/>
          <w:rFonts w:hint="eastAsia" w:ascii="等线" w:hAnsi="等线" w:eastAsia="等线"/>
          <w:color w:val="auto"/>
          <w:highlight w:val="none"/>
        </w:rPr>
        <w:br w:type="page"/>
      </w:r>
    </w:p>
    <w:p>
      <w:pPr>
        <w:pStyle w:val="4"/>
        <w:rPr>
          <w:rFonts w:ascii="宋体" w:hAnsi="宋体" w:eastAsia="宋体" w:cs="宋体"/>
          <w:color w:val="auto"/>
          <w:highlight w:val="none"/>
        </w:rPr>
      </w:pPr>
      <w:bookmarkStart w:id="54" w:name="_Toc96523877"/>
      <w:bookmarkStart w:id="55" w:name="_Toc26518_WPSOffice_Level1"/>
      <w:bookmarkStart w:id="56" w:name="_Toc10644"/>
      <w:r>
        <w:rPr>
          <w:rFonts w:hint="eastAsia" w:ascii="宋体" w:hAnsi="宋体" w:eastAsia="宋体" w:cs="宋体"/>
          <w:color w:val="auto"/>
          <w:highlight w:val="none"/>
        </w:rPr>
        <w:t>第一部分投标人须知</w:t>
      </w:r>
      <w:bookmarkEnd w:id="54"/>
      <w:bookmarkEnd w:id="55"/>
      <w:bookmarkEnd w:id="56"/>
    </w:p>
    <w:p>
      <w:pPr>
        <w:pStyle w:val="5"/>
        <w:rPr>
          <w:rFonts w:ascii="宋体" w:hAnsi="宋体" w:eastAsia="宋体" w:cs="宋体"/>
          <w:color w:val="auto"/>
          <w:highlight w:val="none"/>
        </w:rPr>
      </w:pPr>
      <w:bookmarkStart w:id="57" w:name="_Toc18613_WPSOffice_Level2"/>
      <w:bookmarkStart w:id="58" w:name="_Toc96523878"/>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投标人须知表</w:t>
      </w:r>
      <w:bookmarkEnd w:id="57"/>
      <w:bookmarkEnd w:id="58"/>
    </w:p>
    <w:tbl>
      <w:tblPr>
        <w:tblStyle w:val="33"/>
        <w:tblW w:w="8656" w:type="dxa"/>
        <w:tblInd w:w="0" w:type="dxa"/>
        <w:tblLayout w:type="fixed"/>
        <w:tblCellMar>
          <w:top w:w="0" w:type="dxa"/>
          <w:left w:w="108" w:type="dxa"/>
          <w:bottom w:w="0" w:type="dxa"/>
          <w:right w:w="108" w:type="dxa"/>
        </w:tblCellMar>
      </w:tblPr>
      <w:tblGrid>
        <w:gridCol w:w="852"/>
        <w:gridCol w:w="1638"/>
        <w:gridCol w:w="6166"/>
      </w:tblGrid>
      <w:tr>
        <w:tblPrEx>
          <w:tblCellMar>
            <w:top w:w="0" w:type="dxa"/>
            <w:left w:w="108" w:type="dxa"/>
            <w:bottom w:w="0" w:type="dxa"/>
            <w:right w:w="108" w:type="dxa"/>
          </w:tblCellMar>
        </w:tblPrEx>
        <w:trPr>
          <w:trHeight w:val="3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bookmarkStart w:id="59" w:name="sys_招标项目基本内容及要求：Block"/>
            <w:bookmarkEnd w:id="59"/>
            <w:bookmarkStart w:id="60" w:name="招标项目基本内容及要求：Block"/>
            <w:bookmarkEnd w:id="60"/>
            <w:bookmarkStart w:id="61" w:name="sys_招标项目基本内容及要求其他：Block"/>
            <w:bookmarkEnd w:id="61"/>
            <w:bookmarkStart w:id="62" w:name="招标项目基本内容及要求其他：Block"/>
            <w:bookmarkEnd w:id="62"/>
            <w:r>
              <w:rPr>
                <w:rFonts w:hint="eastAsia" w:ascii="宋体" w:hAnsi="宋体" w:eastAsia="宋体" w:cs="宋体"/>
                <w:color w:val="auto"/>
                <w:kern w:val="0"/>
                <w:szCs w:val="21"/>
                <w:highlight w:val="none"/>
              </w:rPr>
              <w:t>条款号</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61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kern w:val="0"/>
                <w:szCs w:val="21"/>
                <w:highlight w:val="none"/>
                <w:lang w:eastAsia="zh-CN"/>
              </w:rPr>
              <w:t>国家税务总局阳江市税务局</w:t>
            </w:r>
          </w:p>
          <w:p>
            <w:pPr>
              <w:widowControl/>
              <w:spacing w:line="24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阳江市江城区创业路88号</w:t>
            </w:r>
          </w:p>
          <w:p>
            <w:pPr>
              <w:widowControl/>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eastAsia="zh-CN"/>
              </w:rPr>
              <w:t>：范家瑞</w:t>
            </w:r>
          </w:p>
          <w:p>
            <w:pPr>
              <w:widowControl/>
              <w:spacing w:line="240" w:lineRule="auto"/>
              <w:jc w:val="left"/>
              <w:rPr>
                <w:rFonts w:hint="default" w:ascii="宋体" w:hAnsi="宋体" w:eastAsia="仿宋" w:cs="宋体"/>
                <w:color w:val="auto"/>
                <w:kern w:val="0"/>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0662-3161026</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名称：广东省机电设备招标有限公司</w:t>
            </w:r>
          </w:p>
          <w:p>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地址：广州市环市中路316号金鹰大厦13楼1306室</w:t>
            </w:r>
          </w:p>
          <w:p>
            <w:pPr>
              <w:widowControl/>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吴思聪、林子斐</w:t>
            </w:r>
          </w:p>
          <w:p>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电话：020-83540305</w:t>
            </w:r>
          </w:p>
          <w:p>
            <w:pPr>
              <w:widowControl/>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邮箱：gzebid4@163.com</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1.3.5</w:t>
            </w:r>
          </w:p>
        </w:tc>
        <w:tc>
          <w:tcPr>
            <w:tcW w:w="1638"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是否为面向</w:t>
            </w:r>
            <w:r>
              <w:rPr>
                <w:rFonts w:hint="eastAsia" w:ascii="宋体" w:hAnsi="宋体" w:eastAsia="宋体" w:cs="宋体"/>
                <w:color w:val="auto"/>
                <w:szCs w:val="21"/>
                <w:highlight w:val="none"/>
              </w:rPr>
              <w:t>中小企业</w:t>
            </w:r>
            <w:r>
              <w:rPr>
                <w:rFonts w:hint="eastAsia" w:ascii="宋体" w:hAnsi="宋体" w:eastAsia="宋体" w:cs="宋体"/>
                <w:b/>
                <w:color w:val="auto"/>
                <w:kern w:val="0"/>
                <w:szCs w:val="21"/>
                <w:highlight w:val="none"/>
              </w:rPr>
              <w:t>采购</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是，全部专门面向</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是，部分专门面向</w:t>
            </w:r>
          </w:p>
          <w:p>
            <w:pPr>
              <w:pStyle w:val="12"/>
              <w:ind w:firstLine="420" w:firstLineChars="200"/>
              <w:rPr>
                <w:rFonts w:hint="default" w:ascii="宋体" w:hAnsi="宋体" w:eastAsia="宋体" w:cs="宋体"/>
                <w:color w:val="auto"/>
                <w:kern w:val="0"/>
                <w:szCs w:val="21"/>
                <w:highlight w:val="none"/>
              </w:rPr>
            </w:pPr>
            <w:r>
              <w:rPr>
                <w:rFonts w:ascii="宋体" w:hAnsi="宋体" w:eastAsia="宋体" w:cs="宋体"/>
                <w:color w:val="auto"/>
                <w:kern w:val="0"/>
                <w:szCs w:val="21"/>
                <w:highlight w:val="none"/>
              </w:rPr>
              <w:t>实现方式：</w:t>
            </w:r>
            <w:r>
              <w:rPr>
                <w:rFonts w:hint="eastAsia" w:ascii="宋体" w:hAnsi="宋体" w:eastAsia="宋体" w:cs="宋体"/>
                <w:color w:val="auto"/>
                <w:szCs w:val="21"/>
                <w:highlight w:val="none"/>
                <w:lang w:eastAsia="zh-CN"/>
              </w:rPr>
              <w:t>□</w:t>
            </w:r>
            <w:r>
              <w:rPr>
                <w:rFonts w:ascii="宋体" w:hAnsi="宋体" w:eastAsia="宋体" w:cs="宋体"/>
                <w:color w:val="auto"/>
                <w:kern w:val="0"/>
                <w:szCs w:val="21"/>
                <w:highlight w:val="none"/>
              </w:rPr>
              <w:t>分包</w:t>
            </w:r>
          </w:p>
          <w:p>
            <w:pPr>
              <w:pStyle w:val="12"/>
              <w:ind w:firstLine="1470" w:firstLineChars="700"/>
              <w:rPr>
                <w:rFonts w:hint="eastAsia" w:ascii="宋体" w:hAnsi="宋体" w:eastAsia="宋体" w:cs="宋体"/>
                <w:color w:val="auto"/>
                <w:kern w:val="0"/>
                <w:szCs w:val="21"/>
                <w:highlight w:val="none"/>
                <w:lang w:val="en-US" w:eastAsia="zh-CN"/>
              </w:rPr>
            </w:pPr>
          </w:p>
          <w:p>
            <w:pPr>
              <w:rPr>
                <w:rFonts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组成联合体</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kern w:val="0"/>
                <w:szCs w:val="21"/>
                <w:highlight w:val="none"/>
              </w:rPr>
              <w:t>否，不面向</w:t>
            </w:r>
          </w:p>
        </w:tc>
      </w:tr>
      <w:tr>
        <w:tblPrEx>
          <w:tblCellMar>
            <w:top w:w="0" w:type="dxa"/>
            <w:left w:w="108" w:type="dxa"/>
            <w:bottom w:w="0" w:type="dxa"/>
            <w:right w:w="108" w:type="dxa"/>
          </w:tblCellMar>
        </w:tblPrEx>
        <w:trPr>
          <w:trHeight w:val="8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1.3.6</w:t>
            </w:r>
          </w:p>
        </w:tc>
        <w:tc>
          <w:tcPr>
            <w:tcW w:w="1638"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是否有政府强制采购的节能产品</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是，具体产品为</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否</w:t>
            </w:r>
          </w:p>
        </w:tc>
      </w:tr>
      <w:tr>
        <w:tblPrEx>
          <w:tblCellMar>
            <w:top w:w="0" w:type="dxa"/>
            <w:left w:w="108" w:type="dxa"/>
            <w:bottom w:w="0" w:type="dxa"/>
            <w:right w:w="108" w:type="dxa"/>
          </w:tblCellMar>
        </w:tblPrEx>
        <w:trPr>
          <w:trHeight w:val="3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638"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是否允许联合体投标</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是，联合体的相关要求详见本项目投标邀请“二、申请人的资格要求”中对联合体的要求。</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否</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63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项目预算金额</w:t>
            </w:r>
          </w:p>
        </w:tc>
        <w:tc>
          <w:tcPr>
            <w:tcW w:w="6166"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rPr>
              <w:t>预算金额：</w:t>
            </w:r>
            <w:r>
              <w:rPr>
                <w:rFonts w:hint="eastAsia" w:ascii="宋体" w:hAnsi="宋体" w:eastAsia="宋体" w:cs="宋体"/>
                <w:bCs/>
                <w:color w:val="auto"/>
                <w:kern w:val="0"/>
                <w:szCs w:val="21"/>
                <w:highlight w:val="none"/>
                <w:u w:val="single"/>
                <w:lang w:val="en-US" w:eastAsia="zh-CN"/>
              </w:rPr>
              <w:t>175.05万元，其中包组1预算金额：115.95万元；包组2预算金额59.1万元。</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8"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计量单位</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bCs/>
                <w:color w:val="auto"/>
                <w:kern w:val="0"/>
                <w:szCs w:val="21"/>
                <w:highlight w:val="none"/>
              </w:rPr>
              <w:t>中华人民共和国法定计量单位</w:t>
            </w:r>
          </w:p>
          <w:p>
            <w:pPr>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其他：</w:t>
            </w:r>
          </w:p>
        </w:tc>
      </w:tr>
      <w:tr>
        <w:tblPrEx>
          <w:tblCellMar>
            <w:top w:w="0" w:type="dxa"/>
            <w:left w:w="108" w:type="dxa"/>
            <w:bottom w:w="0" w:type="dxa"/>
            <w:right w:w="108" w:type="dxa"/>
          </w:tblCellMar>
        </w:tblPrEx>
        <w:trPr>
          <w:trHeight w:val="1873"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163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现场考察</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不组织</w:t>
            </w:r>
          </w:p>
          <w:p>
            <w:pPr>
              <w:ind w:left="1680" w:hanging="1680" w:hangingChars="800"/>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组织，时间：</w:t>
            </w:r>
          </w:p>
          <w:p>
            <w:pPr>
              <w:widowControl/>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地点：</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p>
            <w:pPr>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rPr>
              <w:t>电话：</w:t>
            </w:r>
          </w:p>
          <w:p>
            <w:pPr>
              <w:pStyle w:val="40"/>
              <w:ind w:firstLine="420" w:firstLineChars="200"/>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组织，招标文件提供期限截止后以书面形式通知。</w:t>
            </w:r>
          </w:p>
        </w:tc>
      </w:tr>
      <w:tr>
        <w:tblPrEx>
          <w:tblCellMar>
            <w:top w:w="0" w:type="dxa"/>
            <w:left w:w="108" w:type="dxa"/>
            <w:bottom w:w="0" w:type="dxa"/>
            <w:right w:w="108" w:type="dxa"/>
          </w:tblCellMar>
        </w:tblPrEx>
        <w:trPr>
          <w:trHeight w:val="621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63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样品或演示</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不需要</w:t>
            </w:r>
            <w:r>
              <w:rPr>
                <w:rFonts w:hint="eastAsia" w:ascii="宋体" w:hAnsi="宋体" w:eastAsia="宋体" w:cs="宋体"/>
                <w:bCs/>
                <w:color w:val="auto"/>
                <w:kern w:val="0"/>
                <w:szCs w:val="21"/>
                <w:highlight w:val="none"/>
              </w:rPr>
              <w:t>提供样品</w:t>
            </w:r>
          </w:p>
          <w:p>
            <w:pPr>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需要</w:t>
            </w:r>
            <w:r>
              <w:rPr>
                <w:rFonts w:hint="eastAsia" w:ascii="宋体" w:hAnsi="宋体" w:eastAsia="宋体" w:cs="宋体"/>
                <w:bCs/>
                <w:color w:val="auto"/>
                <w:kern w:val="0"/>
                <w:szCs w:val="21"/>
                <w:highlight w:val="none"/>
              </w:rPr>
              <w:t>提供样品</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1.递交投标样品的截止时间：</w:t>
            </w:r>
            <w:r>
              <w:rPr>
                <w:rFonts w:hint="eastAsia" w:ascii="宋体" w:hAnsi="宋体" w:eastAsia="宋体" w:cs="宋体"/>
                <w:color w:val="auto"/>
                <w:szCs w:val="21"/>
                <w:highlight w:val="none"/>
              </w:rPr>
              <w:t>年月日点分</w:t>
            </w:r>
            <w:r>
              <w:rPr>
                <w:rFonts w:hint="eastAsia" w:ascii="宋体" w:hAnsi="宋体" w:eastAsia="宋体" w:cs="宋体"/>
                <w:color w:val="auto"/>
                <w:kern w:val="0"/>
                <w:szCs w:val="21"/>
                <w:highlight w:val="none"/>
              </w:rPr>
              <w:t>（北京时间）</w:t>
            </w:r>
          </w:p>
          <w:p>
            <w:pPr>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递交投标样品地点：</w:t>
            </w:r>
          </w:p>
          <w:p>
            <w:pPr>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递交样品联系人：</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递交样品联系电话：</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2.样品制作的标准和要求：</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3.随样品提交相关检测报告要求：</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（包含是否要求提供、检测机构要求、检测内容等）</w:t>
            </w:r>
          </w:p>
          <w:p>
            <w:pPr>
              <w:ind w:firstLine="420" w:firstLineChars="200"/>
              <w:rPr>
                <w:rFonts w:ascii="宋体" w:hAnsi="宋体" w:eastAsia="宋体" w:cs="宋体"/>
                <w:strike/>
                <w:color w:val="auto"/>
                <w:kern w:val="0"/>
                <w:szCs w:val="21"/>
                <w:highlight w:val="none"/>
              </w:rPr>
            </w:pPr>
            <w:r>
              <w:rPr>
                <w:rFonts w:hint="eastAsia" w:ascii="宋体" w:hAnsi="宋体" w:eastAsia="宋体" w:cs="宋体"/>
                <w:color w:val="auto"/>
                <w:kern w:val="0"/>
                <w:szCs w:val="21"/>
                <w:highlight w:val="none"/>
              </w:rPr>
              <w:t>4.样品的封存及退回：中标投标人的样品将由采购人进行保管、封存，并作为履约验收的参考。未中标的投标人提供的样品，应当由采购人进行保管、封存，中标公告发出之日起七个工作日后，由未中标人自行领回，逾期不领回的视为未中标人同意采购人有权自行处置相关样品。</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5.样品评审方法：详见评审细则中的要求</w:t>
            </w:r>
            <w:r>
              <w:rPr>
                <w:rFonts w:hint="eastAsia" w:ascii="宋体" w:hAnsi="宋体" w:eastAsia="宋体" w:cs="宋体"/>
                <w:color w:val="auto"/>
                <w:kern w:val="0"/>
                <w:szCs w:val="21"/>
                <w:highlight w:val="none"/>
                <w:u w:val="none"/>
              </w:rPr>
              <w:t>。</w:t>
            </w:r>
          </w:p>
          <w:p>
            <w:pPr>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6.样品评审标准：详见评审细则中的要求。</w:t>
            </w:r>
          </w:p>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不</w:t>
            </w:r>
            <w:r>
              <w:rPr>
                <w:rFonts w:hint="eastAsia" w:ascii="宋体" w:hAnsi="宋体" w:eastAsia="宋体" w:cs="宋体"/>
                <w:bCs/>
                <w:color w:val="auto"/>
                <w:kern w:val="0"/>
                <w:szCs w:val="21"/>
                <w:highlight w:val="none"/>
              </w:rPr>
              <w:t>需要提供演示</w:t>
            </w:r>
          </w:p>
          <w:p>
            <w:pPr>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需要</w:t>
            </w:r>
            <w:r>
              <w:rPr>
                <w:rFonts w:hint="eastAsia" w:ascii="宋体" w:hAnsi="宋体" w:eastAsia="宋体" w:cs="宋体"/>
                <w:bCs/>
                <w:color w:val="auto"/>
                <w:kern w:val="0"/>
                <w:szCs w:val="21"/>
                <w:highlight w:val="none"/>
              </w:rPr>
              <w:t>提供演示</w:t>
            </w:r>
          </w:p>
          <w:p>
            <w:pPr>
              <w:pStyle w:val="12"/>
              <w:ind w:firstLine="420" w:firstLineChars="200"/>
              <w:rPr>
                <w:rFonts w:hint="default" w:ascii="宋体" w:hAnsi="宋体" w:eastAsia="宋体" w:cs="宋体"/>
                <w:color w:val="auto"/>
                <w:kern w:val="0"/>
                <w:szCs w:val="21"/>
                <w:highlight w:val="none"/>
              </w:rPr>
            </w:pPr>
            <w:r>
              <w:rPr>
                <w:rFonts w:ascii="宋体" w:hAnsi="宋体" w:eastAsia="宋体" w:cs="宋体"/>
                <w:color w:val="auto"/>
                <w:kern w:val="0"/>
                <w:szCs w:val="21"/>
                <w:highlight w:val="none"/>
              </w:rPr>
              <w:t>1.演示的方式：详见评审细则中的要求。</w:t>
            </w:r>
          </w:p>
          <w:p>
            <w:pPr>
              <w:pStyle w:val="12"/>
              <w:ind w:firstLine="420" w:firstLineChars="200"/>
              <w:rPr>
                <w:rFonts w:hint="default" w:ascii="宋体" w:hAnsi="宋体" w:eastAsia="宋体" w:cs="宋体"/>
                <w:color w:val="auto"/>
                <w:kern w:val="0"/>
                <w:szCs w:val="21"/>
                <w:highlight w:val="none"/>
              </w:rPr>
            </w:pPr>
            <w:r>
              <w:rPr>
                <w:rFonts w:ascii="宋体" w:hAnsi="宋体" w:eastAsia="宋体" w:cs="宋体"/>
                <w:color w:val="auto"/>
                <w:kern w:val="0"/>
                <w:szCs w:val="21"/>
                <w:highlight w:val="none"/>
              </w:rPr>
              <w:t>2.演示的内容：详见评审细则中的要求。</w:t>
            </w:r>
          </w:p>
          <w:p>
            <w:pPr>
              <w:pStyle w:val="12"/>
              <w:ind w:firstLine="420" w:firstLineChars="200"/>
              <w:rPr>
                <w:rFonts w:hint="default" w:ascii="宋体" w:hAnsi="宋体" w:eastAsia="宋体" w:cs="宋体"/>
                <w:color w:val="auto"/>
                <w:kern w:val="0"/>
                <w:szCs w:val="21"/>
                <w:highlight w:val="none"/>
              </w:rPr>
            </w:pPr>
            <w:r>
              <w:rPr>
                <w:rFonts w:ascii="宋体" w:hAnsi="宋体" w:eastAsia="宋体" w:cs="宋体"/>
                <w:color w:val="auto"/>
                <w:kern w:val="0"/>
                <w:szCs w:val="21"/>
                <w:highlight w:val="none"/>
              </w:rPr>
              <w:t>3.演示时间（不含答辩时间）：详见评审细则中的要求。</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4.演示评审方法：详见评审细则中的要求。</w:t>
            </w:r>
          </w:p>
          <w:p>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5.演示评审标准：详见评审细则中的要求。</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3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投标报价货币要求</w:t>
            </w:r>
          </w:p>
        </w:tc>
        <w:tc>
          <w:tcPr>
            <w:tcW w:w="61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所有投标均按</w:t>
            </w:r>
            <w:r>
              <w:rPr>
                <w:rFonts w:hint="eastAsia" w:ascii="宋体" w:hAnsi="宋体" w:eastAsia="宋体" w:cs="宋体"/>
                <w:color w:val="auto"/>
                <w:kern w:val="0"/>
                <w:szCs w:val="21"/>
                <w:highlight w:val="none"/>
                <w:u w:val="single"/>
              </w:rPr>
              <w:t>人民币</w:t>
            </w:r>
            <w:r>
              <w:rPr>
                <w:rFonts w:hint="eastAsia" w:ascii="宋体" w:hAnsi="宋体" w:eastAsia="宋体" w:cs="宋体"/>
                <w:color w:val="auto"/>
                <w:kern w:val="0"/>
                <w:szCs w:val="21"/>
                <w:highlight w:val="none"/>
              </w:rPr>
              <w:t>进行报价。</w:t>
            </w:r>
          </w:p>
          <w:p>
            <w:pPr>
              <w:rPr>
                <w:rFonts w:ascii="宋体" w:hAnsi="宋体" w:eastAsia="宋体" w:cs="宋体"/>
                <w:color w:val="auto"/>
                <w:kern w:val="0"/>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其它：</w:t>
            </w:r>
          </w:p>
        </w:tc>
      </w:tr>
      <w:tr>
        <w:tblPrEx>
          <w:tblCellMar>
            <w:top w:w="0" w:type="dxa"/>
            <w:left w:w="108" w:type="dxa"/>
            <w:bottom w:w="0" w:type="dxa"/>
            <w:right w:w="108" w:type="dxa"/>
          </w:tblCellMar>
        </w:tblPrEx>
        <w:trPr>
          <w:trHeight w:val="557"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38" w:type="dxa"/>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166" w:type="dxa"/>
            <w:tcBorders>
              <w:top w:val="single" w:color="auto" w:sz="4" w:space="0"/>
              <w:left w:val="nil"/>
              <w:bottom w:val="single" w:color="auto" w:sz="8" w:space="0"/>
              <w:right w:val="single" w:color="auto" w:sz="8" w:space="0"/>
            </w:tcBorders>
            <w:vAlign w:val="center"/>
          </w:tcPr>
          <w:p>
            <w:pPr>
              <w:autoSpaceDE w:val="0"/>
              <w:autoSpaceDN w:val="0"/>
              <w:spacing w:line="312" w:lineRule="auto"/>
              <w:ind w:left="210" w:hanging="210" w:hangingChars="100"/>
              <w:rPr>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不收取。所有有关投标保证金的条款内容不适用。</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p>
        </w:tc>
        <w:tc>
          <w:tcPr>
            <w:tcW w:w="1638" w:type="dxa"/>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66" w:type="dxa"/>
            <w:tcBorders>
              <w:top w:val="single" w:color="auto" w:sz="4" w:space="0"/>
              <w:left w:val="nil"/>
              <w:bottom w:val="single" w:color="auto" w:sz="8" w:space="0"/>
              <w:right w:val="single" w:color="auto" w:sz="8" w:space="0"/>
            </w:tcBorders>
            <w:vAlign w:val="center"/>
          </w:tcPr>
          <w:p>
            <w:pPr>
              <w:pStyle w:val="12"/>
              <w:rPr>
                <w:rFonts w:hint="default" w:ascii="宋体" w:hAnsi="宋体" w:eastAsia="宋体" w:cs="宋体"/>
                <w:color w:val="auto"/>
                <w:kern w:val="0"/>
                <w:szCs w:val="21"/>
                <w:highlight w:val="none"/>
              </w:rPr>
            </w:pPr>
            <w:r>
              <w:rPr>
                <w:rFonts w:ascii="宋体" w:hAnsi="宋体" w:eastAsia="宋体" w:cs="宋体"/>
                <w:color w:val="auto"/>
                <w:szCs w:val="21"/>
                <w:highlight w:val="none"/>
              </w:rPr>
              <w:t>从提交投标文件的截止之日起</w:t>
            </w:r>
            <w:r>
              <w:rPr>
                <w:rFonts w:ascii="宋体" w:hAnsi="宋体" w:eastAsia="宋体" w:cs="宋体"/>
                <w:color w:val="auto"/>
                <w:kern w:val="0"/>
                <w:szCs w:val="21"/>
                <w:highlight w:val="none"/>
                <w:u w:val="single"/>
              </w:rPr>
              <w:t>90</w:t>
            </w:r>
            <w:r>
              <w:rPr>
                <w:rFonts w:ascii="宋体" w:hAnsi="宋体" w:eastAsia="宋体" w:cs="宋体"/>
                <w:color w:val="auto"/>
                <w:szCs w:val="21"/>
                <w:highlight w:val="none"/>
              </w:rPr>
              <w:t>日历天。</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p>
        </w:tc>
        <w:tc>
          <w:tcPr>
            <w:tcW w:w="1638" w:type="dxa"/>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投标文件及电子文档份数</w:t>
            </w:r>
          </w:p>
        </w:tc>
        <w:tc>
          <w:tcPr>
            <w:tcW w:w="6166" w:type="dxa"/>
            <w:tcBorders>
              <w:top w:val="nil"/>
              <w:left w:val="nil"/>
              <w:bottom w:val="single" w:color="auto" w:sz="4" w:space="0"/>
              <w:right w:val="single" w:color="auto" w:sz="8" w:space="0"/>
            </w:tcBorders>
            <w:vAlign w:val="center"/>
          </w:tcPr>
          <w:p>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正本</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lang w:val="en-US" w:eastAsia="zh-CN"/>
              </w:rPr>
              <w:t>四</w:t>
            </w:r>
            <w:r>
              <w:rPr>
                <w:rFonts w:hint="eastAsia" w:ascii="宋体" w:hAnsi="宋体" w:eastAsia="宋体" w:cs="宋体"/>
                <w:color w:val="auto"/>
                <w:szCs w:val="21"/>
                <w:highlight w:val="none"/>
              </w:rPr>
              <w:t>份，电子文档</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U盘或光盘</w:t>
            </w:r>
            <w:r>
              <w:rPr>
                <w:rFonts w:hint="eastAsia" w:ascii="宋体" w:hAnsi="宋体" w:eastAsia="宋体" w:cs="宋体"/>
                <w:b/>
                <w:color w:val="auto"/>
                <w:szCs w:val="21"/>
                <w:highlight w:val="none"/>
              </w:rPr>
              <w:t>）</w:t>
            </w:r>
          </w:p>
          <w:p>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投标文件正本与电子投标文件一起封装，封套盖章并标明项目编号、投标人名称及“正本”等字样。</w:t>
            </w:r>
          </w:p>
          <w:p>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电子文档须同时提交以下文件：</w:t>
            </w:r>
          </w:p>
          <w:p>
            <w:pPr>
              <w:widowControl/>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可编辑的WORD或EXCEL格式文件（资质文件及证书等可扫描以图片格式提交）</w:t>
            </w:r>
          </w:p>
          <w:p>
            <w:pPr>
              <w:widowControl/>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按招标文件要求签署、盖章后的正本投标文件扫描成PDF格式文件。</w:t>
            </w:r>
          </w:p>
          <w:p>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电子文档须一同拷贝至无病毒无密码的U盘或光盘，其中所有文件不做压缩处理。</w:t>
            </w:r>
          </w:p>
          <w:p>
            <w:pPr>
              <w:widowControl/>
              <w:rPr>
                <w:rFonts w:ascii="宋体" w:hAnsi="宋体" w:eastAsia="宋体" w:cs="宋体"/>
                <w:color w:val="auto"/>
                <w:szCs w:val="21"/>
                <w:highlight w:val="none"/>
              </w:rPr>
            </w:pPr>
            <w:r>
              <w:rPr>
                <w:rFonts w:hint="eastAsia" w:ascii="宋体" w:hAnsi="宋体" w:eastAsia="宋体" w:cs="宋体"/>
                <w:color w:val="auto"/>
                <w:szCs w:val="21"/>
                <w:highlight w:val="none"/>
                <w:lang w:eastAsia="zh-TW"/>
              </w:rPr>
              <w:t>若</w:t>
            </w:r>
            <w:r>
              <w:rPr>
                <w:rFonts w:hint="eastAsia" w:ascii="宋体" w:hAnsi="宋体" w:eastAsia="宋体" w:cs="宋体"/>
                <w:color w:val="auto"/>
                <w:szCs w:val="21"/>
                <w:highlight w:val="none"/>
              </w:rPr>
              <w:t>电子文档</w:t>
            </w:r>
            <w:r>
              <w:rPr>
                <w:rFonts w:hint="eastAsia" w:ascii="宋体" w:hAnsi="宋体" w:eastAsia="宋体" w:cs="宋体"/>
                <w:color w:val="auto"/>
                <w:szCs w:val="21"/>
                <w:highlight w:val="none"/>
                <w:lang w:eastAsia="zh-TW"/>
              </w:rPr>
              <w:t>与</w:t>
            </w:r>
            <w:r>
              <w:rPr>
                <w:rFonts w:hint="eastAsia" w:ascii="宋体" w:hAnsi="宋体" w:eastAsia="宋体" w:cs="宋体"/>
                <w:color w:val="auto"/>
                <w:szCs w:val="21"/>
                <w:highlight w:val="none"/>
              </w:rPr>
              <w:t>纸质投标文件</w:t>
            </w:r>
            <w:r>
              <w:rPr>
                <w:rFonts w:hint="eastAsia" w:ascii="宋体" w:hAnsi="宋体" w:eastAsia="宋体" w:cs="宋体"/>
                <w:color w:val="auto"/>
                <w:szCs w:val="21"/>
                <w:highlight w:val="none"/>
                <w:lang w:eastAsia="zh-TW"/>
              </w:rPr>
              <w:t>不符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TW"/>
              </w:rPr>
              <w:t>以</w:t>
            </w:r>
            <w:r>
              <w:rPr>
                <w:rFonts w:hint="eastAsia" w:ascii="宋体" w:hAnsi="宋体" w:eastAsia="宋体" w:cs="宋体"/>
                <w:color w:val="auto"/>
                <w:szCs w:val="21"/>
                <w:highlight w:val="none"/>
              </w:rPr>
              <w:t>纸质投标文件</w:t>
            </w:r>
            <w:r>
              <w:rPr>
                <w:rFonts w:hint="eastAsia" w:ascii="宋体" w:hAnsi="宋体" w:eastAsia="宋体" w:cs="宋体"/>
                <w:color w:val="auto"/>
                <w:szCs w:val="21"/>
                <w:highlight w:val="none"/>
                <w:lang w:eastAsia="zh-TW"/>
              </w:rPr>
              <w:t>为准</w:t>
            </w:r>
            <w:r>
              <w:rPr>
                <w:rFonts w:hint="eastAsia" w:ascii="宋体" w:hAnsi="宋体" w:eastAsia="宋体" w:cs="宋体"/>
                <w:color w:val="auto"/>
                <w:szCs w:val="21"/>
                <w:highlight w:val="none"/>
              </w:rPr>
              <w:t>。</w:t>
            </w:r>
          </w:p>
          <w:p>
            <w:pPr>
              <w:widowControl/>
              <w:rPr>
                <w:rFonts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lang w:eastAsia="zh-TW"/>
              </w:rPr>
              <w:t>投标文件的副本</w:t>
            </w:r>
            <w:r>
              <w:rPr>
                <w:rFonts w:hint="eastAsia" w:ascii="宋体" w:hAnsi="宋体" w:eastAsia="宋体" w:cs="宋体"/>
                <w:color w:val="auto"/>
                <w:szCs w:val="21"/>
                <w:highlight w:val="none"/>
              </w:rPr>
              <w:t>可采用</w:t>
            </w:r>
            <w:r>
              <w:rPr>
                <w:rFonts w:hint="eastAsia" w:ascii="宋体" w:hAnsi="宋体" w:eastAsia="宋体" w:cs="宋体"/>
                <w:color w:val="auto"/>
                <w:szCs w:val="21"/>
                <w:highlight w:val="none"/>
                <w:lang w:eastAsia="zh-TW"/>
              </w:rPr>
              <w:t>正本的复印件。</w:t>
            </w:r>
            <w:r>
              <w:rPr>
                <w:rFonts w:hint="eastAsia" w:ascii="宋体" w:hAnsi="宋体" w:eastAsia="宋体" w:cs="宋体"/>
                <w:color w:val="auto"/>
                <w:szCs w:val="21"/>
                <w:highlight w:val="none"/>
              </w:rPr>
              <w:t>投标文件</w:t>
            </w:r>
            <w:r>
              <w:rPr>
                <w:rFonts w:hint="eastAsia" w:ascii="宋体" w:hAnsi="宋体" w:eastAsia="宋体" w:cs="宋体"/>
                <w:b/>
                <w:color w:val="auto"/>
                <w:szCs w:val="21"/>
                <w:highlight w:val="none"/>
              </w:rPr>
              <w:t>副本</w:t>
            </w:r>
            <w:r>
              <w:rPr>
                <w:rFonts w:hint="eastAsia" w:ascii="宋体" w:hAnsi="宋体" w:eastAsia="宋体" w:cs="宋体"/>
                <w:color w:val="auto"/>
                <w:szCs w:val="21"/>
                <w:highlight w:val="none"/>
              </w:rPr>
              <w:t>一起封装，封套盖章并标明项目编号、投标人名称及“副本”等字样。若副本与正本不符，以正本为准。</w:t>
            </w: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w:t>
            </w:r>
          </w:p>
        </w:tc>
        <w:tc>
          <w:tcPr>
            <w:tcW w:w="1638" w:type="dxa"/>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递交投标文件截止时间、地点</w:t>
            </w:r>
          </w:p>
        </w:tc>
        <w:tc>
          <w:tcPr>
            <w:tcW w:w="6166" w:type="dxa"/>
            <w:tcBorders>
              <w:top w:val="nil"/>
              <w:left w:val="nil"/>
              <w:bottom w:val="single" w:color="auto" w:sz="4" w:space="0"/>
              <w:right w:val="single" w:color="auto" w:sz="8" w:space="0"/>
            </w:tcBorders>
            <w:vAlign w:val="center"/>
          </w:tcPr>
          <w:p>
            <w:pPr>
              <w:widowControl/>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20.1</w:t>
            </w:r>
          </w:p>
        </w:tc>
        <w:tc>
          <w:tcPr>
            <w:tcW w:w="1638" w:type="dxa"/>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开标时间、地点</w:t>
            </w:r>
          </w:p>
        </w:tc>
        <w:tc>
          <w:tcPr>
            <w:tcW w:w="6166" w:type="dxa"/>
            <w:tcBorders>
              <w:top w:val="nil"/>
              <w:left w:val="nil"/>
              <w:bottom w:val="single" w:color="auto" w:sz="4" w:space="0"/>
              <w:right w:val="single" w:color="auto" w:sz="8" w:space="0"/>
            </w:tcBorders>
            <w:vAlign w:val="center"/>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38" w:type="dxa"/>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评标委员会组成</w:t>
            </w:r>
          </w:p>
        </w:tc>
        <w:tc>
          <w:tcPr>
            <w:tcW w:w="6166" w:type="dxa"/>
            <w:tcBorders>
              <w:top w:val="nil"/>
              <w:left w:val="nil"/>
              <w:bottom w:val="single" w:color="auto" w:sz="4" w:space="0"/>
              <w:right w:val="single" w:color="auto" w:sz="8" w:space="0"/>
            </w:tcBorders>
            <w:vAlign w:val="center"/>
          </w:tcPr>
          <w:p>
            <w:pPr>
              <w:widowControl/>
              <w:rPr>
                <w:rFonts w:ascii="宋体" w:hAnsi="宋体" w:eastAsia="宋体" w:cs="宋体"/>
                <w:color w:val="auto"/>
                <w:kern w:val="0"/>
                <w:szCs w:val="21"/>
                <w:highlight w:val="none"/>
              </w:rPr>
            </w:pPr>
            <w:r>
              <w:rPr>
                <w:rFonts w:hint="eastAsia" w:ascii="宋体" w:hAnsi="宋体" w:eastAsia="宋体" w:cs="宋体"/>
                <w:color w:val="auto"/>
                <w:szCs w:val="21"/>
                <w:highlight w:val="none"/>
              </w:rPr>
              <w:t>根据《中华人民共和国政府采购法》等法律法规规定，由采购人代表和评审专家组成</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成员人数</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rPr>
              <w:t>名。</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w:t>
            </w:r>
          </w:p>
        </w:tc>
        <w:tc>
          <w:tcPr>
            <w:tcW w:w="1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61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w:t>
            </w:r>
          </w:p>
          <w:p>
            <w:pPr>
              <w:widowControl/>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□最低评标价法</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29.2</w:t>
            </w:r>
          </w:p>
        </w:tc>
        <w:tc>
          <w:tcPr>
            <w:tcW w:w="1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推荐中标候选人的数量</w:t>
            </w:r>
          </w:p>
        </w:tc>
        <w:tc>
          <w:tcPr>
            <w:tcW w:w="616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编写书面的评标报告，按综合得分（商务、服务和价格得分相加）高低次序排出名次，并推荐综合得分排名第一的投标人为第一中标候选人，排名第二的投标人为第二中标候选人，排名第三的投标人为第三中标候选人。</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2.本项目允许兼投（同一投标人可以同时参与多个包组的投标）但不能兼中，评审规则如下：</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（1）本项目评审按包组编号（包组一，包组二......）的顺序进行评审；</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（2）投标人在该包组中已确定为第一中标候选人时，其投标文件不再参与后续包组的评审；</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（3）若出现有包组无中标候选人可推荐或有效投标人不足3家，则该包组本次采购失败，但不影响其他包组的中标结果；</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出现某包组的第一中标候选人放弃中标或因其他原因被取消中标资格的，仅在该包组内按照已确定的中标候选人顺序依次上升替补定标或该包组重新开展政府采购活动，以此类推，不影响其他包组的中标候选人顺序及定标工作；若替补上来的中标候选人已成为其他包组的第一中标候选人或中标人，则该单位不得成为该包组的中标人，可以由该包组排名其后的中标候选人上升替补定标，并以此类推；若该包组所有中标候选人都不能成为中标人，则该包组招标失败。</w:t>
            </w:r>
          </w:p>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举例：某项目四个包组，A公司为包组一的中标人、B公司为包组一的第二中标候选人、C公司为包组一第三中标候选人，B公司为包组二的中标人，C公司不是其他包组的中标人。如包组一中标人A公司放弃中标资格或被取消中标资格，认定中标无效，则B公司不被确定为包组一的中标人，确定C公司为包组一的中标人。】</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确定中标人的方式</w:t>
            </w:r>
          </w:p>
        </w:tc>
        <w:tc>
          <w:tcPr>
            <w:tcW w:w="61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中标人数量</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每个包组</w:t>
            </w:r>
            <w:r>
              <w:rPr>
                <w:rFonts w:hint="eastAsia" w:ascii="宋体" w:hAnsi="宋体" w:eastAsia="宋体" w:cs="宋体"/>
                <w:color w:val="auto"/>
                <w:szCs w:val="21"/>
                <w:highlight w:val="none"/>
                <w:u w:val="single"/>
              </w:rPr>
              <w:t>1名</w:t>
            </w:r>
          </w:p>
          <w:p>
            <w:pPr>
              <w:widowControl/>
              <w:rPr>
                <w:rFonts w:ascii="宋体" w:hAnsi="宋体" w:eastAsia="宋体" w:cs="宋体"/>
                <w:color w:val="auto"/>
                <w:kern w:val="0"/>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采购人委托评标委员会直接确认中标人</w:t>
            </w:r>
          </w:p>
          <w:p>
            <w:pPr>
              <w:widowControl/>
              <w:rPr>
                <w:rFonts w:ascii="宋体" w:hAnsi="宋体" w:eastAsia="宋体" w:cs="宋体"/>
                <w:color w:val="auto"/>
                <w:kern w:val="0"/>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采购人确认中标人</w:t>
            </w:r>
          </w:p>
        </w:tc>
      </w:tr>
      <w:tr>
        <w:tblPrEx>
          <w:tblCellMar>
            <w:top w:w="0" w:type="dxa"/>
            <w:left w:w="108" w:type="dxa"/>
            <w:bottom w:w="0" w:type="dxa"/>
            <w:right w:w="108" w:type="dxa"/>
          </w:tblCellMar>
        </w:tblPrEx>
        <w:trPr>
          <w:trHeight w:val="2097"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w:t>
            </w:r>
          </w:p>
        </w:tc>
        <w:tc>
          <w:tcPr>
            <w:tcW w:w="163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履约保证金</w:t>
            </w:r>
          </w:p>
        </w:tc>
        <w:tc>
          <w:tcPr>
            <w:tcW w:w="6166"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本项目不收取履约保证金</w:t>
            </w:r>
          </w:p>
          <w:p>
            <w:pPr>
              <w:shd w:val="clear" w:color="auto" w:fill="FFFFFF"/>
              <w:jc w:val="left"/>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本项目收取履约保证金</w:t>
            </w:r>
          </w:p>
          <w:p>
            <w:pPr>
              <w:shd w:val="clear" w:color="auto" w:fill="FFFFFF"/>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履约保证金金额：</w:t>
            </w:r>
          </w:p>
          <w:p>
            <w:pPr>
              <w:shd w:val="clear" w:color="auto" w:fill="FFFFFF"/>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履约保证金递交时间：</w:t>
            </w:r>
          </w:p>
          <w:p>
            <w:pPr>
              <w:shd w:val="clear" w:color="auto" w:fill="FFFFFF"/>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履约保证金递交方式：</w:t>
            </w:r>
          </w:p>
          <w:p>
            <w:pPr>
              <w:shd w:val="clear" w:color="auto" w:fill="FFFFFF"/>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履约保证金退还时间及规定：</w:t>
            </w:r>
          </w:p>
        </w:tc>
      </w:tr>
      <w:tr>
        <w:tblPrEx>
          <w:tblCellMar>
            <w:top w:w="0" w:type="dxa"/>
            <w:left w:w="108" w:type="dxa"/>
            <w:bottom w:w="0" w:type="dxa"/>
            <w:right w:w="108" w:type="dxa"/>
          </w:tblCellMar>
        </w:tblPrEx>
        <w:trPr>
          <w:trHeight w:val="1252" w:hRule="atLeast"/>
        </w:trPr>
        <w:tc>
          <w:tcPr>
            <w:tcW w:w="852" w:type="dxa"/>
            <w:tcBorders>
              <w:top w:val="nil"/>
              <w:left w:val="single" w:color="auto" w:sz="8" w:space="0"/>
              <w:bottom w:val="single" w:color="auto" w:sz="8"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638" w:type="dxa"/>
            <w:tcBorders>
              <w:top w:val="nil"/>
              <w:left w:val="single" w:color="auto" w:sz="4" w:space="0"/>
              <w:bottom w:val="single" w:color="auto" w:sz="8" w:space="0"/>
              <w:right w:val="single" w:color="auto" w:sz="8"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招标代理服务费</w:t>
            </w:r>
          </w:p>
        </w:tc>
        <w:tc>
          <w:tcPr>
            <w:tcW w:w="6166" w:type="dxa"/>
            <w:tcBorders>
              <w:top w:val="nil"/>
              <w:left w:val="nil"/>
              <w:bottom w:val="single" w:color="auto" w:sz="8" w:space="0"/>
              <w:right w:val="single" w:color="auto" w:sz="8" w:space="0"/>
            </w:tcBorders>
            <w:vAlign w:val="center"/>
          </w:tcPr>
          <w:p>
            <w:pPr>
              <w:keepNext w:val="0"/>
              <w:keepLines w:val="0"/>
              <w:pageBreakBefore w:val="0"/>
              <w:widowControl w:val="0"/>
              <w:shd w:val="clear" w:color="auto" w:fill="FFFFFF"/>
              <w:kinsoku/>
              <w:wordWrap/>
              <w:overflowPunct/>
              <w:topLinePunct w:val="0"/>
              <w:bidi w:val="0"/>
              <w:snapToGrid w:val="0"/>
              <w:spacing w:line="288" w:lineRule="auto"/>
              <w:jc w:val="left"/>
              <w:rPr>
                <w:rFonts w:ascii="宋体" w:hAnsi="宋体" w:eastAsia="宋体" w:cs="宋体"/>
                <w:color w:val="auto"/>
                <w:highlight w:val="none"/>
              </w:rPr>
            </w:pPr>
            <w:r>
              <w:rPr>
                <w:rFonts w:hint="eastAsia" w:ascii="宋体" w:hAnsi="宋体" w:eastAsia="宋体" w:cs="宋体"/>
                <w:color w:val="auto"/>
                <w:highlight w:val="none"/>
              </w:rPr>
              <w:t>本项目收取采购代理服务费</w:t>
            </w:r>
          </w:p>
          <w:p>
            <w:pPr>
              <w:pStyle w:val="46"/>
              <w:keepNext w:val="0"/>
              <w:keepLines w:val="0"/>
              <w:pageBreakBefore w:val="0"/>
              <w:widowControl w:val="0"/>
              <w:numPr>
                <w:ilvl w:val="0"/>
                <w:numId w:val="0"/>
              </w:numPr>
              <w:tabs>
                <w:tab w:val="left" w:pos="524"/>
                <w:tab w:val="left" w:pos="601"/>
              </w:tabs>
              <w:kinsoku/>
              <w:wordWrap/>
              <w:overflowPunct/>
              <w:topLinePunct w:val="0"/>
              <w:bidi w:val="0"/>
              <w:adjustRightInd w:val="0"/>
              <w:snapToGrid w:val="0"/>
              <w:spacing w:line="288" w:lineRule="auto"/>
              <w:ind w:leftChars="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本次采购代理服务费向</w:t>
            </w:r>
            <w:r>
              <w:rPr>
                <w:rFonts w:hint="eastAsia" w:ascii="宋体" w:hAnsi="宋体" w:eastAsia="宋体" w:cs="宋体"/>
                <w:color w:val="auto"/>
                <w:szCs w:val="21"/>
                <w:highlight w:val="none"/>
                <w:u w:val="single"/>
              </w:rPr>
              <w:t>中标人</w:t>
            </w:r>
            <w:r>
              <w:rPr>
                <w:rFonts w:hint="eastAsia" w:ascii="宋体" w:hAnsi="宋体" w:eastAsia="宋体" w:cs="宋体"/>
                <w:color w:val="auto"/>
                <w:szCs w:val="21"/>
                <w:highlight w:val="none"/>
              </w:rPr>
              <w:t>收取；</w:t>
            </w:r>
          </w:p>
          <w:p>
            <w:pPr>
              <w:pStyle w:val="46"/>
              <w:keepNext w:val="0"/>
              <w:keepLines w:val="0"/>
              <w:pageBreakBefore w:val="0"/>
              <w:widowControl w:val="0"/>
              <w:numPr>
                <w:ilvl w:val="0"/>
                <w:numId w:val="0"/>
              </w:numPr>
              <w:tabs>
                <w:tab w:val="left" w:pos="524"/>
                <w:tab w:val="left" w:pos="601"/>
              </w:tabs>
              <w:kinsoku/>
              <w:wordWrap/>
              <w:overflowPunct/>
              <w:topLinePunct w:val="0"/>
              <w:autoSpaceDE w:val="0"/>
              <w:autoSpaceDN w:val="0"/>
              <w:bidi w:val="0"/>
              <w:adjustRightInd w:val="0"/>
              <w:snapToGrid w:val="0"/>
              <w:spacing w:line="288" w:lineRule="auto"/>
              <w:ind w:leftChars="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按照下述方式向采购代理机构按如下标准和规定缴纳采购代理服务费：</w:t>
            </w:r>
          </w:p>
          <w:p>
            <w:pPr>
              <w:rPr>
                <w:rFonts w:ascii="宋体" w:hAnsi="宋体" w:eastAsia="宋体" w:cs="宋体"/>
                <w:color w:val="auto"/>
                <w:szCs w:val="21"/>
                <w:highlight w:val="none"/>
              </w:rPr>
            </w:pPr>
            <w:r>
              <w:rPr>
                <w:rFonts w:hint="eastAsia" w:ascii="宋体" w:hAnsi="宋体" w:eastAsia="宋体" w:cs="宋体"/>
                <w:color w:val="auto"/>
                <w:szCs w:val="21"/>
                <w:highlight w:val="none"/>
              </w:rPr>
              <w:t>差额定率累进法收费：以</w:t>
            </w:r>
            <w:r>
              <w:rPr>
                <w:rFonts w:hint="eastAsia" w:ascii="宋体" w:hAnsi="宋体" w:eastAsia="宋体" w:cs="宋体"/>
                <w:bCs/>
                <w:color w:val="auto"/>
                <w:szCs w:val="21"/>
                <w:highlight w:val="none"/>
                <w:u w:val="single"/>
              </w:rPr>
              <w:t>预算金额</w:t>
            </w:r>
            <w:r>
              <w:rPr>
                <w:rFonts w:hint="eastAsia" w:ascii="宋体" w:hAnsi="宋体" w:eastAsia="宋体" w:cs="宋体"/>
                <w:bCs/>
                <w:color w:val="auto"/>
                <w:szCs w:val="21"/>
                <w:highlight w:val="none"/>
              </w:rPr>
              <w:t>作为采购代理服务费的计算基数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按下列</w:t>
            </w:r>
            <w:r>
              <w:rPr>
                <w:rFonts w:hint="eastAsia" w:ascii="宋体" w:hAnsi="宋体" w:eastAsia="宋体" w:cs="宋体"/>
                <w:color w:val="auto"/>
                <w:szCs w:val="21"/>
                <w:highlight w:val="none"/>
              </w:rPr>
              <w:t>计费标准</w:t>
            </w:r>
            <w:r>
              <w:rPr>
                <w:rFonts w:hint="eastAsia" w:ascii="宋体" w:hAnsi="宋体" w:eastAsia="宋体" w:cs="宋体"/>
                <w:color w:val="auto"/>
                <w:szCs w:val="21"/>
                <w:highlight w:val="none"/>
                <w:u w:val="single"/>
              </w:rPr>
              <w:t>下浮20%</w:t>
            </w:r>
            <w:r>
              <w:rPr>
                <w:rFonts w:hint="eastAsia" w:ascii="宋体" w:hAnsi="宋体" w:eastAsia="宋体" w:cs="宋体"/>
                <w:color w:val="auto"/>
                <w:szCs w:val="21"/>
                <w:highlight w:val="none"/>
              </w:rPr>
              <w:t>计算并缴纳</w:t>
            </w:r>
            <w:r>
              <w:rPr>
                <w:rFonts w:hint="eastAsia" w:ascii="宋体" w:hAnsi="宋体" w:eastAsia="宋体" w:cs="宋体"/>
                <w:bCs/>
                <w:color w:val="auto"/>
                <w:szCs w:val="21"/>
                <w:highlight w:val="none"/>
              </w:rPr>
              <w:t>。</w:t>
            </w:r>
          </w:p>
          <w:tbl>
            <w:tblPr>
              <w:tblStyle w:val="33"/>
              <w:tblW w:w="4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438" w:type="dxa"/>
                </w:tcPr>
                <w:p>
                  <w:pPr>
                    <w:snapToGrid w:val="0"/>
                    <w:ind w:firstLine="1155" w:firstLineChars="550"/>
                    <w:rPr>
                      <w:rFonts w:ascii="宋体" w:hAnsi="宋体" w:eastAsia="宋体" w:cs="宋体"/>
                      <w:color w:val="auto"/>
                      <w:szCs w:val="21"/>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-2540</wp:posOffset>
                            </wp:positionV>
                            <wp:extent cx="1524000" cy="412750"/>
                            <wp:effectExtent l="1270" t="4445" r="17780" b="20955"/>
                            <wp:wrapNone/>
                            <wp:docPr id="9"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524000" cy="41275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4.2pt;margin-top:-0.2pt;height:32.5pt;width:120pt;z-index:251666432;mso-width-relative:page;mso-height-relative:page;" filled="f" stroked="t" coordsize="21600,21600" o:gfxdata="UEsDBAoAAAAAAIdO4kAAAAAAAAAAAAAAAAAEAAAAZHJzL1BLAwQUAAAACACHTuJAJsJdNtUAAAAH&#10;AQAADwAAAGRycy9kb3ducmV2LnhtbE2OvU7DQBCEeyTe4bRINFFythNZkfE5BeCOhgCi3fg2thXf&#10;nuO7/MDTs1RQjUYzmvnKzdUN6kxT6D0bSBcJKOLG255bA+9v9XwNKkRki4NnMvBFATbV7U2JhfUX&#10;fqXzNrZKRjgUaKCLcSy0Dk1HDsPCj8SS7f3kMIqdWm0nvMi4G3SWJLl22LM8dDjSY0fNYXtyBkL9&#10;Qcf6e9bMks9l6yk7Pr08ozH3d2nyACrSNf6V4Rdf0KESpp0/sQ1qMDBfr6QpKiJxtkxzUDsD+SoH&#10;XZX6P3/1A1BLAwQUAAAACACHTuJAAkQ6K+4BAAC9AwAADgAAAGRycy9lMm9Eb2MueG1srVNLjhMx&#10;EN0jcQfLe9Kd1oRPK51ZJBo2A0Sa4QCO2522sF2Wy0knl+ACSOxgxZI9t2E4BmXnwzBsZkEvLJer&#10;6lW9V9XTy501bKsCanANH49KzpST0Gq3bvj726tnLznDKFwrDDjV8L1Cfjl7+mQ6+FpV0INpVWAE&#10;4rAefMP7GH1dFCh7ZQWOwCtHzg6CFZHMsC7aIAZCt6aoyvJ5MUBofQCpEOl1cXDyI2J4DCB0nZZq&#10;AXJjlYsH1KCMiEQJe+2Rz3K3XadkfNd1qCIzDSemMZ9UhO6rdBazqajXQfhey2ML4jEtPOBkhXZU&#10;9Ay1EFGwTdD/QFktAyB0cSTBFgciWRFiMS4faHPTC68yF5Ia/Vl0/H+w8u12GZhuG/6KMycsDfzu&#10;0/efH7/8+vGZzrtvX1mVRBo81hQ7d8uQaMqdu/HXID8gczDvhVur3Ozt3hPCOGUUf6UkAz2VWg1v&#10;oKUYsYmQFdt1wSZI0oLt8mD258GoXWSSHseT6qIsaWaSfBfj6sUkT64Q9SnbB4yvFViWLg032iXh&#10;RC221xhTN6I+haRnB1famDx849hA7CfVJCcgGN0mZwrDsF7NTWBbkdYnf5kaee6HBdi49lDEuJSn&#10;8uYdK5+oH0RcQbtfhpM+NNXc23ED09rct7OKf/66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wl021QAAAAcBAAAPAAAAAAAAAAEAIAAAACIAAABkcnMvZG93bnJldi54bWxQSwECFAAUAAAACACH&#10;TuJAAkQ6K+4BAAC9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Cs/>
                      <w:color w:val="auto"/>
                      <w:szCs w:val="21"/>
                      <w:highlight w:val="none"/>
                    </w:rPr>
                    <w:t>费率</w:t>
                  </w:r>
                </w:p>
                <w:p>
                  <w:pPr>
                    <w:snapToGrid w:val="0"/>
                    <w:rPr>
                      <w:rFonts w:ascii="宋体" w:hAnsi="宋体" w:eastAsia="宋体" w:cs="宋体"/>
                      <w:color w:val="auto"/>
                      <w:szCs w:val="21"/>
                      <w:highlight w:val="none"/>
                    </w:rPr>
                  </w:pPr>
                  <w:r>
                    <w:rPr>
                      <w:rFonts w:hint="eastAsia" w:ascii="宋体" w:hAnsi="宋体" w:eastAsia="宋体" w:cs="宋体"/>
                      <w:bCs/>
                      <w:color w:val="auto"/>
                      <w:szCs w:val="21"/>
                      <w:highlight w:val="none"/>
                    </w:rPr>
                    <w:t>金额</w:t>
                  </w:r>
                </w:p>
              </w:tc>
              <w:tc>
                <w:tcPr>
                  <w:tcW w:w="1573" w:type="dxa"/>
                  <w:vAlign w:val="center"/>
                </w:tcPr>
                <w:p>
                  <w:pPr>
                    <w:snapToGrid w:val="0"/>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100万元以下</w:t>
                  </w:r>
                </w:p>
              </w:tc>
              <w:tc>
                <w:tcPr>
                  <w:tcW w:w="1573" w:type="dxa"/>
                  <w:vAlign w:val="center"/>
                </w:tcPr>
                <w:p>
                  <w:pPr>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573" w:type="dxa"/>
                  <w:vAlign w:val="center"/>
                </w:tcPr>
                <w:p>
                  <w:pPr>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573" w:type="dxa"/>
                  <w:vAlign w:val="center"/>
                </w:tcPr>
                <w:p>
                  <w:pPr>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0.45%</w:t>
                  </w:r>
                </w:p>
              </w:tc>
            </w:tr>
          </w:tbl>
          <w:p>
            <w:pPr>
              <w:widowControl/>
              <w:adjustRightInd w:val="0"/>
              <w:snapToGrid w:val="0"/>
              <w:spacing w:line="360" w:lineRule="auto"/>
              <w:ind w:firstLine="630" w:firstLineChars="300"/>
              <w:jc w:val="left"/>
              <w:rPr>
                <w:rFonts w:ascii="宋体" w:hAnsi="宋体" w:eastAsia="宋体" w:cs="宋体"/>
                <w:color w:val="auto"/>
                <w:highlight w:val="none"/>
              </w:rPr>
            </w:pPr>
          </w:p>
        </w:tc>
      </w:tr>
      <w:tr>
        <w:tblPrEx>
          <w:tblCellMar>
            <w:top w:w="0" w:type="dxa"/>
            <w:left w:w="108" w:type="dxa"/>
            <w:bottom w:w="0" w:type="dxa"/>
            <w:right w:w="108" w:type="dxa"/>
          </w:tblCellMar>
        </w:tblPrEx>
        <w:trPr>
          <w:trHeight w:val="3139"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39.3</w:t>
            </w:r>
          </w:p>
        </w:tc>
        <w:tc>
          <w:tcPr>
            <w:tcW w:w="1638" w:type="dxa"/>
            <w:tcBorders>
              <w:top w:val="single" w:color="auto" w:sz="4" w:space="0"/>
              <w:left w:val="single" w:color="auto" w:sz="4" w:space="0"/>
              <w:bottom w:val="single" w:color="auto" w:sz="8" w:space="0"/>
              <w:right w:val="single" w:color="auto" w:sz="8"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w:t>
            </w:r>
          </w:p>
        </w:tc>
        <w:tc>
          <w:tcPr>
            <w:tcW w:w="6166" w:type="dxa"/>
            <w:tcBorders>
              <w:top w:val="single" w:color="auto" w:sz="4" w:space="0"/>
              <w:left w:val="nil"/>
              <w:bottom w:val="single" w:color="auto" w:sz="8" w:space="0"/>
              <w:right w:val="single" w:color="auto" w:sz="8" w:space="0"/>
            </w:tcBorders>
            <w:vAlign w:val="center"/>
          </w:tcPr>
          <w:p>
            <w:pPr>
              <w:widowControl/>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一、投标人认为自己的权益受到损害的，可以在知道或者应知其权益受到损害之日起七个工作日内，向采购代理机构提出质疑。</w:t>
            </w:r>
          </w:p>
          <w:p>
            <w:pPr>
              <w:widowControl/>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1.接收质疑函的方式：接收加盖单位公章的书面质疑函</w:t>
            </w:r>
          </w:p>
          <w:p>
            <w:pPr>
              <w:widowControl/>
              <w:snapToGrid w:val="0"/>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联系单位：广东省机电设备招标有限公司</w:t>
            </w:r>
          </w:p>
          <w:p>
            <w:pPr>
              <w:widowControl/>
              <w:snapToGrid w:val="0"/>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联系电话：020-8354</w:t>
            </w:r>
            <w:r>
              <w:rPr>
                <w:rFonts w:hint="eastAsia" w:ascii="宋体" w:hAnsi="宋体" w:eastAsia="宋体" w:cs="宋体"/>
                <w:color w:val="auto"/>
                <w:szCs w:val="21"/>
                <w:highlight w:val="none"/>
                <w:lang w:val="en-US" w:eastAsia="zh-CN"/>
              </w:rPr>
              <w:t>3991</w:t>
            </w:r>
          </w:p>
          <w:p>
            <w:pPr>
              <w:widowControl/>
              <w:snapToGrid w:val="0"/>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通讯地址：广州市环市中路316号金鹰大厦13楼1306室</w:t>
            </w:r>
          </w:p>
          <w:p>
            <w:pPr>
              <w:widowControl/>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2.质疑函的内容、格式：应符合《政府采购质疑和投诉办法》相关规定和财政部门制定的《政府采购质疑函范本》格式。</w:t>
            </w:r>
          </w:p>
          <w:p>
            <w:pPr>
              <w:pStyle w:val="12"/>
              <w:rPr>
                <w:rFonts w:hint="default" w:ascii="宋体" w:hAnsi="宋体" w:eastAsia="宋体" w:cs="宋体"/>
                <w:color w:val="auto"/>
                <w:kern w:val="0"/>
                <w:szCs w:val="21"/>
                <w:highlight w:val="none"/>
              </w:rPr>
            </w:pPr>
            <w:r>
              <w:rPr>
                <w:rFonts w:ascii="宋体" w:hAnsi="宋体" w:eastAsia="宋体" w:cs="宋体"/>
                <w:color w:val="auto"/>
                <w:szCs w:val="21"/>
                <w:highlight w:val="none"/>
              </w:rPr>
              <w:t>二、投标人应在法定质疑期内一次性提出针对同一采购程序环节的质疑。（采购程序环节分为：招标文件、招标过程、中标结果）</w:t>
            </w:r>
          </w:p>
        </w:tc>
      </w:tr>
    </w:tbl>
    <w:p>
      <w:pPr>
        <w:rPr>
          <w:rFonts w:ascii="宋体" w:hAnsi="宋体" w:eastAsia="宋体" w:cs="宋体"/>
          <w:color w:val="auto"/>
          <w:highlight w:val="none"/>
        </w:rPr>
      </w:pPr>
      <w:r>
        <w:rPr>
          <w:rFonts w:hint="eastAsia" w:ascii="宋体" w:hAnsi="宋体" w:eastAsia="宋体" w:cs="宋体"/>
          <w:color w:val="auto"/>
          <w:highlight w:val="none"/>
        </w:rPr>
        <w:t>3注：表格中“</w:t>
      </w: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”项或“</w:t>
      </w:r>
      <w:r>
        <w:rPr>
          <w:rFonts w:hint="eastAsia" w:ascii="宋体" w:hAnsi="宋体" w:eastAsia="宋体" w:cs="宋体"/>
          <w:color w:val="auto"/>
          <w:szCs w:val="21"/>
          <w:highlight w:val="none"/>
        </w:rPr>
        <w:t>☑</w:t>
      </w:r>
      <w:r>
        <w:rPr>
          <w:rFonts w:hint="eastAsia" w:ascii="宋体" w:hAnsi="宋体" w:eastAsia="宋体" w:cs="宋体"/>
          <w:color w:val="auto"/>
          <w:highlight w:val="none"/>
        </w:rPr>
        <w:t>”项为被选中项。</w:t>
      </w:r>
    </w:p>
    <w:p>
      <w:pPr>
        <w:pStyle w:val="5"/>
        <w:adjustRightInd w:val="0"/>
        <w:snapToGrid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br w:type="page"/>
      </w:r>
      <w:bookmarkStart w:id="63" w:name="_Toc96523879"/>
      <w:bookmarkStart w:id="64" w:name="_Toc30384_WPSOffice_Level2"/>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总则</w:t>
      </w:r>
      <w:bookmarkEnd w:id="63"/>
      <w:bookmarkEnd w:id="64"/>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1.采购人、采购代理机构及投标人</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1.1采购人：是指依法进行政府采购的国家机关、事业单位、团体组织。本项目采购人见投标人须知表1.1款。</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1.2采购代理机构：是指集中采购机构或从事采购代理业务的社会中介机构，本项目的采购代理机构见投标人须知表1.2款。</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1.3投标人：是指向采购人提供货物、工程或者服务的法人、其他组织或者自然人。本项目的投标人及其投标标的须满足以下条件：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1.3.1在中华人民共和国境内注册，能够独立承担民事责任，有生产或供应能力的本国供应商。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1.3.2具备《中华人民共和国政府采购法》第二十二条关于供应商条件的规定，遵守财政部门政府采购的有关规定。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1.3.3以采购代理机构认可的方式获得了本项目的招标文件。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1.3.4符合本项目招标公告“二、申请人的资格要求”中规定的资格条件。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1.3.5若投标人须知表1.3.5款中写明专门面向中小企业采购的，如投标人不符合要求的，其投标将被认定为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1.3.6若投标人须知表1.3.6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1.4如投标人须知表1.4款中允许联合体投标，对联合体规定如下：</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1.4.1两个以上供应商可以组成一个投标联合体，以一个投标人的身份投标。</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1.4.2联合体各方均应符合《中华人民共和国政府采购法》第二十二条规定的条件。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1.4.3采购人根据采购项目对投标人的特殊要求，联合体中至少应当有一方符合相关规定。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1.4.4联合体各方应签订共同投标协议，明确约定联合体各方承担的工作和相应的责任。</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1.4.6联合体中有同类资质的供应商按照联合体分工承担相同工作的，按照较低的资质等级确定联合体的资质等级。</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1.4.7以联合体形式参加政府采购活动的，联合体各方不得再单独参加或者与其他供应商另外组成联合体参加本项目投标，否则相关投标将均被认定为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（1）两个以上的自然人、法人或者其他组织可以组成一个联合体，以一个投标人的身份共同参加政府采购活动。</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（2）联合体中标的，联合体各方应共同与采购人签订采购合同，就采购合同约定的事项对采购人承担连带责任。</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1.4.8对联合体投标的其他资格要求见本项目招标公告“二、申请人的资格要求”中规定的资格条件。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1.5单位负责人为同一人或者存在直接控股、管理关系的不同供应商参加同一合同项下的政府采购活动，其相关投标将被认定为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1.6为本项目提供过整体设计、规范编制或者项目管理、监理、检测等服务的供应商，不得再参加本项目上述服务以外的其他采购活动。否则其投标将被认定为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1.7投标人在投标过程中不得向采购人提供、给予任何有价值的物品，影响其正常决策行为。一经发现，其将被认定为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2.资金来源</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2.1本项目的资金来源由</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负责提供。</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2.2项目预算金额和最高限价见投标人须知表2.2款。</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2.3投标人报价不满足招标文件要求的，其投标将被认定为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bCs/>
          <w:color w:val="auto"/>
          <w:szCs w:val="21"/>
          <w:highlight w:val="none"/>
        </w:rPr>
      </w:pPr>
      <w:bookmarkStart w:id="65" w:name="_Toc266951048"/>
      <w:r>
        <w:rPr>
          <w:rFonts w:hint="eastAsia" w:ascii="宋体" w:hAnsi="宋体" w:eastAsia="宋体" w:cs="宋体"/>
          <w:b/>
          <w:bCs/>
          <w:color w:val="auto"/>
          <w:szCs w:val="21"/>
          <w:highlight w:val="none"/>
        </w:rPr>
        <w:t>3.语言文字</w:t>
      </w:r>
      <w:bookmarkEnd w:id="65"/>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宋体" w:hAnsi="宋体" w:eastAsia="宋体" w:cs="宋体"/>
          <w:b/>
          <w:bCs/>
          <w:color w:val="auto"/>
          <w:szCs w:val="21"/>
          <w:highlight w:val="none"/>
        </w:rPr>
      </w:pPr>
      <w:bookmarkStart w:id="66" w:name="_1.8_计量单位"/>
      <w:bookmarkEnd w:id="66"/>
      <w:bookmarkStart w:id="67" w:name="_Toc266951049"/>
      <w:r>
        <w:rPr>
          <w:rFonts w:hint="eastAsia" w:ascii="宋体" w:hAnsi="宋体" w:eastAsia="宋体" w:cs="宋体"/>
          <w:b/>
          <w:bCs/>
          <w:color w:val="auto"/>
          <w:szCs w:val="21"/>
          <w:highlight w:val="none"/>
        </w:rPr>
        <w:t>4.计量单位</w:t>
      </w:r>
      <w:bookmarkEnd w:id="67"/>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除投标人须知表4款中有特殊要求外，投标文件中所使用的计量单位，应采用中华人民共和国法定计量单位。</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5.投标费用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不论投标的结果如何，投标人应承担所有与准备和参加投标有关的费用，采购人与采购代理机构均无义务和责任承担相关费用。</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6.现场考察、开标前答疑会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6.1</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hint="eastAsia" w:ascii="宋体" w:hAnsi="宋体" w:eastAsia="宋体" w:cs="宋体"/>
          <w:color w:val="auto"/>
          <w:szCs w:val="21"/>
          <w:highlight w:val="none"/>
        </w:rPr>
        <w:t>投标人须知表</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宋体" w:hAnsi="宋体" w:eastAsia="宋体" w:cs="宋体"/>
          <w:b/>
          <w:bCs/>
          <w:color w:val="auto"/>
          <w:szCs w:val="21"/>
          <w:highlight w:val="none"/>
        </w:rPr>
      </w:pPr>
      <w:bookmarkStart w:id="68" w:name="_1.10_投标预备会"/>
      <w:bookmarkEnd w:id="68"/>
      <w:r>
        <w:rPr>
          <w:rFonts w:hint="eastAsia" w:ascii="宋体" w:hAnsi="宋体" w:eastAsia="宋体" w:cs="宋体"/>
          <w:color w:val="auto"/>
          <w:szCs w:val="21"/>
          <w:highlight w:val="none"/>
        </w:rPr>
        <w:t>6.2</w:t>
      </w:r>
      <w:r>
        <w:rPr>
          <w:rFonts w:hint="eastAsia" w:ascii="宋体" w:hAnsi="宋体" w:eastAsia="宋体" w:cs="宋体"/>
          <w:color w:val="auto"/>
          <w:kern w:val="0"/>
          <w:szCs w:val="21"/>
          <w:highlight w:val="none"/>
        </w:rPr>
        <w:t>由于未参加现场踏勘或标前答疑而导致对项目实际情况不了解，影响投标文件编制、</w:t>
      </w:r>
      <w:r>
        <w:rPr>
          <w:color w:val="auto"/>
          <w:highlight w:val="none"/>
        </w:rPr>
        <w:fldChar w:fldCharType="begin"/>
      </w:r>
      <w:r>
        <w:rPr>
          <w:color w:val="auto"/>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highlight w:val="none"/>
        </w:rPr>
        <w:fldChar w:fldCharType="separate"/>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准确性、综合因素响应不全面等问题的，由投标人自行承担相应后果。</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6.3现场考察及参加标前答疑会所发生的费用及一切责任风险由投标人自行承担。</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7.适用法律</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的采购人、采购代理机构、投标人、评标委员会的相关行为均受《中华人民共和国政府采购法》《中华人民共和国政府采购法实施条例》及财政部门对政府采购有关规定的约束，其权利受到上述法律法规的保护。</w:t>
      </w:r>
    </w:p>
    <w:p>
      <w:pPr>
        <w:pStyle w:val="5"/>
        <w:rPr>
          <w:rFonts w:ascii="宋体" w:hAnsi="宋体" w:eastAsia="宋体" w:cs="宋体"/>
          <w:color w:val="auto"/>
          <w:highlight w:val="none"/>
        </w:rPr>
      </w:pPr>
      <w:bookmarkStart w:id="69" w:name="_Toc96523880"/>
      <w:bookmarkStart w:id="70" w:name="_Toc10106_WPSOffice_Level2"/>
      <w:r>
        <w:rPr>
          <w:rFonts w:hint="eastAsia" w:ascii="宋体" w:hAnsi="宋体" w:eastAsia="宋体" w:cs="宋体"/>
          <w:color w:val="auto"/>
          <w:highlight w:val="none"/>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招标文件</w:t>
      </w:r>
      <w:bookmarkEnd w:id="69"/>
      <w:bookmarkEnd w:id="70"/>
    </w:p>
    <w:p>
      <w:pPr>
        <w:numPr>
          <w:ilvl w:val="0"/>
          <w:numId w:val="3"/>
        </w:num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招标文件构成</w:t>
      </w:r>
    </w:p>
    <w:p>
      <w:pPr>
        <w:adjustRightInd w:val="0"/>
        <w:snapToGrid w:val="0"/>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招标</w:t>
      </w:r>
      <w:r>
        <w:rPr>
          <w:rFonts w:hint="eastAsia" w:ascii="宋体" w:hAnsi="宋体" w:eastAsia="宋体" w:cs="宋体"/>
          <w:color w:val="auto"/>
          <w:highlight w:val="none"/>
        </w:rPr>
        <w:t>文件内容如下:</w:t>
      </w:r>
    </w:p>
    <w:p>
      <w:pPr>
        <w:adjustRightInd w:val="0"/>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招标公告</w:t>
      </w:r>
    </w:p>
    <w:p>
      <w:pPr>
        <w:adjustRightInd w:val="0"/>
        <w:snapToGrid w:val="0"/>
        <w:spacing w:line="360" w:lineRule="auto"/>
        <w:ind w:left="420"/>
        <w:rPr>
          <w:rFonts w:ascii="宋体" w:hAnsi="宋体" w:eastAsia="宋体" w:cs="宋体"/>
          <w:color w:val="auto"/>
          <w:highlight w:val="none"/>
        </w:rPr>
      </w:pPr>
      <w:bookmarkStart w:id="71" w:name="_Toc188_WPSOffice_Level2"/>
      <w:bookmarkStart w:id="72" w:name="_Toc24604_WPSOffice_Level2"/>
      <w:bookmarkStart w:id="73" w:name="_Toc4961_WPSOffice_Level2"/>
      <w:bookmarkStart w:id="74" w:name="_Toc25935_WPSOffice_Level2"/>
      <w:r>
        <w:rPr>
          <w:rFonts w:hint="eastAsia" w:ascii="宋体" w:hAnsi="宋体" w:eastAsia="宋体" w:cs="宋体"/>
          <w:color w:val="auto"/>
          <w:highlight w:val="none"/>
        </w:rPr>
        <w:t>第一部分投标人须知</w:t>
      </w:r>
      <w:bookmarkEnd w:id="71"/>
      <w:bookmarkEnd w:id="72"/>
      <w:bookmarkEnd w:id="73"/>
      <w:bookmarkEnd w:id="74"/>
    </w:p>
    <w:p>
      <w:pPr>
        <w:pStyle w:val="6"/>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第二部分采购需求</w:t>
      </w:r>
    </w:p>
    <w:p>
      <w:pPr>
        <w:pStyle w:val="6"/>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第三部分评标方法</w:t>
      </w:r>
    </w:p>
    <w:p>
      <w:pPr>
        <w:pStyle w:val="6"/>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第四部分拟签订的合同文本</w:t>
      </w:r>
    </w:p>
    <w:p>
      <w:pPr>
        <w:pStyle w:val="6"/>
        <w:spacing w:line="360" w:lineRule="auto"/>
        <w:rPr>
          <w:rFonts w:ascii="宋体" w:hAnsi="宋体" w:eastAsia="宋体" w:cs="宋体"/>
          <w:color w:val="auto"/>
          <w:highlight w:val="none"/>
        </w:rPr>
      </w:pPr>
      <w:r>
        <w:rPr>
          <w:rFonts w:hint="eastAsia" w:ascii="宋体" w:hAnsi="宋体" w:eastAsia="宋体" w:cs="宋体"/>
          <w:color w:val="auto"/>
          <w:szCs w:val="24"/>
          <w:highlight w:val="none"/>
        </w:rPr>
        <w:t>第五部分投标文件内容及格式</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8.2投标人应认真阅读招标文件所有的事项、格式、条款等。如投标人没有按照招标文件要求提交资料，或者投标文件没有对招标文件做出实质性响应，可能导致其投标被认定为</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9.招标文件的澄清与修改</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9.2澄清或者修改的内容为招标文件的组成部分，对所有招标文件的收受人具有约束力。投标人在收到上述通知后，应及时向采购代理机构回函确认。对于没有及时回函确认或者不回函的，视为其已收到。</w:t>
      </w:r>
    </w:p>
    <w:p>
      <w:pPr>
        <w:pStyle w:val="5"/>
        <w:rPr>
          <w:rFonts w:ascii="宋体" w:hAnsi="宋体" w:eastAsia="宋体" w:cs="宋体"/>
          <w:color w:val="auto"/>
          <w:highlight w:val="none"/>
        </w:rPr>
      </w:pPr>
      <w:bookmarkStart w:id="75" w:name="_Toc96523881"/>
      <w:bookmarkStart w:id="76" w:name="_Toc7415_WPSOffice_Level2"/>
      <w:r>
        <w:rPr>
          <w:rFonts w:hint="eastAsia" w:ascii="宋体" w:hAnsi="宋体" w:eastAsia="宋体" w:cs="宋体"/>
          <w:color w:val="auto"/>
          <w:highlight w:val="none"/>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投标文件的编制</w:t>
      </w:r>
      <w:bookmarkEnd w:id="75"/>
      <w:bookmarkEnd w:id="76"/>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10.投标范围</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10.1项目有划分包组的，投标人可对招标文件其中某一个包组或几个包组进行投标，如采购需求或招标公告另有约定的，从其约定。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10.2投标人应当对所投包组在招标文件中“采购需求”所列的所有内容进行投标，如仅响应包组中某一部分内容，其该包投标将被认定为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11.投标文件构成</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11.1投标人应完整地按招标文件提供的投标文件格式及要求编写投标文件。具体见第五部分投标文件内容及格式。</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11.2投标人应按招标文件提供的格式编写投标文件。招标文件提供标准格式的按标准格式填列，未提供标准格式的可自行拟定。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11.3样品或演示要求详见投标人须知表11.3款。</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12.投标报价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12.1所有投标均按投标人须知表12.1款中要求货币进行报价。投标人的投标报价应遵守《中华人民共和国价格法》。</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12.2投标人应在《采购需求》及合同条款规定的采购范围、内容、标准、责任范围按照招标文件给定的格式和要求进行合理报价。除非《采购需求》中另有约定，否则投标报价为完成本次采购项目全部采购内容的报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12.3投标人应按招标文件要求在相关表格中标明投标标的及伴随服务的单价和总价，并由法定代表人（非法人组织的负责人）或其委托代理人签署。</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t>12.4投标人所报的各分项投标单价在合同履行过程中是固定不变的，除合同约定可以变更以外的，不得以任何理由予以变更。任何包含价格调整要求的投标，其投标将被认定为</w:t>
      </w:r>
      <w:r>
        <w:rPr>
          <w:rFonts w:hint="eastAsia" w:ascii="宋体" w:hAnsi="宋体" w:eastAsia="宋体" w:cs="宋体"/>
          <w:b/>
          <w:bCs/>
          <w:color w:val="auto"/>
          <w:szCs w:val="21"/>
          <w:highlight w:val="none"/>
        </w:rPr>
        <w:t>投标无效。</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12.4每一项服务只能有一个投标报价。采购人不接受具有附加条件的报价。</w:t>
      </w:r>
    </w:p>
    <w:p>
      <w:pPr>
        <w:adjustRightInd w:val="0"/>
        <w:snapToGrid w:val="0"/>
        <w:spacing w:line="360" w:lineRule="auto"/>
        <w:rPr>
          <w:rFonts w:ascii="宋体" w:hAnsi="宋体" w:eastAsia="宋体" w:cs="宋体"/>
          <w:color w:val="auto"/>
          <w:szCs w:val="21"/>
          <w:highlight w:val="none"/>
        </w:rPr>
      </w:pPr>
      <w:bookmarkStart w:id="77" w:name="_Toc31973_WPSOffice_Level2"/>
      <w:bookmarkStart w:id="78" w:name="_Toc22507_WPSOffice_Level2"/>
      <w:r>
        <w:rPr>
          <w:rFonts w:hint="eastAsia" w:ascii="宋体" w:hAnsi="宋体" w:eastAsia="宋体" w:cs="宋体"/>
          <w:color w:val="auto"/>
          <w:szCs w:val="21"/>
          <w:highlight w:val="none"/>
        </w:rPr>
        <w:t>12.5除非招标文件另有规定，报价原则上精确到小数点后两位。</w:t>
      </w:r>
      <w:bookmarkEnd w:id="77"/>
      <w:bookmarkEnd w:id="78"/>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13.投标保证金</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13.1投标人应提交投标人须知表13.1款中规定的投标保证金，并作为其投标的一部分。</w:t>
      </w:r>
    </w:p>
    <w:p>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13.3投标人存在下列情形的，投标保证金不予退还:</w:t>
      </w:r>
    </w:p>
    <w:p>
      <w:pPr>
        <w:adjustRightInd w:val="0"/>
        <w:snapToGrid w:val="0"/>
        <w:spacing w:line="360" w:lineRule="auto"/>
        <w:ind w:left="420" w:left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(1)在投标有效期内，投标人撤销投标的;</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(2)中标后，中标人无正当理由放弃中标或中标人不按招标文件要求和中标的投标文件签订合同的;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(3)中标后不按本须知第35款的规定提交履约保证金的;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(4)存在其他违法违规行为的。</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13.4联合体投标的，可以由联合体中的一方或者共同提交投标保证金。以一方名义提交投标保证金的，对联合体各方均具有约束力。</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13.5投标保证金的退还</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13.5.1中标人应在与采购人签订合同之日起5个工作日内，及时联系保证金收受机构办理投标保证金退还手续。</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13.5.2未中标投标人的投标保证金将在中标通知书发出之日即中标结果公告公布之日起5个工作日内无息退还。投标人应及时联系保证金收受机构办理退还投标保证金手续。</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13.5.3投标人在投标截止时间前撤回已提交的投标文件的，投标人应自采购人或者采购代理机构收到投标人书面撤回通知之日起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个工作日内，及时联系保证金收受机构办理投标保证金退还手续。</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13.5.4政府采购投标担保函不予退回。</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13.6因投标人自身原因导致无法及时退还的，采购人或采购代理机构将不承担相应责任。</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14.证明投标标的的合格性和符合招标文件规定的文件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14.1投标人应提交证明文件，证明其投标内容符合招标文件规定。该证明文件是投标文件的一部分。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14.2上款所述的证明文件，可以是文字资料、图纸和数据。</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15.投标有效期</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15.1投标应在投标人须知表15.1款中规定的投标有效期内保持有效。投标有效期不满足要求的投标，其投标将被认定为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16.投标文件的签署及规定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16.1投标人应按投标人须知表16.1款中的规定，准备和递交投标文件正本、副本和电子文档，每份投标文件封皮须清楚地标明“正本”或“副本”。若正本和副本不符，以正本为准。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16.2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16.3投标文件因字迹潦草无法辨认、表达不清或装订不当所引起的后果由投标人负责。</w:t>
      </w:r>
    </w:p>
    <w:p>
      <w:pPr>
        <w:pStyle w:val="5"/>
        <w:rPr>
          <w:rFonts w:ascii="宋体" w:hAnsi="宋体" w:eastAsia="宋体" w:cs="宋体"/>
          <w:color w:val="auto"/>
          <w:highlight w:val="none"/>
        </w:rPr>
      </w:pPr>
      <w:bookmarkStart w:id="79" w:name="_Toc27725_WPSOffice_Level2"/>
      <w:bookmarkStart w:id="80" w:name="_Toc96523882"/>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投标文件的递交</w:t>
      </w:r>
      <w:bookmarkEnd w:id="79"/>
      <w:bookmarkEnd w:id="80"/>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17.投标文件的密封和标记</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17.1投标人应将投标文件装订成册、密封，将正本和所有的副本、电子文档密封，并进行包封。</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17.2所有包装封皮上均应：</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（1）注明项目名称、项目编号、包号、投标人名称和“在（开标时间）之前不得启封”的字样。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（2）在包装封皮上加盖投标人单位公章。</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17.3如果投标人未按上述要求密封，其投标文件将被</w:t>
      </w:r>
      <w:r>
        <w:rPr>
          <w:rFonts w:hint="eastAsia" w:ascii="宋体" w:hAnsi="宋体" w:eastAsia="宋体" w:cs="宋体"/>
          <w:b/>
          <w:bCs/>
          <w:color w:val="auto"/>
          <w:szCs w:val="21"/>
          <w:highlight w:val="none"/>
        </w:rPr>
        <w:t>拒绝接收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u w:val="single"/>
        </w:rPr>
        <w:t>密封有瑕疵，但不足以造成投标文件可从外包装内散出而导致投标文件内容泄密的，不被认定为未密封。</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18.投标截止</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18.1投标人应在投标人须知表18.1中规定的递交投标文件截止时间前，将投标文件递交到投标人须知表18.1款中规定的地点。</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19.投标文件的接收、修改与撤回</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19.1在投标截止时间后送达的投标文件，采购人和采购代理机构将</w:t>
      </w:r>
      <w:r>
        <w:rPr>
          <w:rFonts w:hint="eastAsia" w:ascii="宋体" w:hAnsi="宋体" w:eastAsia="宋体" w:cs="宋体"/>
          <w:b/>
          <w:bCs/>
          <w:color w:val="auto"/>
          <w:szCs w:val="21"/>
          <w:highlight w:val="none"/>
        </w:rPr>
        <w:t>拒绝接收</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19.2采购人或者采购代理机构收到投标文件后，应当如实记载投标文件的送达时间和密封情况，并向投标人出具签收回执。</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19.4在投标截止时间之后，投标人不得对其投标文件做任何修改。</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19.5采购人和采购代理机构对所接收并当众宣读投标内容的投标文件概不退回。</w:t>
      </w:r>
    </w:p>
    <w:p>
      <w:pPr>
        <w:pStyle w:val="5"/>
        <w:rPr>
          <w:rFonts w:ascii="宋体" w:hAnsi="宋体" w:eastAsia="宋体" w:cs="宋体"/>
          <w:color w:val="auto"/>
          <w:highlight w:val="none"/>
        </w:rPr>
      </w:pPr>
      <w:bookmarkStart w:id="81" w:name="_Toc96523883"/>
      <w:bookmarkStart w:id="82" w:name="_Toc988_WPSOffice_Level2"/>
      <w:r>
        <w:rPr>
          <w:rFonts w:hint="eastAsia" w:ascii="宋体" w:hAnsi="宋体" w:eastAsia="宋体" w:cs="宋体"/>
          <w:color w:val="auto"/>
          <w:highlight w:val="none"/>
        </w:rPr>
        <w:t>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开标及评标</w:t>
      </w:r>
      <w:bookmarkEnd w:id="81"/>
      <w:bookmarkEnd w:id="82"/>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20.开标</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20.1采购人和采购代理机构将按投标人须知表20.1款中规定的开标时间和地点组织公开开标并邀请所有投标人代表参加。投标人不足3家的，不得开标。评标委员会成员不得参加开标活动。</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20.2开标时，由投标人或其推选的代表检查投标文件的密封情况，经记录后，由采购人或采购代理机构当众拆封投标文件，宣读投标人名称、投标价格及招标文件规定的内容。</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20.4投标人法定代表人或授权代表对开标过程和开标记录有疑义，以及认为采购人、采购代理机构相关工作人员有需要回避的情形的，应当场提出询问或者回避申请。</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21.组建评标委员会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按照《中华人民共和国政府采购法》《中华人民共和国政府采购法实施条例》等有关规定依法组建评标委员会，负责本项目评标工作。本项目评标委员会组成详见投标人须知表21款。</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22.资格审查</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22.1采购人或采购代理机构依据法律法规和招标文件中规定的内容，对投标人的资格进行审查，投标人应按照第五部分《投标文件内容及格式》中的相应要求提交资格证明材料。未通过资格审查的投标人不能进入评标环节，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；通过资格审查的投标人不足3家的，不得评标。</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22.2采购人或采购代理机构将于评标当天查询投标人的信用记录。投标人存在不良信用记录的，其投标将被认定为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22.2.1不良信用记录指：投标人在中国政府采购网（www.ccgp.gov.cn）被入政府采购严重违法失信行为记录名单，或在“信用中国”网站（www.creditchina.gov.cn）被列入</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或政府采购严重违法失信行为名单，或在“中国执行信息公开网（http://zxgk.court.gov.cn/）”被列入失信被执行人记录名单，以及存在《中华人民共和国政府采购法实施条例》第十九条规定的行政处罚记录。</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以联合体形式参加投标的，联合体任何成员存在以上不良信用记录的，联合体投标将被认定为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22.2.2查询及记录方式：采购人或采购代理机构经办人将查询网页打印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23.符合性审查</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符合性检查是指依据招标文件的规定，从投标文件的有效性和完整性对招标文件的响应程度进行审查，以确定是否对招标文件的实质性要求做出响应。投标人应按照第五部分《投标文件内容及格式》中的相应要求，提交符合性证明材料。未通过符合性审查的投标人不能进入下一阶段评审，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；通过符合性审查的投标人数量不足3家的，不得进入下一步评审。</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24.投标文件的澄清</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24.2投标人的澄清、说明或补正将作为投标文件的一部分。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24.3投标文件报价出现前后不一致的，按照下列规定修正：</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同时出现两种以上不一致的，按照前款规定的顺序修正。修正后的报价经投标人确认后产生约束力，投标人不确认的，其投标将被认定为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24.4</w:t>
      </w:r>
      <w:r>
        <w:rPr>
          <w:rFonts w:hint="eastAsia" w:ascii="宋体" w:hAnsi="宋体" w:eastAsia="宋体" w:cs="宋体"/>
          <w:b/>
          <w:bCs/>
          <w:color w:val="auto"/>
          <w:szCs w:val="21"/>
          <w:highlight w:val="none"/>
        </w:rPr>
        <w:t>评标委员会认为</w:t>
      </w:r>
      <w:r>
        <w:rPr>
          <w:rFonts w:hint="eastAsia" w:ascii="宋体" w:hAnsi="宋体" w:eastAsia="宋体" w:cs="宋体"/>
          <w:color w:val="auto"/>
          <w:szCs w:val="21"/>
          <w:highlight w:val="none"/>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处理。</w:t>
      </w:r>
      <w:r>
        <w:rPr>
          <w:rFonts w:hint="eastAsia" w:ascii="宋体" w:hAnsi="宋体" w:eastAsia="宋体" w:cs="宋体"/>
          <w:b/>
          <w:color w:val="auto"/>
          <w:szCs w:val="21"/>
          <w:highlight w:val="none"/>
          <w:u w:val="single"/>
        </w:rPr>
        <w:t>提交证明材料的合理时间由评标委员会根据实际情况确定</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25样品及演示</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25.1投标人须知表11.3款中要求投标人提供样品的，按照样品的评审方法以及评审标准进行评审。</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25.2采购活动结束后，按照投标人须知表11.3款中要求对投标人提供的样品进行</w:t>
      </w:r>
      <w:r>
        <w:rPr>
          <w:rFonts w:hint="eastAsia" w:ascii="宋体" w:hAnsi="宋体" w:eastAsia="宋体" w:cs="宋体"/>
          <w:color w:val="auto"/>
          <w:kern w:val="0"/>
          <w:szCs w:val="21"/>
          <w:highlight w:val="none"/>
        </w:rPr>
        <w:t>封存及退回</w:t>
      </w: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25.3演示的评审方法以及评审标准具体内容见评审细则的要求。</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26.投标无效</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如果投标文件没有对招标文件的实质性要求进行响应，将作为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处理，投标人不得再对投标文件进行任何修正从而使其投标成为实质上响应的投标。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评标委员会决定投标的响应性只根据招标文件要求、投标文件内容及财政主管部门指定媒体发布的相关信息。</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26.2</w:t>
      </w:r>
      <w:r>
        <w:rPr>
          <w:rFonts w:hint="eastAsia" w:ascii="宋体" w:hAnsi="宋体" w:eastAsia="宋体" w:cs="宋体"/>
          <w:b/>
          <w:color w:val="auto"/>
          <w:szCs w:val="21"/>
          <w:highlight w:val="none"/>
          <w:u w:val="single"/>
        </w:rPr>
        <w:t>如发现下列情况之一的，其投标将被认定为</w:t>
      </w:r>
      <w:r>
        <w:rPr>
          <w:rFonts w:hint="eastAsia" w:ascii="宋体" w:hAnsi="宋体" w:eastAsia="宋体" w:cs="宋体"/>
          <w:b/>
          <w:bCs/>
          <w:color w:val="auto"/>
          <w:szCs w:val="21"/>
          <w:highlight w:val="none"/>
          <w:u w:val="single"/>
        </w:rPr>
        <w:t>投标无效</w:t>
      </w:r>
      <w:r>
        <w:rPr>
          <w:rFonts w:hint="eastAsia" w:ascii="宋体" w:hAnsi="宋体" w:eastAsia="宋体" w:cs="宋体"/>
          <w:b/>
          <w:color w:val="auto"/>
          <w:szCs w:val="21"/>
          <w:highlight w:val="none"/>
          <w:u w:val="single"/>
        </w:rPr>
        <w:t>：</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（1）未按招标文件的规定提交投标保证金的；</w:t>
      </w:r>
    </w:p>
    <w:p>
      <w:pPr>
        <w:adjustRightInd w:val="0"/>
        <w:snapToGrid w:val="0"/>
        <w:spacing w:line="360" w:lineRule="auto"/>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（2）</w:t>
      </w:r>
      <w:r>
        <w:rPr>
          <w:rFonts w:hint="eastAsia" w:ascii="宋体" w:hAnsi="宋体" w:eastAsia="宋体" w:cs="宋体"/>
          <w:b/>
          <w:bCs/>
          <w:color w:val="auto"/>
          <w:szCs w:val="21"/>
          <w:highlight w:val="none"/>
          <w:u w:val="single"/>
        </w:rPr>
        <w:t>投标文件中以下任一文件未按照招标文件规定要求签署或盖章的。</w:t>
      </w:r>
    </w:p>
    <w:tbl>
      <w:tblPr>
        <w:tblStyle w:val="33"/>
        <w:tblW w:w="6946" w:type="dxa"/>
        <w:tblInd w:w="0" w:type="dxa"/>
        <w:tblLayout w:type="fixed"/>
        <w:tblCellMar>
          <w:top w:w="0" w:type="dxa"/>
          <w:left w:w="108" w:type="dxa"/>
          <w:bottom w:w="0" w:type="dxa"/>
          <w:right w:w="108" w:type="dxa"/>
        </w:tblCellMar>
      </w:tblPr>
      <w:tblGrid>
        <w:gridCol w:w="3140"/>
        <w:gridCol w:w="2672"/>
        <w:gridCol w:w="1134"/>
      </w:tblGrid>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noWrap/>
            <w:vAlign w:val="center"/>
          </w:tcPr>
          <w:p>
            <w:pPr>
              <w:widowControl/>
              <w:spacing w:line="360" w:lineRule="auto"/>
              <w:ind w:firstLine="211" w:firstLineChars="100"/>
              <w:jc w:val="left"/>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①资格声明函</w:t>
            </w:r>
          </w:p>
        </w:tc>
      </w:tr>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noWrap/>
            <w:vAlign w:val="center"/>
          </w:tcPr>
          <w:p>
            <w:pPr>
              <w:widowControl/>
              <w:spacing w:line="360" w:lineRule="auto"/>
              <w:ind w:firstLine="211" w:firstLineChars="100"/>
              <w:jc w:val="left"/>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②投标函</w:t>
            </w:r>
          </w:p>
        </w:tc>
      </w:tr>
      <w:tr>
        <w:tblPrEx>
          <w:tblCellMar>
            <w:top w:w="0" w:type="dxa"/>
            <w:left w:w="108" w:type="dxa"/>
            <w:bottom w:w="0" w:type="dxa"/>
            <w:right w:w="108" w:type="dxa"/>
          </w:tblCellMar>
        </w:tblPrEx>
        <w:trPr>
          <w:gridAfter w:val="1"/>
          <w:wAfter w:w="1134" w:type="dxa"/>
          <w:trHeight w:val="270" w:hRule="atLeast"/>
        </w:trPr>
        <w:tc>
          <w:tcPr>
            <w:tcW w:w="5812" w:type="dxa"/>
            <w:gridSpan w:val="2"/>
            <w:tcBorders>
              <w:top w:val="nil"/>
              <w:left w:val="nil"/>
              <w:bottom w:val="nil"/>
              <w:right w:val="nil"/>
            </w:tcBorders>
            <w:noWrap/>
            <w:vAlign w:val="center"/>
          </w:tcPr>
          <w:p>
            <w:pPr>
              <w:widowControl/>
              <w:spacing w:line="360" w:lineRule="auto"/>
              <w:ind w:firstLine="211" w:firstLineChars="100"/>
              <w:jc w:val="left"/>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③法定代表人证明书及法定代表人授权委托书（如适用）</w:t>
            </w:r>
          </w:p>
        </w:tc>
      </w:tr>
      <w:tr>
        <w:tblPrEx>
          <w:tblCellMar>
            <w:top w:w="0" w:type="dxa"/>
            <w:left w:w="108" w:type="dxa"/>
            <w:bottom w:w="0" w:type="dxa"/>
            <w:right w:w="108" w:type="dxa"/>
          </w:tblCellMar>
        </w:tblPrEx>
        <w:trPr>
          <w:gridAfter w:val="2"/>
          <w:wAfter w:w="3806" w:type="dxa"/>
          <w:trHeight w:val="270" w:hRule="atLeast"/>
        </w:trPr>
        <w:tc>
          <w:tcPr>
            <w:tcW w:w="3140" w:type="dxa"/>
            <w:tcBorders>
              <w:top w:val="nil"/>
              <w:left w:val="nil"/>
              <w:bottom w:val="nil"/>
              <w:right w:val="nil"/>
            </w:tcBorders>
            <w:noWrap/>
            <w:vAlign w:val="center"/>
          </w:tcPr>
          <w:p>
            <w:pPr>
              <w:widowControl/>
              <w:spacing w:line="360" w:lineRule="auto"/>
              <w:ind w:firstLine="211" w:firstLineChars="100"/>
              <w:jc w:val="left"/>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⑤实质性响应条款一览表</w:t>
            </w:r>
          </w:p>
        </w:tc>
      </w:tr>
      <w:tr>
        <w:tblPrEx>
          <w:tblCellMar>
            <w:top w:w="0" w:type="dxa"/>
            <w:left w:w="108" w:type="dxa"/>
            <w:bottom w:w="0" w:type="dxa"/>
            <w:right w:w="108" w:type="dxa"/>
          </w:tblCellMar>
        </w:tblPrEx>
        <w:trPr>
          <w:trHeight w:val="80" w:hRule="atLeast"/>
        </w:trPr>
        <w:tc>
          <w:tcPr>
            <w:tcW w:w="6946" w:type="dxa"/>
            <w:gridSpan w:val="3"/>
            <w:tcBorders>
              <w:top w:val="nil"/>
              <w:left w:val="nil"/>
              <w:bottom w:val="nil"/>
              <w:right w:val="nil"/>
            </w:tcBorders>
            <w:noWrap/>
            <w:vAlign w:val="center"/>
          </w:tcPr>
          <w:p>
            <w:pPr>
              <w:widowControl/>
              <w:spacing w:line="360" w:lineRule="auto"/>
              <w:ind w:firstLine="211" w:firstLineChars="100"/>
              <w:jc w:val="left"/>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⑥投标响应与招标文件差异一览表</w:t>
            </w:r>
          </w:p>
        </w:tc>
      </w:tr>
    </w:tbl>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（3）投标人的报价不满足招标文件要求的；</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（4）不符合法规和招标文件中规定的其他实质性要求的；</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（5）与其他投标人串通投标，或者与采购人串通投标；</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（7）投标文件含有采购人不能接受的附加条件的；</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（8）属于法律、法规和招标文件规定的其他投标无效情形；</w:t>
      </w:r>
    </w:p>
    <w:p>
      <w:pPr>
        <w:pStyle w:val="65"/>
        <w:spacing w:line="360" w:lineRule="auto"/>
        <w:rPr>
          <w:rFonts w:ascii="宋体" w:hAnsi="宋体" w:cs="宋体"/>
          <w:b/>
          <w:color w:val="auto"/>
          <w:highlight w:val="none"/>
        </w:rPr>
      </w:pPr>
      <w:r>
        <w:rPr>
          <w:rFonts w:hint="eastAsia" w:ascii="宋体" w:hAnsi="宋体" w:cs="宋体"/>
          <w:b/>
          <w:color w:val="auto"/>
          <w:highlight w:val="none"/>
        </w:rPr>
        <w:t>26.3有下列情形之一的，视为投标人串通投标，其投标无效：</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（1）不同投标人的投标文件由同一单位或者个人编制；</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（2）不同投标人委托同一单位或者个人办理投标事宜；</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（3）不同投标人的投标文件载明的项目管理成员或者联系人员为同一人；</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（4）不同投标人的投标文件异常一致或者投标报价呈规律性差异；不同投标人的投标文件相互混装；</w:t>
      </w:r>
    </w:p>
    <w:p>
      <w:pPr>
        <w:adjustRightInd w:val="0"/>
        <w:snapToGrid w:val="0"/>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（5）不同投标人的投标保证金从同一单位或者个人的账户转出。</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27.比较与评价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27.1经符合性审查合格的投标文件，评标委员会将根据招标文件确定的评标方法和标准，对其服务部分和商务部分作进一步的比较和评价。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27.2评标严格按照招标文件的要求和条件进行。根据实际情况，在投标人须知表27.2款中规定采用下列一种评标方法，详细评标标准见第三部分评标方法。</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（1）最低评标价法，是指投标文件满足招标文件全部实质性要求，且投标报价最低的投标人为中标候选人的评标方法。</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（2）综合评分法，是指投标文件满足招标文件全部实质性要求，且按照评审因素的量化指标评审得分最高的投标人为中标候选人的评标方法。</w:t>
      </w:r>
    </w:p>
    <w:p>
      <w:pPr>
        <w:pStyle w:val="2"/>
        <w:tabs>
          <w:tab w:val="left" w:pos="7238"/>
          <w:tab w:val="left" w:pos="8393"/>
        </w:tabs>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27.3根据《政府采购促进中小企业发展管理办法》的通知（财库[2020]46号）、《财政部司法部关于政府采购支持监狱企业发展有关问题的通知》（财库〔2014〕68号）和《关于促进残疾人就业政府采购政策的通知》（财库〔2017〕141号）的规定，对于非专门面向中小企业的项目（或者部分面向中小企业项目中的非专门面向中小企业的采购包），在满足价格扣除条件且在投标文件中提交了符合要求的《中小企业声明函》，或省级以上监狱管理局、戒毒管理局（含新疆生产建设兵团）出具的属于监狱企业的证明文件的投标人，其投标报价扣除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%后参与评审。对具体办法详见第三部分评标方法。</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27.4依据财政部、发展改革委、生态环境部等部门发布的品目清单和国家确定的认证机构出具的、处于有效期之内的节能产品、环境标志产品认证证书实施政府优先采购。具体优先采购办法见招标文件第三部分评标方法。</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28.废标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出现下列情形之一，将导致项目</w:t>
      </w:r>
      <w:r>
        <w:rPr>
          <w:rFonts w:hint="eastAsia" w:ascii="宋体" w:hAnsi="宋体" w:eastAsia="宋体" w:cs="宋体"/>
          <w:b/>
          <w:bCs/>
          <w:color w:val="auto"/>
          <w:szCs w:val="21"/>
          <w:highlight w:val="none"/>
        </w:rPr>
        <w:t>废标</w:t>
      </w:r>
      <w:r>
        <w:rPr>
          <w:rFonts w:hint="eastAsia" w:ascii="宋体" w:hAnsi="宋体" w:eastAsia="宋体" w:cs="宋体"/>
          <w:color w:val="auto"/>
          <w:szCs w:val="21"/>
          <w:highlight w:val="none"/>
        </w:rPr>
        <w:t>：</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（1）符合专业条件的投标人或者对招标文件做实质性响应的投标人不足3家；</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（3）因重大变故，采购任务取消的。</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29.中标候选人的推荐原则及标准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29.1除第32条规定外，评标委员会将根据评标标准，对实质上响应招标文件的投标人按下列方法进行排序，推荐中标候选人：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采用最低评标价法的，除了算数修正和落实政府采购政策需进行的价格扣除外，不对投标人的投标价格进行任何调整。评标结果按修正和扣除后的投标报价由低到高顺序排列。报价相同的，按第三部分评标办法规定执行。</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（2）采用综合评分法的，评标结果按评审后得分由高到低顺序排列。得分相同的，按第三部分评标办法规定执行。</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29.2评标委员会将根据评标标准，按投标人须知表29.2款中规定的数量推荐中标候选人。</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29.3因推荐中标候选人名单产生其他问题，由评标委员会集体研究处理。</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30.保密原则</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30.1评标将在严格保密的情况下进行。</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30.2有关人员应当遵守评标工作纪律，不得泄露评审文件、评标情况和评标过程中获悉的国家秘密、商业秘密。</w:t>
      </w:r>
    </w:p>
    <w:p>
      <w:pPr>
        <w:pStyle w:val="5"/>
        <w:rPr>
          <w:rFonts w:ascii="宋体" w:hAnsi="宋体" w:eastAsia="宋体" w:cs="宋体"/>
          <w:color w:val="auto"/>
          <w:highlight w:val="none"/>
        </w:rPr>
      </w:pPr>
      <w:bookmarkStart w:id="83" w:name="_Toc4544_WPSOffice_Level2"/>
      <w:bookmarkStart w:id="84" w:name="_Toc96523884"/>
      <w:r>
        <w:rPr>
          <w:rFonts w:hint="eastAsia" w:ascii="宋体" w:hAnsi="宋体" w:eastAsia="宋体" w:cs="宋体"/>
          <w:color w:val="auto"/>
          <w:highlight w:val="none"/>
        </w:rPr>
        <w:t>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确定中标</w:t>
      </w:r>
      <w:bookmarkEnd w:id="83"/>
      <w:bookmarkEnd w:id="84"/>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31.确定中标人</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31.1由采购人或者采购人委托评标委员会按照投标人须知表31中规定的方式确定中标人。</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31.2采购人在收到评标报告5个工作日内未按评标报告推荐的中标候选人顺序确定中标人，又不能说明合法理由的，视同按评标报告推荐的顺序确定排名第一的中标候选人为中标人。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32.采购任务取消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因重大变故采购任务取消时，采购人有权拒绝任何供应商中标，且对受影响的投标人不承担任何责任。</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33.中标通知书</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33.1采购人或者采购代理机构应当自中标人确定之日起2个工作日内，在中国政府采购网上公告中标结果。同时向中标人发出中标通知书。</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33.2中标通知书是合同的组成部分。</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34.签订合同</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34.1中标人应当自发出中标通知书之日起30日内，与采购人签订书面合同。</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34.3中标人拒绝与采购人签订合同的，采购人可以按照评审报告推荐的中标候选人名单排序，确定下一中标候选人为中标人，也可以重新开展政府采购活动。</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35.履约保证金</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35.1如需要中标人缴纳履约保证金的，中标人应按照投标人须知表35.1款规定向采购人缴纳履约保证金。</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35.2如需要中标人缴纳履约保证金的，中标人没有按照上述履约保证金的规定执行，将视为拒绝签订合同并放弃中标资格，中标人的投标保证金将不予退还。在此情况下，采购人可确定下一中标候选人为中标人，也可以重新开展政府采购活动。</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36.采购代理服务费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中标人须按照投标须知表36款规定，向采购代理机构支付招标代理服务费。</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37.廉洁自律规定</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37.1采购代理机构工作人员不得以不正当手段获取政府采购代理业务，不得与采购人、投标人恶意串通操纵政府采购活动。</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38.人员回避</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39.质疑与接收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39.2质疑投标人应按照财政部门制定的《政府采购质疑函范本》格式和《政府采购质疑和投诉办法》的要求，在法定质疑期内以纸质形式提出质疑，针对同一采购程序环节的质疑应一次性提出。超出法定质疑期的、重复提出的、分次提出的质疑，采购人或其委托的采购代理机构不予接收。</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39.3采购代理机构质疑函接收部门、联系电话和通讯地址,见投标人须知表39.3款。</w:t>
      </w:r>
    </w:p>
    <w:p>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40.履约验收</w:t>
      </w:r>
    </w:p>
    <w:p>
      <w:pPr>
        <w:adjustRightInd w:val="0"/>
        <w:snapToGrid w:val="0"/>
        <w:spacing w:line="360" w:lineRule="auto"/>
        <w:ind w:firstLine="420"/>
        <w:rPr>
          <w:rFonts w:ascii="宋体" w:hAnsi="宋体" w:eastAsia="宋体" w:cs="宋体"/>
          <w:b/>
          <w:color w:val="auto"/>
          <w:highlight w:val="none"/>
        </w:rPr>
        <w:sectPr>
          <w:footerReference r:id="rId4" w:type="default"/>
          <w:pgSz w:w="11906" w:h="16838"/>
          <w:pgMar w:top="1383" w:right="1689" w:bottom="1383" w:left="1689" w:header="851" w:footer="992" w:gutter="0"/>
          <w:pgNumType w:start="1"/>
          <w:cols w:space="720" w:num="1"/>
          <w:docGrid w:type="lines" w:linePitch="312" w:charSpace="0"/>
        </w:sectPr>
      </w:pPr>
      <w:r>
        <w:rPr>
          <w:rFonts w:hint="eastAsia" w:ascii="宋体" w:hAnsi="宋体" w:eastAsia="宋体" w:cs="宋体"/>
          <w:color w:val="auto"/>
          <w:szCs w:val="21"/>
          <w:highlight w:val="none"/>
        </w:rPr>
        <w:t>本项目采购人及其委托的采购代理机构将严格按照政府采购相关法律法规以及</w:t>
      </w:r>
      <w:r>
        <w:rPr>
          <w:rFonts w:hint="eastAsia" w:ascii="宋体" w:hAnsi="宋体" w:eastAsia="宋体" w:cs="宋体"/>
          <w:color w:val="auto"/>
          <w:szCs w:val="21"/>
          <w:highlight w:val="none"/>
          <w:lang w:eastAsia="zh-CN"/>
        </w:rPr>
        <w:t>国家税务总局阳江市税务局</w:t>
      </w:r>
      <w:r>
        <w:rPr>
          <w:rFonts w:hint="eastAsia" w:ascii="宋体" w:hAnsi="宋体" w:eastAsia="宋体" w:cs="宋体"/>
          <w:color w:val="auto"/>
          <w:szCs w:val="21"/>
          <w:highlight w:val="none"/>
        </w:rPr>
        <w:t>的要求进行验收。</w:t>
      </w:r>
    </w:p>
    <w:p>
      <w:pPr>
        <w:pStyle w:val="4"/>
        <w:rPr>
          <w:rFonts w:ascii="宋体" w:hAnsi="宋体" w:eastAsia="宋体" w:cs="宋体"/>
          <w:color w:val="auto"/>
          <w:highlight w:val="none"/>
        </w:rPr>
      </w:pPr>
      <w:bookmarkStart w:id="85" w:name="_Toc96523885"/>
      <w:bookmarkStart w:id="86" w:name="_Toc4498_WPSOffice_Level1"/>
      <w:bookmarkStart w:id="87" w:name="_Toc13216"/>
      <w:r>
        <w:rPr>
          <w:rFonts w:hint="eastAsia" w:ascii="宋体" w:hAnsi="宋体" w:eastAsia="宋体" w:cs="宋体"/>
          <w:color w:val="auto"/>
          <w:highlight w:val="none"/>
        </w:rPr>
        <w:t>第二部分采购需求</w:t>
      </w:r>
      <w:bookmarkEnd w:id="85"/>
      <w:bookmarkEnd w:id="86"/>
      <w:bookmarkEnd w:id="87"/>
    </w:p>
    <w:p>
      <w:pPr>
        <w:snapToGrid w:val="0"/>
        <w:spacing w:line="360" w:lineRule="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说明：</w:t>
      </w:r>
    </w:p>
    <w:p>
      <w:pPr>
        <w:numPr>
          <w:ilvl w:val="0"/>
          <w:numId w:val="4"/>
        </w:numPr>
        <w:snapToGrid w:val="0"/>
        <w:spacing w:line="360" w:lineRule="auto"/>
        <w:ind w:left="422" w:hanging="422" w:hanging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投标人须对本项目（有划分包组的，则以包组为单位）进行整体投标，任何只对其中一部分内容进行的投标都被视为无效投标。</w:t>
      </w:r>
    </w:p>
    <w:p>
      <w:pPr>
        <w:numPr>
          <w:ilvl w:val="0"/>
          <w:numId w:val="4"/>
        </w:numPr>
        <w:snapToGrid w:val="0"/>
        <w:spacing w:line="360" w:lineRule="auto"/>
        <w:ind w:left="422" w:hanging="422" w:hanging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本招标文件中，凡标有“★”的地方（如有），投标人要特别加以注意，必须对此作出一一响应。若有一项带“★”的指标未响应或不满足，将导致其投标无效。</w:t>
      </w:r>
    </w:p>
    <w:p>
      <w:pPr>
        <w:numPr>
          <w:ilvl w:val="0"/>
          <w:numId w:val="4"/>
        </w:numPr>
        <w:snapToGrid w:val="0"/>
        <w:spacing w:line="360" w:lineRule="auto"/>
        <w:ind w:left="422" w:hanging="422" w:hanging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凡标记“▲”号的条款（如有）为重要的要求，投标人任何负偏离（不满足要求）或不响应可能对其评审产生重大的影响，具体见项目评审标准。</w:t>
      </w:r>
    </w:p>
    <w:p>
      <w:pPr>
        <w:snapToGrid w:val="0"/>
        <w:spacing w:line="360" w:lineRule="auto"/>
        <w:rPr>
          <w:rFonts w:ascii="宋体" w:hAnsi="宋体" w:eastAsia="宋体" w:cs="宋体"/>
          <w:b/>
          <w:color w:val="auto"/>
          <w:szCs w:val="21"/>
          <w:highlight w:val="none"/>
          <w:u w:val="single"/>
        </w:rPr>
      </w:pPr>
    </w:p>
    <w:p>
      <w:pPr>
        <w:tabs>
          <w:tab w:val="left" w:pos="420"/>
        </w:tabs>
        <w:snapToGrid w:val="0"/>
        <w:spacing w:line="360" w:lineRule="auto"/>
        <w:rPr>
          <w:rFonts w:hint="eastAsia" w:ascii="宋体" w:hAnsi="宋体" w:eastAsia="宋体" w:cs="宋体"/>
          <w:b/>
          <w:color w:val="auto"/>
          <w:szCs w:val="21"/>
          <w:highlight w:val="none"/>
          <w:lang w:eastAsia="zh-CN"/>
        </w:rPr>
      </w:pPr>
    </w:p>
    <w:p>
      <w:pPr>
        <w:rPr>
          <w:rFonts w:ascii="宋体" w:hAnsi="宋体" w:eastAsia="宋体" w:cs="宋体"/>
          <w:b/>
          <w:bCs/>
          <w:color w:val="auto"/>
          <w:szCs w:val="21"/>
          <w:highlight w:val="none"/>
        </w:rPr>
      </w:pPr>
    </w:p>
    <w:p>
      <w:pPr>
        <w:rPr>
          <w:rFonts w:ascii="宋体" w:hAnsi="宋体" w:eastAsia="宋体" w:cs="宋体"/>
          <w:color w:val="auto"/>
          <w:szCs w:val="21"/>
          <w:highlight w:val="none"/>
        </w:rPr>
      </w:pPr>
      <w:r>
        <w:rPr>
          <w:rFonts w:ascii="宋体" w:hAnsi="宋体" w:eastAsia="宋体" w:cs="宋体"/>
          <w:color w:val="auto"/>
          <w:szCs w:val="21"/>
          <w:highlight w:val="none"/>
        </w:rPr>
        <w:br w:type="page"/>
      </w:r>
    </w:p>
    <w:p>
      <w:pPr>
        <w:snapToGrid w:val="0"/>
        <w:spacing w:line="360" w:lineRule="auto"/>
        <w:ind w:firstLine="420" w:firstLineChars="200"/>
        <w:jc w:val="left"/>
        <w:rPr>
          <w:rFonts w:hint="eastAsia" w:ascii="宋体" w:hAnsi="宋体" w:eastAsia="宋体" w:cs="宋体"/>
          <w:sz w:val="21"/>
          <w:szCs w:val="21"/>
          <w:highlight w:val="none"/>
        </w:rPr>
      </w:pPr>
      <w:bookmarkStart w:id="88" w:name="_Toc2821_WPSOffice_Level1"/>
      <w:bookmarkStart w:id="89" w:name="_Toc96523886"/>
      <w:bookmarkStart w:id="90" w:name="_Toc865"/>
      <w:r>
        <w:rPr>
          <w:rFonts w:hint="eastAsia" w:ascii="宋体" w:hAnsi="宋体" w:eastAsia="宋体" w:cs="宋体"/>
          <w:sz w:val="21"/>
          <w:szCs w:val="21"/>
          <w:highlight w:val="none"/>
        </w:rPr>
        <w:t>一、项目概述</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阳江市税务局需租赁主用及备用网络线路，其中主用线路</w:t>
      </w:r>
      <w:r>
        <w:rPr>
          <w:rFonts w:hint="eastAsia" w:ascii="宋体" w:hAnsi="宋体" w:eastAsia="宋体" w:cs="宋体"/>
          <w:sz w:val="21"/>
          <w:szCs w:val="21"/>
          <w:highlight w:val="none"/>
          <w:lang w:val="en-US" w:eastAsia="zh-CN"/>
        </w:rPr>
        <w:t>47</w:t>
      </w:r>
      <w:r>
        <w:rPr>
          <w:rFonts w:hint="eastAsia" w:ascii="宋体" w:hAnsi="宋体" w:eastAsia="宋体" w:cs="宋体"/>
          <w:sz w:val="21"/>
          <w:szCs w:val="21"/>
          <w:highlight w:val="none"/>
        </w:rPr>
        <w:t>条，备用线路</w:t>
      </w:r>
      <w:r>
        <w:rPr>
          <w:rFonts w:hint="eastAsia" w:ascii="宋体" w:hAnsi="宋体" w:eastAsia="宋体" w:cs="宋体"/>
          <w:sz w:val="21"/>
          <w:szCs w:val="21"/>
          <w:highlight w:val="none"/>
          <w:lang w:val="en-US" w:eastAsia="zh-CN"/>
        </w:rPr>
        <w:t>37</w:t>
      </w:r>
      <w:r>
        <w:rPr>
          <w:rFonts w:hint="eastAsia" w:ascii="宋体" w:hAnsi="宋体" w:eastAsia="宋体" w:cs="宋体"/>
          <w:sz w:val="21"/>
          <w:szCs w:val="21"/>
          <w:highlight w:val="none"/>
        </w:rPr>
        <w:t>条。为避免单一线路中断影响网络正常使用，主用、备用线路须采用不同的运营商，使用不同的线路接入。因此本项目划分为2个</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为主用线路租赁，</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为备用线路租赁，项目总预算为</w:t>
      </w:r>
      <w:r>
        <w:rPr>
          <w:rFonts w:hint="eastAsia" w:ascii="宋体" w:hAnsi="宋体" w:eastAsia="宋体" w:cs="宋体"/>
          <w:sz w:val="21"/>
          <w:szCs w:val="21"/>
          <w:highlight w:val="none"/>
          <w:lang w:val="en-US" w:eastAsia="zh-CN"/>
        </w:rPr>
        <w:t>175.05</w:t>
      </w:r>
      <w:r>
        <w:rPr>
          <w:rFonts w:hint="eastAsia" w:ascii="宋体" w:hAnsi="宋体" w:eastAsia="宋体" w:cs="宋体"/>
          <w:sz w:val="21"/>
          <w:szCs w:val="21"/>
          <w:highlight w:val="none"/>
        </w:rPr>
        <w:t>万元，其中：</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预算</w:t>
      </w:r>
      <w:r>
        <w:rPr>
          <w:rFonts w:hint="eastAsia" w:ascii="宋体" w:hAnsi="宋体" w:eastAsia="宋体" w:cs="宋体"/>
          <w:sz w:val="21"/>
          <w:szCs w:val="21"/>
          <w:highlight w:val="none"/>
          <w:lang w:val="en-US" w:eastAsia="zh-CN"/>
        </w:rPr>
        <w:t>115.95</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预算</w:t>
      </w:r>
      <w:r>
        <w:rPr>
          <w:rFonts w:hint="eastAsia" w:ascii="宋体" w:hAnsi="宋体" w:eastAsia="宋体" w:cs="宋体"/>
          <w:sz w:val="21"/>
          <w:szCs w:val="21"/>
          <w:highlight w:val="none"/>
          <w:lang w:val="en-US" w:eastAsia="zh-CN"/>
        </w:rPr>
        <w:t>59.1</w:t>
      </w:r>
      <w:r>
        <w:rPr>
          <w:rFonts w:hint="eastAsia" w:ascii="宋体" w:hAnsi="宋体" w:eastAsia="宋体" w:cs="宋体"/>
          <w:sz w:val="21"/>
          <w:szCs w:val="21"/>
          <w:highlight w:val="none"/>
        </w:rPr>
        <w:t>万元，服务期为</w:t>
      </w:r>
      <w:r>
        <w:rPr>
          <w:rFonts w:hint="eastAsia" w:ascii="宋体" w:hAnsi="宋体" w:eastAsia="宋体" w:cs="宋体"/>
          <w:sz w:val="21"/>
          <w:szCs w:val="21"/>
          <w:highlight w:val="none"/>
          <w:lang w:val="en-US" w:eastAsia="zh-CN"/>
        </w:rPr>
        <w:t>15个月</w:t>
      </w:r>
      <w:r>
        <w:rPr>
          <w:rFonts w:hint="eastAsia" w:ascii="宋体" w:hAnsi="宋体" w:eastAsia="宋体" w:cs="宋体"/>
          <w:sz w:val="21"/>
          <w:szCs w:val="21"/>
          <w:highlight w:val="none"/>
        </w:rPr>
        <w:t>，具体如下表所示：</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3"/>
        <w:gridCol w:w="3311"/>
        <w:gridCol w:w="915"/>
        <w:gridCol w:w="1710"/>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542"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包组号</w:t>
            </w:r>
          </w:p>
        </w:tc>
        <w:tc>
          <w:tcPr>
            <w:tcW w:w="1944"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包组名称</w:t>
            </w:r>
          </w:p>
        </w:tc>
        <w:tc>
          <w:tcPr>
            <w:tcW w:w="537"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004"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采购预算</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（人民币）</w:t>
            </w:r>
          </w:p>
        </w:tc>
        <w:tc>
          <w:tcPr>
            <w:tcW w:w="971"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1</w:t>
            </w:r>
          </w:p>
        </w:tc>
        <w:tc>
          <w:tcPr>
            <w:tcW w:w="1944" w:type="pct"/>
            <w:noWrap w:val="0"/>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阳江市税务局主用线路租赁</w:t>
            </w:r>
            <w:r>
              <w:rPr>
                <w:rFonts w:hint="eastAsia" w:ascii="宋体" w:hAnsi="宋体" w:eastAsia="宋体" w:cs="宋体"/>
                <w:sz w:val="21"/>
                <w:szCs w:val="21"/>
                <w:highlight w:val="none"/>
                <w:lang w:eastAsia="zh-CN"/>
              </w:rPr>
              <w:t>服务</w:t>
            </w:r>
          </w:p>
        </w:tc>
        <w:tc>
          <w:tcPr>
            <w:tcW w:w="537" w:type="pct"/>
            <w:tcBorders>
              <w:bottom w:val="single" w:color="auto" w:sz="4" w:space="0"/>
            </w:tcBorders>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1项</w:t>
            </w:r>
          </w:p>
        </w:tc>
        <w:tc>
          <w:tcPr>
            <w:tcW w:w="1004"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115.95</w:t>
            </w:r>
            <w:r>
              <w:rPr>
                <w:rFonts w:hint="eastAsia" w:ascii="宋体" w:hAnsi="宋体" w:eastAsia="宋体" w:cs="宋体"/>
                <w:sz w:val="21"/>
                <w:szCs w:val="21"/>
                <w:highlight w:val="none"/>
              </w:rPr>
              <w:t>万元</w:t>
            </w:r>
          </w:p>
        </w:tc>
        <w:tc>
          <w:tcPr>
            <w:tcW w:w="971" w:type="pct"/>
            <w:vMerge w:val="restart"/>
            <w:noWrap w:val="0"/>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项目验收合格</w:t>
            </w:r>
            <w:r>
              <w:rPr>
                <w:rFonts w:hint="eastAsia" w:ascii="宋体" w:hAnsi="宋体" w:eastAsia="宋体" w:cs="宋体"/>
                <w:sz w:val="21"/>
                <w:szCs w:val="21"/>
                <w:highlight w:val="none"/>
                <w:lang w:val="en-US" w:eastAsia="zh-CN"/>
              </w:rPr>
              <w:t>之日起15个月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lang w:val="en-US" w:eastAsia="zh-CN"/>
              </w:rPr>
              <w:t>2</w:t>
            </w:r>
          </w:p>
        </w:tc>
        <w:tc>
          <w:tcPr>
            <w:tcW w:w="1944" w:type="pct"/>
            <w:noWrap w:val="0"/>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阳江市税务局备用线路租赁</w:t>
            </w:r>
            <w:r>
              <w:rPr>
                <w:rFonts w:hint="eastAsia" w:ascii="宋体" w:hAnsi="宋体" w:eastAsia="宋体" w:cs="宋体"/>
                <w:sz w:val="21"/>
                <w:szCs w:val="21"/>
                <w:highlight w:val="none"/>
                <w:lang w:eastAsia="zh-CN"/>
              </w:rPr>
              <w:t>服务</w:t>
            </w:r>
          </w:p>
        </w:tc>
        <w:tc>
          <w:tcPr>
            <w:tcW w:w="537" w:type="pct"/>
            <w:tcBorders>
              <w:top w:val="single" w:color="auto" w:sz="4" w:space="0"/>
            </w:tcBorders>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1项</w:t>
            </w:r>
          </w:p>
        </w:tc>
        <w:tc>
          <w:tcPr>
            <w:tcW w:w="1004" w:type="pc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59.1</w:t>
            </w:r>
            <w:r>
              <w:rPr>
                <w:rFonts w:hint="eastAsia" w:ascii="宋体" w:hAnsi="宋体" w:eastAsia="宋体" w:cs="宋体"/>
                <w:sz w:val="21"/>
                <w:szCs w:val="21"/>
                <w:highlight w:val="none"/>
              </w:rPr>
              <w:t>万元</w:t>
            </w:r>
          </w:p>
        </w:tc>
        <w:tc>
          <w:tcPr>
            <w:tcW w:w="971" w:type="pct"/>
            <w:vMerge w:val="continue"/>
            <w:noWrap w:val="0"/>
            <w:vAlign w:val="center"/>
          </w:tcPr>
          <w:p>
            <w:pPr>
              <w:spacing w:line="360" w:lineRule="auto"/>
              <w:jc w:val="center"/>
              <w:rPr>
                <w:rFonts w:hint="eastAsia" w:ascii="宋体" w:hAnsi="宋体" w:eastAsia="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eastAsia="宋体" w:cs="宋体"/>
          <w:b/>
          <w:bCs/>
          <w:sz w:val="21"/>
          <w:szCs w:val="21"/>
          <w:highlight w:val="none"/>
        </w:rPr>
      </w:pPr>
      <w:bookmarkStart w:id="91" w:name="_Toc25079"/>
      <w:r>
        <w:rPr>
          <w:rFonts w:hint="eastAsia" w:ascii="宋体" w:hAnsi="宋体" w:eastAsia="宋体" w:cs="宋体"/>
          <w:sz w:val="21"/>
          <w:szCs w:val="21"/>
          <w:highlight w:val="none"/>
        </w:rPr>
        <w:t>二、商务要求</w:t>
      </w:r>
      <w:bookmarkEnd w:id="91"/>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）投标报价</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包含线路安装调试费、验收费、线路维护费、人力成本、税金等一切费用，采购人不再支付其他任何费用。</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）合同签订要求</w:t>
      </w:r>
    </w:p>
    <w:p>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采购合同由中标供应商与采购人双方签订，签订时间为中标供应商收到《中标通知书》</w:t>
      </w:r>
      <w:r>
        <w:rPr>
          <w:rFonts w:hint="eastAsia" w:ascii="宋体" w:hAnsi="宋体" w:eastAsia="宋体" w:cs="宋体"/>
          <w:color w:val="auto"/>
          <w:sz w:val="21"/>
          <w:szCs w:val="21"/>
          <w:highlight w:val="none"/>
        </w:rPr>
        <w:t>起10个工作日内。</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）完工期</w:t>
      </w:r>
    </w:p>
    <w:p>
      <w:pPr>
        <w:snapToGrid w:val="0"/>
        <w:spacing w:line="360" w:lineRule="auto"/>
        <w:ind w:firstLine="420" w:firstLineChars="200"/>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合同签订生效后30个日历日内完工。</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）服务期</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本项目服务期为</w:t>
      </w:r>
      <w:r>
        <w:rPr>
          <w:rFonts w:hint="eastAsia" w:ascii="宋体" w:hAnsi="宋体" w:eastAsia="宋体" w:cs="宋体"/>
          <w:sz w:val="21"/>
          <w:szCs w:val="21"/>
          <w:highlight w:val="none"/>
          <w:lang w:val="en-US" w:eastAsia="zh-CN"/>
        </w:rPr>
        <w:t>15个月</w:t>
      </w:r>
      <w:r>
        <w:rPr>
          <w:rFonts w:hint="eastAsia" w:ascii="宋体" w:hAnsi="宋体" w:eastAsia="宋体" w:cs="宋体"/>
          <w:sz w:val="21"/>
          <w:szCs w:val="21"/>
          <w:highlight w:val="none"/>
        </w:rPr>
        <w:t>，自项目验收合格之日起计算。</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）交付地点</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采购人指定地点。</w:t>
      </w:r>
    </w:p>
    <w:p>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）付款方式</w:t>
      </w:r>
    </w:p>
    <w:p>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1.本项目的线路租用期为</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个月，按月支付线路租用费。项目验收合格后，按月支付合同约定的月租费用金额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收到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的发票，经核对无误后，在1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个工作日内将应缴费金额通过银行转账方式将款项划入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指定的银行账号。</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逾期缴纳费用的，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有权要求补交并按照逾期费用每日加收0.3%的违约金</w:t>
      </w:r>
      <w:r>
        <w:rPr>
          <w:rFonts w:hint="eastAsia" w:ascii="宋体" w:hAnsi="宋体" w:eastAsia="宋体" w:cs="宋体"/>
          <w:color w:val="auto"/>
          <w:sz w:val="21"/>
          <w:szCs w:val="21"/>
          <w:highlight w:val="none"/>
        </w:rPr>
        <w:t>。</w:t>
      </w:r>
    </w:p>
    <w:p>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2.每笔款项支付时，中标人须向采购人提供与应付款项等额的合法有效发票，若中标人迟延交付发票的，采购人可相应顺延付款时间。</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）项目服务要求</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线路运维要求：投标人应承诺对线路设备进行日常维护和监控，以保证采购人主用、备用线路正常运行。同时制定相应的维护作业计划并组织实施，以保障设备的安全可靠运行。并设有丰富经验的专业人员组进行值班，可以实现对本项目所有设备进行7*24小时的全天候监控，能够及时发现并及时处理出现的一切故障。</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2.7×24小时服务承诺：投标人承诺向本项目提供7×24小时的维护和服务，并有专业的技术人员负责及时解决出现的任何故障。提供7×24小时一站式故障申告受理服务，同时提供技术业务咨询服务。做好各种应急预案，以便在故障发生后及时快速响应，确保网络高度安全、稳定和可靠。</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3.故障修复时限承诺：投标人向采购人承诺提供非重大自然灾害引起的一般故障要求在4小时内排除，重大故障要求在24小时内排除，并在24小时内提供书面故障报告。</w:t>
      </w:r>
    </w:p>
    <w:p>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4.为更好地为本项目提供售后服务，投标人提供专职售后工程师进行技术支撑和故障处理，保证项目正常运营。</w:t>
      </w:r>
    </w:p>
    <w:p>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5.投标人应承诺在合同期内每季度终了后5个工作日内向采购人书面报告合同履行情况。</w:t>
      </w:r>
    </w:p>
    <w:p>
      <w:pPr>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为确保本项目顺利实施，投标人应在本项目各接入点有光纤资源覆盖，需列出已有光纤资源清单、统计总数，提供接入点光纤资源接入的图纸、照片，以及已有光纤资源与需求总数的占比数据，并加盖投标人公章。</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eastAsia="宋体" w:cs="宋体"/>
          <w:sz w:val="21"/>
          <w:szCs w:val="21"/>
          <w:highlight w:val="none"/>
        </w:rPr>
      </w:pPr>
      <w:bookmarkStart w:id="92" w:name="_Toc7354"/>
      <w:r>
        <w:rPr>
          <w:rFonts w:hint="eastAsia" w:ascii="宋体" w:hAnsi="宋体" w:eastAsia="宋体" w:cs="宋体"/>
          <w:sz w:val="21"/>
          <w:szCs w:val="21"/>
          <w:highlight w:val="none"/>
        </w:rPr>
        <w:t>三、项目需求及实施要求</w:t>
      </w:r>
      <w:bookmarkEnd w:id="92"/>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eastAsia="zh-CN"/>
        </w:rPr>
        <w:t>包组</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：阳江市税务局主用线路租赁</w:t>
      </w:r>
      <w:r>
        <w:rPr>
          <w:rFonts w:hint="eastAsia" w:ascii="宋体" w:hAnsi="宋体" w:eastAsia="宋体" w:cs="宋体"/>
          <w:b/>
          <w:sz w:val="21"/>
          <w:szCs w:val="21"/>
          <w:highlight w:val="none"/>
          <w:lang w:eastAsia="zh-CN"/>
        </w:rPr>
        <w:t>服务</w:t>
      </w:r>
    </w:p>
    <w:p>
      <w:pPr>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阳江市税务局主用线路共需租赁47条线路，包括市局--省局1条6M业务专线，市局创业路办公区--市局石湾北路办公区1条1000M业务专线、1条10M业务专线，市局--县（市、区）局9条200M业务专线，市局--分局（所）15条100M业务专线、3条50M业务专线，市局--外部单位2条200M业务专线、2条100M业务专线、8条50M业务专线、1条20M业务专线，市局2条200M互联网光纤专线、2条100M电子政务外网专线</w:t>
      </w:r>
      <w:r>
        <w:rPr>
          <w:rFonts w:hint="eastAsia" w:ascii="宋体" w:hAnsi="宋体" w:eastAsia="宋体" w:cs="宋体"/>
          <w:color w:val="auto"/>
          <w:sz w:val="21"/>
          <w:szCs w:val="21"/>
          <w:highlight w:val="none"/>
        </w:rPr>
        <w:t>，具体清单如下：</w:t>
      </w:r>
    </w:p>
    <w:tbl>
      <w:tblPr>
        <w:tblStyle w:val="33"/>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1"/>
        <w:gridCol w:w="1410"/>
        <w:gridCol w:w="484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所属单位</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电路名称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带宽（M）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市局创业路办公区至石湾北路办公区专线</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市局创业路办公区互联网光纤专线</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市局石湾北路办公区互联网光纤专线</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市局石湾北路办公区电子政务网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市局创业路办公区电子政务网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市局石湾北路办公区--市社保局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市局石湾北路办公区--市行政服务中心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市局石湾北路办公区--海陵行政服务中心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市局石湾北路办公区—阳东行政服务中心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市局石湾北路办公区—阳西行政服务中心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市局石湾北路办公区--阳春行政服务中心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市局石湾北路办公区—江城行政服务中心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市局石湾北路办公区—高新行政服务中心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市局石湾北路办公区--市不动产服务中心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市局石湾北路办公区--阳东房管局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市局石湾北路办公区--阳西不动产服务中心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市局石湾北路办公区--阳春国土局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市局石湾北路办公区--创业路办公区（门禁）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市局石湾北路办公区--市公安局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省局-市局石湾北路办公区（稽查局）</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阳春市局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市局创业路办公区--阳春市局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市局创业路办公区--阳春市局（东湖西办公区）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市局创业路办公区--三甲分局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市局创业路办公区--春湾分局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市局创业路办公区--合水分局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市局创业路办公区--岗美分局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市局创业路办公区--潭水分局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市局创业路办公区--马水分局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市局创业路办公区--松柏分局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阳西县局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市局创业路办公区--阳西县局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市局创业路办公区--阳西县局（升平办公区）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市局创业路办公区--儒洞分局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市局创业路办公区--沙扒分局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阳东区局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市局创业路办公区--阳东区局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市局创业路办公区--阳东区局（湖滨西办公区）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市局创业路办公区--雅韶分局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市局创业路办公区--合山分局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市局创业路办公区--塘坪分局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市局创业路办公区--北惯所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市局创业路办公区--东平分局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市局创业路办公区--新洲分局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江城区局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市局创业路办公区--江城区局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市局创业路办公区--白沙所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市局创业路办公区--城北分局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海陵区局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市局创业路办公区--海陵区局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高新区局</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市局创业路办公区--高新区局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市局创业路办公区--平冈所</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bl>
    <w:p>
      <w:pPr>
        <w:spacing w:line="360" w:lineRule="auto"/>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本项目中的主用线路需采用全数字组网方式，具体要求如下：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1.传输设计要求</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（1）在阳江市税务局创业路办公区，提供10G汇聚设备出4个以太网GE光口与阳江市税务局创业路办公区路由交换设备对接，提供27条点对多点组网模型的以太网业务。</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阳江市税务局创业路办公区部署10G传输设备，上行提供2*10GE光口上联至运营商传输网络，并且提供1+1保护能力；下行提供4个千兆以太网GE光口与阳江市税务局创业路办公区汇聚设备对接，提供4*GE的接入能力。</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每个县（市、区）局、分局网点上安装数字电路专线接入专用传输设备，提供4个千兆以太网口以满足业务的接入需求。上行提供GE光口上联至运营商传输网络；下行提供4个千兆以太电口与用户设备对接。每个点均要求具备最大1000M的接入能力。</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（4）阳江市税务局石湾北路办公区至外部单位共13条电路，石湾北路办公区通过运营商传输设备接入，外部单位通过光电收发器接入运营商传输网络，提供点对点数字电路。</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（5）阳江市税务局创业路、石湾北路办公区2条200M互联网光纤专线，通过千兆光口接入，提供200M具有固定公网IP的互联网专线。</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（6）阳江市税务局创业路、石湾北路办公区2条100M电子政务外网专线，通过百兆光纤收发器接入运营商电子政务外网交换机，提供100M电子政务外网专线。</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（7）阳江市税务局创业路办公区至石湾北路办公区1000M专线，通过裸光纤或者1000M数字电路接入，两端提供1000M光接口。</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（8）阳江市税务局创业路办公区至石湾北路办公区10M专线，通过数字电路接入。</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（9）省局至阳江市税务局石湾北路办公区（稽查局）6M专线，通过数字电路接入。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2.网络质量要求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（1）业务专线电路技术参数及性能要求：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220" w:firstLineChars="105"/>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专线电路须实现与互联网完全物理隔离。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220" w:firstLineChars="105"/>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数字电路端到端时延（1千公里内）≤30ms。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220" w:firstLineChars="105"/>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单条电路端到端电路误码率，数字电路≤1×10</w:t>
      </w:r>
      <w:r>
        <w:rPr>
          <w:rFonts w:hint="eastAsia" w:ascii="宋体" w:hAnsi="宋体" w:eastAsia="宋体" w:cs="宋体"/>
          <w:sz w:val="21"/>
          <w:szCs w:val="21"/>
          <w:highlight w:val="none"/>
          <w:vertAlign w:val="superscript"/>
        </w:rPr>
        <w:t>-7</w:t>
      </w:r>
      <w:r>
        <w:rPr>
          <w:rFonts w:hint="eastAsia" w:ascii="宋体" w:hAnsi="宋体" w:eastAsia="宋体" w:cs="宋体"/>
          <w:sz w:val="21"/>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220" w:firstLineChars="105"/>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全网的电路为光纤接入。网络骨干核心汇聚节点具有自愈环，具有故障自动倒换功能，能减少各电路因光缆的意外阻断和部分设备的故障而中断。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220" w:firstLineChars="105"/>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要求采用 MSTP或更优技术，提供端到端透明传输电路。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（2）互联网（固定IP)技术参数及性能要求：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局域网连接到宽带互联网，接入方式为光纤接入。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提供独享互联网 IP 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互联网带宽，上下行速率对等稳定。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用户至热点网站（例如百度、新浪等）的Ping网络时延≤50ms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用户至网内热点网站（例如百度、新浪等）的网络丢包率≤1%。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（3）路由冗余保护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为阳江市税务局中心机房接入端提供双物理路由自动切换。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3.网络拓扑图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（1）县（市、区）局、分局组网拓扑图</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drawing>
          <wp:inline distT="0" distB="0" distL="114300" distR="114300">
            <wp:extent cx="4987925" cy="3577590"/>
            <wp:effectExtent l="0" t="0" r="317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987925" cy="35775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（2）阳江市税务局石湾北路办公区至外部单位组网拓扑图</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drawing>
          <wp:inline distT="0" distB="0" distL="114300" distR="114300">
            <wp:extent cx="3714750" cy="4010025"/>
            <wp:effectExtent l="0" t="0" r="0" b="952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9"/>
                    <a:stretch>
                      <a:fillRect/>
                    </a:stretch>
                  </pic:blipFill>
                  <pic:spPr>
                    <a:xfrm>
                      <a:off x="0" y="0"/>
                      <a:ext cx="3714750" cy="4010025"/>
                    </a:xfrm>
                    <a:prstGeom prst="rect">
                      <a:avLst/>
                    </a:prstGeom>
                    <a:noFill/>
                    <a:ln>
                      <a:noFill/>
                    </a:ln>
                  </pic:spPr>
                </pic:pic>
              </a:graphicData>
            </a:graphic>
          </wp:inline>
        </w:drawing>
      </w:r>
    </w:p>
    <w:p>
      <w:pPr>
        <w:spacing w:line="360" w:lineRule="auto"/>
        <w:ind w:firstLine="405"/>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包组</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：阳江市税务局备用线路租赁</w:t>
      </w:r>
      <w:r>
        <w:rPr>
          <w:rFonts w:hint="eastAsia" w:ascii="宋体" w:hAnsi="宋体" w:eastAsia="宋体" w:cs="宋体"/>
          <w:b/>
          <w:sz w:val="21"/>
          <w:szCs w:val="21"/>
          <w:highlight w:val="none"/>
          <w:lang w:eastAsia="zh-CN"/>
        </w:rPr>
        <w:t>服务</w:t>
      </w:r>
    </w:p>
    <w:p>
      <w:pPr>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阳江市税务局备用线路共需租赁37条线路，包括市局创业路办公区--市局石湾北路办公区1条1000M业务专线，市局--县（市、区）局9条100M业务专线，市局--分局（所）4条50M业务专线、14条20M业务专线，市局--外部单位8条50M业务专线，市局1条100M互联网专线，具体清单如下：</w:t>
      </w:r>
    </w:p>
    <w:tbl>
      <w:tblPr>
        <w:tblStyle w:val="33"/>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1485"/>
        <w:gridCol w:w="463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46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电路名称</w:t>
            </w: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带宽（M）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市局创业路办公区至石湾北路办公区专线</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市局石湾北路办公区--市行政服务中心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市局石湾北路办公区--高新区行政服务中心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市局石湾北路办公区--江城行政服务中心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市局石湾北路办公区--市不动产服务中心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市局石湾北路办公区--阳东行政服务中心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市局石湾北路办公区--阳西行政服务中心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市局石湾北路办公区--阳春行政服务中心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市局石湾北路办公区--海陵不动产服务中心</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市局创业路办公区互联网专线（电房）</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阳春市局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市局创业路办公区--阳春市局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市局创业路办公区--阳春市局（东湖西办公区）</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市局创业路办公区--春湾分局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市局创业路办公区--三甲分局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市局创业路办公区--合水分局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市局创业路办公区--潭水分局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市局创业路办公区--马水分局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市局创业路办公区--岗美分局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市局创业路办公区--松柏分局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阳西县局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市局创业路办公区--阳西县局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市局创业路办公区--阳西县局（升平办公区）</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市局创业路办公区--儒洞分局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市局创业路办公区--沙扒分局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阳东区局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市局创业路办公区--阳东区局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市局创业路办公区--阳东区局（湖滨西办公区）</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市局创业路办公区--合山分局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市局创业路办公区--雅韶分局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市局创业路办公区--东平分局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市局创业路办公区--塘坪分局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市局创业路办公区--北惯所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市局创业路办公区--新洲分局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江城区局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市局创业路办公区--江城区局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市局创业路办公区--城北分局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市局创业路办公区--白沙所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8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海陵区局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市局创业路办公区--海陵区局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高新区局</w:t>
            </w: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市局创业路办公区--高新区局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85" w:type="dxa"/>
            <w:vMerge w:val="continue"/>
            <w:tcBorders>
              <w:top w:val="nil"/>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635" w:type="dxa"/>
            <w:tcBorders>
              <w:top w:val="nil"/>
              <w:left w:val="nil"/>
              <w:bottom w:val="single" w:color="auto" w:sz="4" w:space="0"/>
              <w:right w:val="single" w:color="auto"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市局创业路办公区--平冈所</w:t>
            </w:r>
          </w:p>
        </w:tc>
        <w:tc>
          <w:tcPr>
            <w:tcW w:w="153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bl>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本项目中的备用线路需采用全数字组网方式，具体要求如下：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1.传输设计要求</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（1）在阳江市税务局创业路办公区，提供10G汇聚设备出3个以太网GE光口与阳江市税务局创业路办公区路由交换设备对接，共提供27条点对多点组网模型的以太网业务。</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阳江市税务局创业路办公区部署10G传输设备，上行提供2*10GE光口上联至运营商传输网络，并且提供电路1+1保护能力；下行提供3个千兆以太网GE光口与阳江市税务局创业路办公区汇聚设备对接，提供3*GE的接入能力。</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每个县（市、区）局、分局网点上安装数字电路专线接入专用传输设备，提供4个千兆以太网口以满足业务的接入需求。上行提供GE光口上联至运营商传输网络；下行提供4个千兆以太电口与用户设备对接。每个点均要求具备最大1000M的接入能力。</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（4）阳江市税务局石湾北路办公区至外部单位共8条电路，通过运营商传输设备接入运营商传输网络，提供点对点数字电路。</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（5）阳江市税务局创业路办公区至石湾北路办公区1000M专线，通过裸光纤或者1000M数字电路接入，两端提供1000M光接口。</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（6）阳江市税务局创业路办公区1条100M普通光纤上网专线，接入互联网。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2.网络质量要求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网络时延上限值为 150ms。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时延抖动上限值为 50ms。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丢包率上限值为 1×10</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19"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包误差率上限值 1×10</w:t>
      </w:r>
      <w:r>
        <w:rPr>
          <w:rFonts w:hint="eastAsia" w:ascii="宋体" w:hAnsi="宋体" w:eastAsia="宋体" w:cs="宋体"/>
          <w:sz w:val="21"/>
          <w:szCs w:val="21"/>
          <w:highlight w:val="none"/>
          <w:vertAlign w:val="superscript"/>
        </w:rPr>
        <w:t>-4</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3.网络拓扑图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（1）县（市、区）局、分局组网拓扑图</w:t>
      </w:r>
    </w:p>
    <w:p>
      <w:pPr>
        <w:spacing w:line="360" w:lineRule="auto"/>
        <w:ind w:firstLine="405"/>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5" o:spt="75" type="#_x0000_t75" style="height:354pt;width:360.75pt;" o:ole="t" filled="f" o:preferrelative="t" stroked="f" coordsize="21600,21600">
            <v:path/>
            <v:fill on="f" focussize="0,0"/>
            <v:stroke on="f"/>
            <v:imagedata r:id="rId11" o:title=""/>
            <o:lock v:ext="edit" aspectratio="t"/>
            <w10:wrap type="none"/>
            <w10:anchorlock/>
          </v:shape>
          <o:OLEObject Type="Embed" ProgID="Visio.Drawing.11"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（2）阳江市税务局石湾北路办公区至外部单位组网拓扑图</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drawing>
          <wp:inline distT="0" distB="0" distL="114300" distR="114300">
            <wp:extent cx="2573020" cy="3745230"/>
            <wp:effectExtent l="0" t="0" r="17780"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2"/>
                    <a:stretch>
                      <a:fillRect/>
                    </a:stretch>
                  </pic:blipFill>
                  <pic:spPr>
                    <a:xfrm>
                      <a:off x="0" y="0"/>
                      <a:ext cx="2573020" cy="37452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93" w:name="_Toc3456"/>
      <w:r>
        <w:rPr>
          <w:rFonts w:hint="eastAsia" w:ascii="宋体" w:hAnsi="宋体" w:eastAsia="宋体" w:cs="宋体"/>
          <w:color w:val="auto"/>
          <w:sz w:val="21"/>
          <w:szCs w:val="21"/>
          <w:highlight w:val="none"/>
        </w:rPr>
        <w:t>四、项目验收要求</w:t>
      </w:r>
      <w:bookmarkEnd w:id="9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在项目完工后书面向采购人提出项目验收申请，采购人应在收到中标人书面申请后5个工作日内完成项目验收，项目验收由采购人和中标人共同参与，采用查看资料、现场核对、现场检测等方式进行，验收标准为网络线路的数量、带宽、拓扑结构、传输设计、网络质量等完全符合上述“项目需求及实施要求”</w:t>
      </w:r>
      <w:r>
        <w:rPr>
          <w:rFonts w:hint="eastAsia" w:ascii="宋体" w:hAnsi="宋体" w:eastAsia="宋体" w:cs="宋体"/>
          <w:color w:val="auto"/>
          <w:sz w:val="21"/>
          <w:szCs w:val="21"/>
          <w:highlight w:val="none"/>
          <w:lang w:eastAsia="zh-CN"/>
        </w:rPr>
        <w:t>中的内容，验收结束后，根据验收情况出具项目验收报告</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94" w:name="_Toc4142"/>
      <w:r>
        <w:rPr>
          <w:rFonts w:hint="eastAsia" w:ascii="宋体" w:hAnsi="宋体" w:eastAsia="宋体" w:cs="宋体"/>
          <w:color w:val="auto"/>
          <w:sz w:val="21"/>
          <w:szCs w:val="21"/>
          <w:highlight w:val="none"/>
        </w:rPr>
        <w:t>五、其他要求</w:t>
      </w:r>
      <w:bookmarkEnd w:id="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中标人须自觉履行保密义务，施工人员应遵循采购人的各项规章制度。所接触的阳江市税务局的专有信息，不得向他人泄露，更不得用于演示或者宣传。</w:t>
      </w:r>
    </w:p>
    <w:p>
      <w:pPr>
        <w:snapToGrid/>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应当承诺履行不得“围猎”采购人工作人员的义务，具体如下：投标人及其工作人员不得以给予或许诺给予佣金、回扣，以及合伙、参股等任何形式向采购人工作人员输送利益；不得以任何形式向采购人工作人员赠送或提供礼金、礼品、有价证券，以及为其购置或提供交通工具、通讯器材等贵重物品；不得以洽谈业务为由，邀请采购人工作人员外出旅游、健身或进行其他高消费娱乐活动；不得以为个人装修住房、安排亲属工作、接待亲友来访，吃请等名目，拉拢、利诱采购人工作人员；不得有其他违背诚实守法、公平竞争行为。采购人如发现投标人或其工作人员违反上述条款，有权立即终止或解除与供应商的合作关系，冻结应付款项，列入采购黑名单；投标人承担相应违约责任，采购人有权追索违约金以及由此造成的一切损失，并可以从任何应付款项中直接冲抵。投标人如发现采购人工作人员有主动索取贿赂及上述不当行为的，应立即向采购人纪检部门反映，如不拒绝、不反映，并对其不当要求予以满足的，等同违反上述条款，承担相应法律责任。（提供承诺函，格式自拟）</w:t>
      </w:r>
    </w:p>
    <w:p>
      <w:pPr>
        <w:pStyle w:val="4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★3.投标人在合同履行期间存在“围猎”采购人工作人员行为的（指以获取不正当利益为目的，采取馈赠礼品礼金、邀请娱乐旅游消费、提供便利条件等非正常交往手段“围猎”采购人工作人员及其亲属）</w:t>
      </w:r>
      <w:r>
        <w:rPr>
          <w:rFonts w:hint="eastAsia" w:ascii="宋体" w:hAnsi="宋体" w:eastAsia="宋体" w:cs="宋体"/>
          <w:bCs/>
          <w:color w:val="auto"/>
          <w:sz w:val="21"/>
          <w:szCs w:val="21"/>
          <w:highlight w:val="none"/>
          <w:lang w:val="en-US" w:eastAsia="zh-CN"/>
        </w:rPr>
        <w:t>，否则将承担相应的法律责任，并接受采购人相关处罚。</w:t>
      </w:r>
      <w:r>
        <w:rPr>
          <w:rFonts w:hint="eastAsia" w:ascii="宋体" w:hAnsi="宋体" w:eastAsia="宋体" w:cs="宋体"/>
          <w:color w:val="auto"/>
          <w:sz w:val="21"/>
          <w:szCs w:val="21"/>
          <w:highlight w:val="none"/>
          <w:lang w:val="en-US" w:eastAsia="zh-CN"/>
        </w:rPr>
        <w:t>（提供承诺函，格式自拟）</w:t>
      </w:r>
    </w:p>
    <w:p>
      <w:pPr>
        <w:spacing w:line="24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rPr>
          <w:rFonts w:ascii="宋体" w:hAnsi="宋体" w:eastAsia="宋体" w:cs="宋体"/>
          <w:color w:val="auto"/>
          <w:highlight w:val="none"/>
        </w:rPr>
      </w:pPr>
      <w:r>
        <w:rPr>
          <w:rFonts w:hint="eastAsia" w:ascii="宋体" w:hAnsi="宋体" w:eastAsia="宋体" w:cs="宋体"/>
          <w:color w:val="auto"/>
          <w:highlight w:val="none"/>
        </w:rPr>
        <w:t>第三部分评标方法</w:t>
      </w:r>
      <w:bookmarkEnd w:id="88"/>
      <w:bookmarkEnd w:id="89"/>
      <w:bookmarkEnd w:id="90"/>
    </w:p>
    <w:p>
      <w:pPr>
        <w:adjustRightInd w:val="0"/>
        <w:snapToGrid w:val="0"/>
        <w:spacing w:line="360" w:lineRule="auto"/>
        <w:ind w:firstLine="420" w:firstLineChars="20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本项目将按照招标文件第一部分投标人须知中“六开标及评标”、“七确定中标”及本章的规定评标。</w:t>
      </w:r>
    </w:p>
    <w:p>
      <w:pPr>
        <w:adjustRightInd w:val="0"/>
        <w:snapToGrid w:val="0"/>
        <w:spacing w:line="360" w:lineRule="auto"/>
        <w:ind w:firstLine="422" w:firstLineChars="200"/>
        <w:rPr>
          <w:rFonts w:ascii="宋体" w:hAnsi="宋体" w:eastAsia="宋体" w:cs="宋体"/>
          <w:b/>
          <w:color w:val="auto"/>
          <w:kern w:val="0"/>
          <w:szCs w:val="21"/>
          <w:highlight w:val="none"/>
        </w:rPr>
      </w:pPr>
      <w:bookmarkStart w:id="95" w:name="_Toc22313_WPSOffice_Level2"/>
      <w:r>
        <w:rPr>
          <w:rFonts w:hint="eastAsia" w:ascii="宋体" w:hAnsi="宋体" w:eastAsia="宋体" w:cs="宋体"/>
          <w:b/>
          <w:color w:val="auto"/>
          <w:kern w:val="0"/>
          <w:szCs w:val="21"/>
          <w:highlight w:val="none"/>
        </w:rPr>
        <w:t>一、评标方法</w:t>
      </w:r>
      <w:bookmarkEnd w:id="95"/>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w:t>
      </w:r>
      <w:r>
        <w:rPr>
          <w:rFonts w:hint="eastAsia" w:ascii="宋体" w:hAnsi="宋体" w:eastAsia="宋体" w:cs="宋体"/>
          <w:color w:val="auto"/>
          <w:kern w:val="0"/>
          <w:szCs w:val="21"/>
          <w:highlight w:val="none"/>
          <w:u w:val="single"/>
        </w:rPr>
        <w:t>综合评分法</w:t>
      </w:r>
      <w:r>
        <w:rPr>
          <w:rFonts w:hint="eastAsia" w:ascii="宋体" w:hAnsi="宋体" w:eastAsia="宋体" w:cs="宋体"/>
          <w:color w:val="auto"/>
          <w:kern w:val="0"/>
          <w:szCs w:val="21"/>
          <w:highlight w:val="none"/>
        </w:rPr>
        <w:t>进行评标。评分标准和评分细则详见后附《服务评审表》、《商务评审表》、《价格评审表》。</w:t>
      </w:r>
    </w:p>
    <w:p>
      <w:pPr>
        <w:adjustRightInd w:val="0"/>
        <w:snapToGrid w:val="0"/>
        <w:spacing w:line="360" w:lineRule="auto"/>
        <w:ind w:firstLine="422" w:firstLineChars="200"/>
        <w:textAlignment w:val="baseline"/>
        <w:rPr>
          <w:rFonts w:ascii="宋体" w:hAnsi="宋体" w:eastAsia="宋体" w:cs="宋体"/>
          <w:b/>
          <w:color w:val="auto"/>
          <w:kern w:val="0"/>
          <w:szCs w:val="21"/>
          <w:highlight w:val="none"/>
        </w:rPr>
      </w:pPr>
      <w:bookmarkStart w:id="96" w:name="_Toc21368_WPSOffice_Level2"/>
      <w:r>
        <w:rPr>
          <w:rFonts w:hint="eastAsia" w:ascii="宋体" w:hAnsi="宋体" w:eastAsia="宋体" w:cs="宋体"/>
          <w:b/>
          <w:color w:val="auto"/>
          <w:kern w:val="0"/>
          <w:szCs w:val="21"/>
          <w:highlight w:val="none"/>
        </w:rPr>
        <w:t>二、评标原则及程序</w:t>
      </w:r>
      <w:bookmarkEnd w:id="96"/>
    </w:p>
    <w:p>
      <w:pPr>
        <w:adjustRightInd w:val="0"/>
        <w:snapToGrid w:val="0"/>
        <w:spacing w:line="360" w:lineRule="auto"/>
        <w:ind w:firstLine="422" w:firstLineChars="200"/>
        <w:textAlignment w:val="baseline"/>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（一）评标原则</w:t>
      </w:r>
    </w:p>
    <w:p>
      <w:pPr>
        <w:adjustRightInd w:val="0"/>
        <w:snapToGrid w:val="0"/>
        <w:spacing w:line="360" w:lineRule="auto"/>
        <w:ind w:firstLine="420" w:firstLineChars="200"/>
        <w:textAlignment w:val="baseline"/>
        <w:rPr>
          <w:rFonts w:ascii="宋体" w:hAnsi="宋体" w:eastAsia="宋体" w:cs="宋体"/>
          <w:b/>
          <w:color w:val="auto"/>
          <w:kern w:val="0"/>
          <w:szCs w:val="21"/>
          <w:highlight w:val="none"/>
        </w:rPr>
      </w:pPr>
      <w:r>
        <w:rPr>
          <w:rFonts w:hint="eastAsia" w:ascii="宋体" w:hAnsi="宋体" w:eastAsia="宋体" w:cs="宋体"/>
          <w:color w:val="auto"/>
          <w:kern w:val="0"/>
          <w:highlight w: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2" w:firstLineChars="200"/>
        <w:textAlignment w:val="baseline"/>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（二）评标程序</w:t>
      </w:r>
    </w:p>
    <w:p>
      <w:pPr>
        <w:adjustRightInd w:val="0"/>
        <w:snapToGrid w:val="0"/>
        <w:spacing w:line="360" w:lineRule="auto"/>
        <w:ind w:firstLine="422" w:firstLineChars="200"/>
        <w:textAlignment w:val="baseline"/>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1.资格审查</w:t>
      </w:r>
    </w:p>
    <w:p>
      <w:pPr>
        <w:adjustRightInd w:val="0"/>
        <w:snapToGrid w:val="0"/>
        <w:spacing w:line="360" w:lineRule="auto"/>
        <w:ind w:firstLine="420" w:firstLineChars="20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1.1详见投标人须知22条。资格审查表详见本章附件1。</w:t>
      </w:r>
    </w:p>
    <w:p>
      <w:pPr>
        <w:adjustRightInd w:val="0"/>
        <w:snapToGrid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2.符合性审查</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2.1详见投标人须知23条。符合性审查表详见本章附件2。</w:t>
      </w:r>
    </w:p>
    <w:p>
      <w:pPr>
        <w:adjustRightInd w:val="0"/>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3</w:t>
      </w:r>
      <w:r>
        <w:rPr>
          <w:rFonts w:hint="eastAsia" w:ascii="宋体" w:hAnsi="宋体" w:eastAsia="宋体" w:cs="宋体"/>
          <w:b/>
          <w:color w:val="auto"/>
          <w:kern w:val="0"/>
          <w:szCs w:val="21"/>
          <w:highlight w:val="none"/>
        </w:rPr>
        <w:t>.样品及演示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3.1投标人须知表11.3条</w:t>
      </w:r>
      <w:r>
        <w:rPr>
          <w:rFonts w:hint="eastAsia" w:ascii="宋体" w:hAnsi="宋体" w:eastAsia="宋体" w:cs="宋体"/>
          <w:color w:val="auto"/>
          <w:szCs w:val="21"/>
          <w:highlight w:val="none"/>
        </w:rPr>
        <w:t>中要求投标人提供样品或演示的，按照</w:t>
      </w:r>
      <w:r>
        <w:rPr>
          <w:rFonts w:hint="eastAsia" w:ascii="宋体" w:hAnsi="宋体" w:eastAsia="宋体" w:cs="宋体"/>
          <w:color w:val="auto"/>
          <w:kern w:val="0"/>
          <w:szCs w:val="21"/>
          <w:highlight w:val="none"/>
        </w:rPr>
        <w:t>评审细则中载明的</w:t>
      </w:r>
      <w:r>
        <w:rPr>
          <w:rFonts w:hint="eastAsia" w:ascii="宋体" w:hAnsi="宋体" w:eastAsia="宋体" w:cs="宋体"/>
          <w:color w:val="auto"/>
          <w:szCs w:val="21"/>
          <w:highlight w:val="none"/>
        </w:rPr>
        <w:t>评审方法以及评审标准进行评审。(样品或演示属于符合性审查的，按照</w:t>
      </w:r>
      <w:r>
        <w:rPr>
          <w:rFonts w:hint="eastAsia" w:ascii="宋体" w:hAnsi="宋体" w:eastAsia="宋体" w:cs="宋体"/>
          <w:color w:val="auto"/>
          <w:kern w:val="0"/>
          <w:szCs w:val="21"/>
          <w:highlight w:val="none"/>
        </w:rPr>
        <w:t>投标人须知23条</w:t>
      </w:r>
      <w:r>
        <w:rPr>
          <w:rFonts w:hint="eastAsia" w:ascii="宋体" w:hAnsi="宋体" w:eastAsia="宋体" w:cs="宋体"/>
          <w:color w:val="auto"/>
          <w:szCs w:val="21"/>
          <w:highlight w:val="none"/>
        </w:rPr>
        <w:t>规定执行）</w:t>
      </w:r>
    </w:p>
    <w:p>
      <w:pPr>
        <w:adjustRightInd w:val="0"/>
        <w:snapToGrid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4</w:t>
      </w:r>
      <w:r>
        <w:rPr>
          <w:rFonts w:hint="eastAsia" w:ascii="宋体" w:hAnsi="宋体" w:eastAsia="宋体" w:cs="宋体"/>
          <w:b/>
          <w:bCs/>
          <w:color w:val="auto"/>
          <w:kern w:val="0"/>
          <w:szCs w:val="21"/>
          <w:highlight w:val="none"/>
        </w:rPr>
        <w:t>.比较及评价</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4.1评标委员会对通过符合性审查的投标文件进行比较和评价。</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4.2评标委员会按招标文件中规定的评标方法和标准，对资格审查和符合性审查合格的投标文件进行商务和</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综合比较与评价。</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、商务、价格部分分值分配如下：</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28"/>
        <w:gridCol w:w="1816"/>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50" w:type="pct"/>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评分项目</w:t>
            </w:r>
          </w:p>
        </w:tc>
        <w:tc>
          <w:tcPr>
            <w:tcW w:w="1249" w:type="pct"/>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服务</w:t>
            </w:r>
          </w:p>
        </w:tc>
        <w:tc>
          <w:tcPr>
            <w:tcW w:w="1066" w:type="pct"/>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w:t>
            </w:r>
          </w:p>
        </w:tc>
        <w:tc>
          <w:tcPr>
            <w:tcW w:w="1433" w:type="pct"/>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50" w:type="pct"/>
            <w:noWrap w:val="0"/>
            <w:vAlign w:val="center"/>
          </w:tcPr>
          <w:p>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权重（%）</w:t>
            </w:r>
          </w:p>
        </w:tc>
        <w:tc>
          <w:tcPr>
            <w:tcW w:w="1249" w:type="pct"/>
            <w:noWrap w:val="0"/>
            <w:vAlign w:val="center"/>
          </w:tcPr>
          <w:p>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45</w:t>
            </w:r>
          </w:p>
        </w:tc>
        <w:tc>
          <w:tcPr>
            <w:tcW w:w="1066" w:type="pct"/>
            <w:noWrap w:val="0"/>
            <w:vAlign w:val="center"/>
          </w:tcPr>
          <w:p>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45</w:t>
            </w:r>
          </w:p>
        </w:tc>
        <w:tc>
          <w:tcPr>
            <w:tcW w:w="1433" w:type="pct"/>
            <w:noWrap w:val="0"/>
            <w:vAlign w:val="center"/>
          </w:tcPr>
          <w:p>
            <w:p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10</w:t>
            </w:r>
          </w:p>
        </w:tc>
      </w:tr>
    </w:tbl>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具体量化打分标准如下：</w:t>
      </w:r>
    </w:p>
    <w:p>
      <w:pPr>
        <w:pStyle w:val="6"/>
        <w:tabs>
          <w:tab w:val="left" w:pos="420"/>
        </w:tabs>
        <w:spacing w:line="360" w:lineRule="auto"/>
        <w:ind w:firstLineChars="199"/>
        <w:rPr>
          <w:rFonts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bCs/>
          <w:snapToGrid w:val="0"/>
          <w:color w:val="auto"/>
          <w:szCs w:val="21"/>
          <w:highlight w:val="none"/>
        </w:rPr>
        <w:t>服务</w:t>
      </w:r>
      <w:r>
        <w:rPr>
          <w:rFonts w:hint="eastAsia" w:ascii="宋体" w:hAnsi="宋体" w:eastAsia="宋体" w:cs="宋体"/>
          <w:b/>
          <w:color w:val="auto"/>
          <w:highlight w:val="none"/>
        </w:rPr>
        <w:t>、商务评分：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评标委员会分别对各投标的服务、商务投标文件中的各项内容进行评议比较，详细对比其服务、商务方案等各种因素方面是否满足招标文件的要求。在服务、商务评审表的相应项各自记名打分。</w:t>
      </w:r>
    </w:p>
    <w:p>
      <w:pPr>
        <w:pStyle w:val="6"/>
        <w:tabs>
          <w:tab w:val="left" w:pos="420"/>
        </w:tabs>
        <w:spacing w:line="360" w:lineRule="auto"/>
        <w:rPr>
          <w:rFonts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bCs/>
          <w:snapToGrid w:val="0"/>
          <w:color w:val="auto"/>
          <w:szCs w:val="21"/>
          <w:highlight w:val="none"/>
        </w:rPr>
        <w:t>服务、</w:t>
      </w:r>
      <w:r>
        <w:rPr>
          <w:rFonts w:hint="eastAsia" w:ascii="宋体" w:hAnsi="宋体" w:eastAsia="宋体" w:cs="宋体"/>
          <w:b/>
          <w:color w:val="auto"/>
          <w:highlight w:val="none"/>
        </w:rPr>
        <w:t>商务得分统计</w:t>
      </w:r>
    </w:p>
    <w:p>
      <w:pPr>
        <w:pStyle w:val="6"/>
        <w:tabs>
          <w:tab w:val="left" w:pos="420"/>
        </w:tabs>
        <w:spacing w:line="360" w:lineRule="auto"/>
        <w:rPr>
          <w:rFonts w:ascii="宋体" w:hAnsi="宋体" w:eastAsia="宋体" w:cs="宋体"/>
          <w:color w:val="auto"/>
          <w:highlight w:val="none"/>
        </w:rPr>
      </w:pPr>
      <w:r>
        <w:rPr>
          <w:rFonts w:hint="eastAsia" w:ascii="宋体" w:hAnsi="宋体" w:eastAsia="宋体" w:cs="宋体"/>
          <w:color w:val="auto"/>
          <w:highlight w:val="none"/>
        </w:rPr>
        <w:t>①将所有评委的</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评分的算术平均值即为每个有效投标人的服务得分（四舍五入后，精确到0.01）。</w:t>
      </w:r>
    </w:p>
    <w:p>
      <w:pPr>
        <w:pStyle w:val="6"/>
        <w:tabs>
          <w:tab w:val="left" w:pos="420"/>
        </w:tabs>
        <w:spacing w:line="360" w:lineRule="auto"/>
        <w:rPr>
          <w:rFonts w:ascii="宋体" w:hAnsi="宋体" w:eastAsia="宋体" w:cs="宋体"/>
          <w:color w:val="auto"/>
          <w:highlight w:val="none"/>
        </w:rPr>
      </w:pPr>
      <w:r>
        <w:rPr>
          <w:rFonts w:hint="eastAsia" w:ascii="宋体" w:hAnsi="宋体" w:eastAsia="宋体" w:cs="宋体"/>
          <w:color w:val="auto"/>
          <w:highlight w:val="none"/>
        </w:rPr>
        <w:t>②将所有评委的商务评分的算术平均值即为每个有效投标人的商务得分（四舍五入后，精确到0.01）。</w:t>
      </w:r>
    </w:p>
    <w:p>
      <w:pPr>
        <w:pStyle w:val="6"/>
        <w:tabs>
          <w:tab w:val="left" w:pos="420"/>
        </w:tabs>
        <w:spacing w:line="360" w:lineRule="auto"/>
        <w:rPr>
          <w:rFonts w:ascii="宋体" w:hAnsi="宋体" w:eastAsia="宋体" w:cs="宋体"/>
          <w:color w:val="auto"/>
          <w:highlight w:val="none"/>
        </w:rPr>
      </w:pPr>
      <w:r>
        <w:rPr>
          <w:rFonts w:hint="eastAsia" w:ascii="宋体" w:hAnsi="宋体" w:eastAsia="宋体" w:cs="宋体"/>
          <w:color w:val="auto"/>
          <w:highlight w:val="none"/>
        </w:rPr>
        <w:t>③将</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得分、商务得分相加得出商务</w:t>
      </w:r>
      <w:r>
        <w:rPr>
          <w:rFonts w:hint="eastAsia" w:ascii="宋体" w:hAnsi="宋体" w:eastAsia="宋体" w:cs="宋体"/>
          <w:bCs/>
          <w:snapToGrid w:val="0"/>
          <w:color w:val="auto"/>
          <w:szCs w:val="21"/>
          <w:highlight w:val="none"/>
        </w:rPr>
        <w:t>服务</w:t>
      </w:r>
      <w:r>
        <w:rPr>
          <w:rFonts w:hint="eastAsia" w:ascii="宋体" w:hAnsi="宋体" w:eastAsia="宋体" w:cs="宋体"/>
          <w:color w:val="auto"/>
          <w:highlight w:val="none"/>
        </w:rPr>
        <w:t>得分。</w:t>
      </w:r>
    </w:p>
    <w:p>
      <w:pPr>
        <w:pStyle w:val="6"/>
        <w:spacing w:line="360" w:lineRule="auto"/>
        <w:ind w:firstLine="0"/>
        <w:rPr>
          <w:rFonts w:ascii="宋体" w:hAnsi="宋体" w:eastAsia="宋体" w:cs="宋体"/>
          <w:b/>
          <w:color w:val="auto"/>
          <w:highlight w:val="none"/>
        </w:rPr>
      </w:pPr>
      <w:r>
        <w:rPr>
          <w:rFonts w:hint="eastAsia" w:ascii="宋体" w:hAnsi="宋体" w:eastAsia="宋体" w:cs="宋体"/>
          <w:b/>
          <w:color w:val="auto"/>
          <w:highlight w:val="none"/>
        </w:rPr>
        <w:t>6、价格核准和评分</w:t>
      </w:r>
    </w:p>
    <w:p>
      <w:pPr>
        <w:pStyle w:val="6"/>
        <w:spacing w:line="360" w:lineRule="auto"/>
        <w:rPr>
          <w:rFonts w:ascii="宋体" w:hAnsi="宋体" w:eastAsia="宋体" w:cs="宋体"/>
          <w:bCs/>
          <w:color w:val="auto"/>
          <w:highlight w:val="none"/>
          <w:u w:val="single"/>
        </w:rPr>
      </w:pPr>
      <w:r>
        <w:rPr>
          <w:rFonts w:hint="eastAsia" w:ascii="宋体" w:hAnsi="宋体" w:eastAsia="宋体" w:cs="宋体"/>
          <w:bCs/>
          <w:color w:val="auto"/>
          <w:highlight w:val="none"/>
          <w:u w:val="single"/>
        </w:rPr>
        <w:t>6.1评标委员会认为投标人的报价明显低于其他通过符合性审查投标人的报价，有可能影响服务质量或者不能诚信履约的，将要求其在评标现场在评委规定的时间内提供书面说明，必要时提交相关证明材料；投标人不能证明其报价合理性的，评标委员会将其作为无效投标处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pPr>
        <w:numPr>
          <w:ilvl w:val="0"/>
          <w:numId w:val="5"/>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拒绝或者变相拒绝提供有效书面说明；</w:t>
      </w:r>
    </w:p>
    <w:p>
      <w:pPr>
        <w:numPr>
          <w:ilvl w:val="0"/>
          <w:numId w:val="5"/>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书面说明不能证明其报价合理性的；</w:t>
      </w:r>
    </w:p>
    <w:p>
      <w:pPr>
        <w:numPr>
          <w:ilvl w:val="0"/>
          <w:numId w:val="5"/>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未在规定时间内递交有效书面说明书的。</w:t>
      </w:r>
    </w:p>
    <w:p>
      <w:pPr>
        <w:pStyle w:val="6"/>
        <w:spacing w:line="360" w:lineRule="auto"/>
        <w:rPr>
          <w:rFonts w:ascii="宋体" w:hAnsi="宋体" w:eastAsia="宋体" w:cs="宋体"/>
          <w:color w:val="auto"/>
          <w:highlight w:val="none"/>
        </w:rPr>
      </w:pPr>
      <w:r>
        <w:rPr>
          <w:rFonts w:hint="eastAsia" w:ascii="宋体" w:hAnsi="宋体" w:eastAsia="宋体" w:cs="宋体"/>
          <w:b/>
          <w:color w:val="auto"/>
          <w:highlight w:val="none"/>
        </w:rPr>
        <w:t>6.2价格的核准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评委先对入围投标人的投标报价进行复核，投标文件报价出现前后不一致的，按照下列规定修正：</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（1）投标文件中开标一览表内容与投标文件中相应内容不一致的，以开标一览表为准；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同时出现两种以上不一致的，按照前款规定的顺序修正。对不同文字文本投标文件的解释发生异议的，以中文文本为准。</w:t>
      </w:r>
    </w:p>
    <w:p>
      <w:pPr>
        <w:pStyle w:val="6"/>
        <w:spacing w:line="360" w:lineRule="auto"/>
        <w:rPr>
          <w:rFonts w:ascii="宋体" w:hAnsi="宋体" w:eastAsia="宋体" w:cs="宋体"/>
          <w:color w:val="auto"/>
          <w:highlight w:val="none"/>
        </w:rPr>
      </w:pPr>
      <w:r>
        <w:rPr>
          <w:rFonts w:hint="eastAsia" w:ascii="宋体" w:hAnsi="宋体" w:eastAsia="宋体" w:cs="宋体"/>
          <w:b/>
          <w:color w:val="auto"/>
          <w:highlight w:val="none"/>
        </w:rPr>
        <w:t>投标报价中对投标标的的主体、关键内容有漏项、缺项的，其投标无效。</w:t>
      </w:r>
      <w:r>
        <w:rPr>
          <w:rFonts w:hint="eastAsia" w:ascii="宋体" w:hAnsi="宋体" w:eastAsia="宋体" w:cs="宋体"/>
          <w:color w:val="auto"/>
          <w:highlight w:val="none"/>
        </w:rPr>
        <w:t>除上述规定外，投标人有非主体、非关键性工作内容的缺项、漏项（数量不符合将被视为漏项），均视为报价中已包含相关费用，如中标不得再向采购人收取任何该费用。</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对数量的评审，以第二部分《采购需求》所明示数量为准；《采购需求》未明示的，由评标委员会以其专业知识判断，必要时参考投标供应商的澄清文件决定。</w:t>
      </w:r>
    </w:p>
    <w:p>
      <w:pPr>
        <w:pStyle w:val="6"/>
        <w:spacing w:line="360" w:lineRule="auto"/>
        <w:rPr>
          <w:rFonts w:hint="eastAsia" w:ascii="宋体" w:hAnsi="宋体" w:eastAsia="宋体" w:cs="宋体"/>
          <w:b/>
          <w:color w:val="auto"/>
          <w:highlight w:val="none"/>
          <w:u w:val="single"/>
          <w:lang w:eastAsia="zh-CN"/>
        </w:rPr>
      </w:pPr>
      <w:r>
        <w:rPr>
          <w:rFonts w:hint="eastAsia" w:ascii="宋体" w:hAnsi="宋体" w:eastAsia="宋体" w:cs="宋体"/>
          <w:color w:val="auto"/>
          <w:highlight w:val="none"/>
        </w:rPr>
        <w:t>对出现以上情况或因明显笔误而需修正任何内容时，均以评标委员会审定通过方为有效。按上述修正错误的方法调整后的投标报价，需由投标人加盖公章或者由法定代表人</w:t>
      </w:r>
      <w:r>
        <w:rPr>
          <w:rFonts w:hint="eastAsia" w:ascii="宋体" w:hAnsi="宋体" w:eastAsia="宋体" w:cs="宋体"/>
          <w:color w:val="auto"/>
          <w:szCs w:val="21"/>
          <w:highlight w:val="none"/>
        </w:rPr>
        <w:t>（非法人单位负责人或自然人本人）</w:t>
      </w:r>
      <w:r>
        <w:rPr>
          <w:rFonts w:hint="eastAsia" w:ascii="宋体" w:hAnsi="宋体" w:eastAsia="宋体" w:cs="宋体"/>
          <w:color w:val="auto"/>
          <w:highlight w:val="none"/>
        </w:rPr>
        <w:t>或其授权的代表签字确认，</w:t>
      </w:r>
      <w:r>
        <w:rPr>
          <w:rFonts w:hint="eastAsia" w:ascii="宋体" w:hAnsi="宋体" w:eastAsia="宋体" w:cs="宋体"/>
          <w:b/>
          <w:color w:val="auto"/>
          <w:highlight w:val="none"/>
        </w:rPr>
        <w:t>投标人不确认的，其投标无效。</w:t>
      </w:r>
    </w:p>
    <w:p>
      <w:pPr>
        <w:adjustRightInd w:val="0"/>
        <w:snapToGrid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color w:val="auto"/>
          <w:szCs w:val="20"/>
          <w:highlight w:val="none"/>
        </w:rPr>
        <w:t>6.3需落实的政府采购政策性规定</w:t>
      </w:r>
    </w:p>
    <w:p>
      <w:pPr>
        <w:adjustRightInd w:val="0"/>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6.3.1对于中小微企业（含监狱企业、符合中小企业划分标准的个体工商户）的相关规定</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对于非专门面向中小企业的项目（或者部分面向中小企业项目中的非专门面向中小企业的采购包），在满足价格扣除条件且在投标文件中按要求提交了《中小企业声明函》</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或省级以上监狱管理局、戒毒管理局（含新疆生产建设兵团）出具的属于监狱企业的证明文件的投标人，对投标报价给予价格扣除，用扣除后的价格参与评审。投标报价扣除比例如下：</w:t>
      </w:r>
    </w:p>
    <w:p>
      <w:pPr>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（1）非联合体投标</w:t>
      </w:r>
    </w:p>
    <w:p>
      <w:pPr>
        <w:pStyle w:val="17"/>
        <w:adjustRightInd w:val="0"/>
        <w:snapToGrid w:val="0"/>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投标人投标产品</w:t>
      </w:r>
      <w:r>
        <w:rPr>
          <w:rFonts w:hAnsi="宋体" w:eastAsia="宋体" w:cs="宋体"/>
          <w:color w:val="auto"/>
          <w:highlight w:val="none"/>
        </w:rPr>
        <w:t>/服务全部为小型或微型企业产品/服务时，报价给予K</w:t>
      </w:r>
      <w:r>
        <w:rPr>
          <w:rFonts w:hAnsi="宋体" w:eastAsia="宋体" w:cs="宋体"/>
          <w:color w:val="auto"/>
          <w:highlight w:val="none"/>
          <w:vertAlign w:val="subscript"/>
        </w:rPr>
        <w:t>1</w:t>
      </w:r>
      <w:r>
        <w:rPr>
          <w:rFonts w:hint="eastAsia" w:hAnsi="宋体" w:eastAsia="宋体" w:cs="宋体"/>
          <w:color w:val="auto"/>
          <w:highlight w:val="none"/>
        </w:rPr>
        <w:t>的价格扣除（</w:t>
      </w:r>
      <w:r>
        <w:rPr>
          <w:rFonts w:hAnsi="宋体" w:eastAsia="宋体" w:cs="宋体"/>
          <w:color w:val="auto"/>
          <w:highlight w:val="none"/>
        </w:rPr>
        <w:t>K</w:t>
      </w:r>
      <w:r>
        <w:rPr>
          <w:rFonts w:hAnsi="宋体" w:eastAsia="宋体" w:cs="宋体"/>
          <w:color w:val="auto"/>
          <w:highlight w:val="none"/>
          <w:vertAlign w:val="subscript"/>
        </w:rPr>
        <w:t>1</w:t>
      </w:r>
      <w:r>
        <w:rPr>
          <w:rFonts w:hint="eastAsia" w:hAnsi="宋体" w:eastAsia="宋体" w:cs="宋体"/>
          <w:color w:val="auto"/>
          <w:highlight w:val="none"/>
        </w:rPr>
        <w:t>的取值为</w:t>
      </w:r>
      <w:r>
        <w:rPr>
          <w:rFonts w:hint="eastAsia" w:hAnsi="宋体" w:eastAsia="宋体" w:cs="宋体"/>
          <w:color w:val="auto"/>
          <w:highlight w:val="none"/>
          <w:lang w:val="en-US" w:eastAsia="zh-CN"/>
        </w:rPr>
        <w:t>15</w:t>
      </w:r>
      <w:r>
        <w:rPr>
          <w:rFonts w:hAnsi="宋体" w:eastAsia="宋体" w:cs="宋体"/>
          <w:color w:val="auto"/>
          <w:highlight w:val="none"/>
        </w:rPr>
        <w:t>%）</w:t>
      </w:r>
      <w:r>
        <w:rPr>
          <w:rFonts w:hint="eastAsia" w:hAnsi="宋体" w:eastAsia="宋体" w:cs="宋体"/>
          <w:color w:val="auto"/>
          <w:highlight w:val="none"/>
        </w:rPr>
        <w:t>，即：评标价＝修正后的报价*（1-K</w:t>
      </w:r>
      <w:r>
        <w:rPr>
          <w:rFonts w:hint="eastAsia" w:hAnsi="宋体" w:eastAsia="宋体" w:cs="宋体"/>
          <w:color w:val="auto"/>
          <w:highlight w:val="none"/>
          <w:vertAlign w:val="subscript"/>
        </w:rPr>
        <w:t>1</w:t>
      </w:r>
      <w:r>
        <w:rPr>
          <w:rFonts w:hint="eastAsia" w:hAnsi="宋体" w:eastAsia="宋体" w:cs="宋体"/>
          <w:color w:val="auto"/>
          <w:highlight w:val="none"/>
        </w:rPr>
        <w:t>）；</w:t>
      </w:r>
    </w:p>
    <w:p>
      <w:pPr>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（2）接受分包或联合体投标</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若本项目接受大中型企业与小微企业组成联合体或者允许大中型企业向一家或者多家小微企业分包的，且联合体协议或者分包意向协议中约定小微企业的合同份额占到合同总金额30%以上的，对联合体或者大中型企业的报价给予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的价格扣除（K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的取值为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%），即：评标价＝修正后的报价*（1-K</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pPr>
        <w:pStyle w:val="17"/>
        <w:adjustRightInd w:val="0"/>
        <w:snapToGrid w:val="0"/>
        <w:spacing w:line="360" w:lineRule="auto"/>
        <w:ind w:firstLine="420"/>
        <w:rPr>
          <w:rFonts w:hAnsi="宋体" w:eastAsia="宋体" w:cs="宋体"/>
          <w:color w:val="auto"/>
          <w:highlight w:val="none"/>
        </w:rPr>
      </w:pPr>
      <w:r>
        <w:rPr>
          <w:rFonts w:hint="eastAsia" w:hAnsi="宋体" w:eastAsia="宋体" w:cs="宋体"/>
          <w:color w:val="auto"/>
          <w:highlight w:val="none"/>
        </w:rPr>
        <w:t>联合体各方均为小型、微型企业的，联合体视同为小型、微型企业，享受扶持政策。</w:t>
      </w:r>
    </w:p>
    <w:p>
      <w:pPr>
        <w:pStyle w:val="17"/>
        <w:adjustRightInd w:val="0"/>
        <w:snapToGrid w:val="0"/>
        <w:spacing w:line="360" w:lineRule="auto"/>
        <w:ind w:firstLine="420"/>
        <w:rPr>
          <w:rFonts w:hAnsi="宋体" w:eastAsia="宋体" w:cs="宋体"/>
          <w:color w:val="auto"/>
          <w:highlight w:val="none"/>
        </w:rPr>
      </w:pPr>
      <w:r>
        <w:rPr>
          <w:rFonts w:hint="eastAsia" w:hAnsi="宋体" w:eastAsia="宋体" w:cs="宋体"/>
          <w:color w:val="auto"/>
          <w:highlight w:val="none"/>
        </w:rPr>
        <w:t>若组成联合体或者接受分包的小微企业与联合体内其他企业、分包企业之间存在直接控股、管理关系的，不享受价格扣除优惠政策。</w:t>
      </w:r>
    </w:p>
    <w:p>
      <w:pPr>
        <w:adjustRightInd w:val="0"/>
        <w:snapToGrid w:val="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kern w:val="0"/>
          <w:szCs w:val="21"/>
          <w:highlight w:val="none"/>
        </w:rPr>
        <w:t>6.3.2对于促进残疾人就业政府采购政策的相关规定</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残疾人福利性单位视同小型、微型企业，享受以上价格扣除政策</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（2）投标文件中必须提供《残疾人福利性单位声明函》（详见第五部分投标文件内容及格式），否则不予享受该政策性优惠，并对声明的真实性负责</w:t>
      </w:r>
      <w:r>
        <w:rPr>
          <w:rFonts w:hint="eastAsia" w:ascii="宋体" w:hAnsi="宋体" w:eastAsia="宋体" w:cs="宋体"/>
          <w:color w:val="auto"/>
          <w:szCs w:val="21"/>
          <w:highlight w:val="none"/>
        </w:rPr>
        <w:t>，如《残疾人福利性单位声明函》与事实不符的，将依照《政府采购法》第七十七条第一款的规定追究法律责任。</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（3）残疾人福利性单位属于小型、微型企业的，不重复享受政策。</w:t>
      </w:r>
    </w:p>
    <w:p>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6.3.3对于节能产品、环境标志产品的相关规定</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auto"/>
          <w:kern w:val="0"/>
          <w:highlight w:val="none"/>
          <w:u w:val="single"/>
        </w:rPr>
        <w:t>1</w:t>
      </w:r>
      <w:r>
        <w:rPr>
          <w:rFonts w:hint="eastAsia" w:ascii="宋体" w:hAnsi="宋体" w:eastAsia="宋体" w:cs="宋体"/>
          <w:color w:val="auto"/>
          <w:highlight w:val="none"/>
        </w:rPr>
        <w:t>%的价格扣除。</w:t>
      </w:r>
      <w:r>
        <w:rPr>
          <w:rFonts w:hint="eastAsia" w:ascii="宋体" w:hAnsi="宋体" w:eastAsia="宋体" w:cs="宋体"/>
          <w:b/>
          <w:color w:val="auto"/>
          <w:highlight w:val="none"/>
        </w:rPr>
        <w:t>（如节能产品在评审表已进行评分，则该产品不再进行此处的价格扣除。）</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（2）供应商应同时提供品目清单网络截图，并以明确标注所报产品信息和位置的方式，用以方便评审。</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（3）认证机构和获证产品信息发布媒体：详见中国政府采购网（www.ccgp.gov.cn）建立的与认证结果信息发布平台的链接。</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（4）对属于强制采购的节能产品，节能要求作为实质性响应指标，不再享受评审优惠。</w:t>
      </w: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6.4价格评分</w:t>
      </w:r>
    </w:p>
    <w:p>
      <w:pPr>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6.4.1评标委员会对入围的投标人的投标价格进行修正核实。综合评分法中的价格分统一按照下列公式计算：</w:t>
      </w:r>
    </w:p>
    <w:p>
      <w:pPr>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取最</w:t>
      </w:r>
      <w:r>
        <w:rPr>
          <w:rFonts w:hint="eastAsia" w:ascii="宋体" w:hAnsi="宋体" w:eastAsia="宋体" w:cs="宋体"/>
          <w:color w:val="auto"/>
          <w:highlight w:val="none"/>
          <w:lang w:val="en-US" w:eastAsia="zh-CN"/>
        </w:rPr>
        <w:t>低投标报价</w:t>
      </w:r>
      <w:r>
        <w:rPr>
          <w:rFonts w:hint="eastAsia" w:ascii="宋体" w:hAnsi="宋体" w:eastAsia="宋体" w:cs="宋体"/>
          <w:color w:val="auto"/>
          <w:highlight w:val="none"/>
        </w:rPr>
        <w:t>为评标基准价，其价格得分为满分，其他报价得分按以下公式计算：</w:t>
      </w:r>
    </w:p>
    <w:p>
      <w:pPr>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投标报价得分=（评标基准价/投标报价）×1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%×100</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highlight w:val="none"/>
        </w:rPr>
        <w:t>6.4.2</w:t>
      </w:r>
      <w:r>
        <w:rPr>
          <w:rFonts w:hint="eastAsia" w:ascii="宋体" w:hAnsi="宋体" w:eastAsia="宋体" w:cs="宋体"/>
          <w:color w:val="auto"/>
          <w:kern w:val="0"/>
          <w:szCs w:val="21"/>
          <w:highlight w:val="none"/>
        </w:rPr>
        <w:t>在评标期间，对投标文件的澄清按投标人须知24条内容执行。</w:t>
      </w:r>
    </w:p>
    <w:p>
      <w:pPr>
        <w:adjustRightInd w:val="0"/>
        <w:snapToGrid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bCs/>
          <w:color w:val="auto"/>
          <w:kern w:val="0"/>
          <w:szCs w:val="21"/>
          <w:highlight w:val="none"/>
        </w:rPr>
        <w:t>、推荐中标候选人的原则</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详见第一部分投标人须知第29条，报价相同的处理办法如下：</w:t>
      </w:r>
    </w:p>
    <w:p>
      <w:pPr>
        <w:numPr>
          <w:ilvl w:val="0"/>
          <w:numId w:val="6"/>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采用最低评标价法的，</w:t>
      </w:r>
      <w:r>
        <w:rPr>
          <w:rFonts w:hint="eastAsia" w:ascii="宋体" w:hAnsi="宋体" w:eastAsia="宋体" w:cs="宋体"/>
          <w:color w:val="auto"/>
          <w:kern w:val="0"/>
          <w:szCs w:val="21"/>
          <w:highlight w:val="none"/>
        </w:rPr>
        <w:t>报价相同的处理办法如下：</w:t>
      </w:r>
    </w:p>
    <w:p>
      <w:pPr>
        <w:numPr>
          <w:ilvl w:val="0"/>
          <w:numId w:val="6"/>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投标文件满足招标文件全部实质性要求且投标报价最低的投标人为排名第一的中标候选人，排名第一的中标候选人紧接其后的投标人为排名第二的中标候选人，依次类推。</w:t>
      </w:r>
    </w:p>
    <w:p>
      <w:pPr>
        <w:numPr>
          <w:ilvl w:val="0"/>
          <w:numId w:val="6"/>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采用综合评分法的，综合得分相同时，按下列顺序比较确定：</w:t>
      </w:r>
    </w:p>
    <w:p>
      <w:pPr>
        <w:adjustRightInd w:val="0"/>
        <w:snapToGrid w:val="0"/>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①投标报价（由高到低）。</w:t>
      </w:r>
    </w:p>
    <w:p>
      <w:pPr>
        <w:adjustRightInd w:val="0"/>
        <w:snapToGrid w:val="0"/>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②服务部分得分（由高到低）。</w:t>
      </w:r>
    </w:p>
    <w:p>
      <w:pPr>
        <w:adjustRightInd w:val="0"/>
        <w:snapToGrid w:val="0"/>
        <w:spacing w:line="360" w:lineRule="auto"/>
        <w:ind w:left="420"/>
        <w:rPr>
          <w:rFonts w:ascii="宋体" w:hAnsi="宋体" w:eastAsia="宋体" w:cs="宋体"/>
          <w:bCs/>
          <w:color w:val="auto"/>
          <w:szCs w:val="21"/>
          <w:highlight w:val="none"/>
        </w:rPr>
      </w:pPr>
      <w:r>
        <w:rPr>
          <w:rFonts w:hint="eastAsia" w:ascii="宋体" w:hAnsi="宋体" w:eastAsia="宋体" w:cs="宋体"/>
          <w:bCs/>
          <w:color w:val="auto"/>
          <w:szCs w:val="21"/>
          <w:highlight w:val="none"/>
        </w:rPr>
        <w:t>③综合得分相同、投标报价和</w:t>
      </w:r>
      <w:r>
        <w:rPr>
          <w:rFonts w:hint="eastAsia" w:ascii="宋体" w:hAnsi="宋体" w:eastAsia="宋体" w:cs="宋体"/>
          <w:color w:val="auto"/>
          <w:szCs w:val="21"/>
          <w:highlight w:val="none"/>
        </w:rPr>
        <w:t>服务</w:t>
      </w:r>
      <w:r>
        <w:rPr>
          <w:rFonts w:hint="eastAsia" w:ascii="宋体" w:hAnsi="宋体" w:eastAsia="宋体" w:cs="宋体"/>
          <w:bCs/>
          <w:color w:val="auto"/>
          <w:szCs w:val="21"/>
          <w:highlight w:val="none"/>
        </w:rPr>
        <w:t>评分均相同的，名次由评标委员会抽签确定。</w:t>
      </w:r>
    </w:p>
    <w:p>
      <w:pPr>
        <w:adjustRightInd w:val="0"/>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bCs/>
          <w:color w:val="auto"/>
          <w:szCs w:val="21"/>
          <w:highlight w:val="none"/>
        </w:rPr>
        <w:t>④法律法规有明确规定的，以法律法规规定为准。</w:t>
      </w:r>
      <w:bookmarkStart w:id="97" w:name="_Toc30297_WPSOffice_Level2"/>
    </w:p>
    <w:p>
      <w:pPr>
        <w:adjustRightInd w:val="0"/>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三、</w:t>
      </w:r>
      <w:r>
        <w:rPr>
          <w:rFonts w:hint="eastAsia" w:ascii="宋体" w:hAnsi="宋体" w:eastAsia="宋体" w:cs="宋体"/>
          <w:b/>
          <w:color w:val="auto"/>
          <w:kern w:val="0"/>
          <w:szCs w:val="21"/>
          <w:highlight w:val="none"/>
        </w:rPr>
        <w:t>确定中标人</w:t>
      </w:r>
      <w:bookmarkEnd w:id="97"/>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hint="default" w:ascii="宋体" w:hAnsi="宋体" w:eastAsia="宋体" w:cs="宋体"/>
          <w:color w:val="auto"/>
          <w:szCs w:val="28"/>
          <w:highlight w:val="none"/>
          <w:lang w:val="en-US"/>
        </w:rPr>
      </w:pPr>
      <w:r>
        <w:rPr>
          <w:rFonts w:hint="eastAsia" w:ascii="宋体" w:hAnsi="宋体" w:eastAsia="宋体" w:cs="宋体"/>
          <w:color w:val="auto"/>
          <w:szCs w:val="21"/>
          <w:highlight w:val="none"/>
        </w:rPr>
        <w:t>采购人按照评标报告确定的中标候选人名单按顺序确定中标人，或由采购人委托评标委员会按照第一部分</w:t>
      </w:r>
      <w:r>
        <w:rPr>
          <w:rFonts w:hint="eastAsia" w:ascii="宋体" w:hAnsi="宋体" w:eastAsia="宋体" w:cs="宋体"/>
          <w:color w:val="auto"/>
          <w:kern w:val="0"/>
          <w:szCs w:val="21"/>
          <w:highlight w:val="none"/>
        </w:rPr>
        <w:t>投标人须知第31条</w:t>
      </w:r>
      <w:r>
        <w:rPr>
          <w:rFonts w:hint="eastAsia" w:ascii="宋体" w:hAnsi="宋体" w:eastAsia="宋体" w:cs="宋体"/>
          <w:color w:val="auto"/>
          <w:szCs w:val="21"/>
          <w:highlight w:val="none"/>
        </w:rPr>
        <w:t>规定的方式确定中标人。</w:t>
      </w:r>
      <w:bookmarkStart w:id="98" w:name="_Toc96523887"/>
      <w:bookmarkStart w:id="99" w:name="_Toc32318_WPSOffice_Level2"/>
      <w:r>
        <w:rPr>
          <w:rFonts w:hint="eastAsia" w:ascii="宋体" w:hAnsi="宋体" w:eastAsia="宋体" w:cs="宋体"/>
          <w:color w:val="auto"/>
          <w:highlight w:val="none"/>
        </w:rPr>
        <w:br w:type="page"/>
      </w:r>
      <w:bookmarkStart w:id="100" w:name="_Toc30031_WPSOffice_Level1"/>
      <w:r>
        <w:rPr>
          <w:rFonts w:hint="eastAsia" w:ascii="宋体" w:hAnsi="宋体" w:eastAsia="宋体" w:cs="宋体"/>
          <w:b/>
          <w:color w:val="auto"/>
          <w:kern w:val="2"/>
          <w:sz w:val="28"/>
          <w:szCs w:val="28"/>
          <w:highlight w:val="none"/>
          <w:lang w:val="en-US" w:eastAsia="zh-CN" w:bidi="ar-SA"/>
        </w:rPr>
        <w:t>附件1：资格审查表</w:t>
      </w:r>
      <w:bookmarkEnd w:id="98"/>
      <w:bookmarkEnd w:id="100"/>
      <w:r>
        <w:rPr>
          <w:rFonts w:hint="eastAsia" w:ascii="宋体" w:hAnsi="宋体" w:eastAsia="宋体" w:cs="宋体"/>
          <w:b/>
          <w:color w:val="auto"/>
          <w:kern w:val="2"/>
          <w:sz w:val="28"/>
          <w:szCs w:val="28"/>
          <w:highlight w:val="none"/>
          <w:lang w:val="en-US" w:eastAsia="zh-CN" w:bidi="ar-SA"/>
        </w:rPr>
        <w:t>（适用于各包组）</w:t>
      </w:r>
    </w:p>
    <w:bookmarkEnd w:id="99"/>
    <w:p>
      <w:pPr>
        <w:tabs>
          <w:tab w:val="left" w:pos="905"/>
          <w:tab w:val="left" w:pos="2109"/>
          <w:tab w:val="left" w:pos="9323"/>
        </w:tabs>
        <w:spacing w:after="159" w:afterLines="50" w:line="420" w:lineRule="exact"/>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资格审查表</w:t>
      </w:r>
    </w:p>
    <w:tbl>
      <w:tblPr>
        <w:tblStyle w:val="33"/>
        <w:tblW w:w="85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3"/>
        <w:gridCol w:w="1005"/>
        <w:gridCol w:w="67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00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审查项目</w:t>
            </w:r>
          </w:p>
        </w:tc>
        <w:tc>
          <w:tcPr>
            <w:tcW w:w="679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审查内容及要求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5"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lang w:eastAsia="en-US"/>
              </w:rPr>
            </w:pPr>
          </w:p>
        </w:tc>
        <w:tc>
          <w:tcPr>
            <w:tcW w:w="1005" w:type="dxa"/>
            <w:vMerge w:val="restart"/>
            <w:tcBorders>
              <w:top w:val="single" w:color="000000" w:sz="8" w:space="0"/>
              <w:left w:val="single" w:color="000000" w:sz="8" w:space="0"/>
              <w:right w:val="single" w:color="000000" w:sz="8" w:space="0"/>
            </w:tcBorders>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w:t>
            </w: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能力的在中华人民共和国境内注册的法人或其他组织或者自然人，投标时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具有良好的商业信誉和健全的财务会计制度（提供以下①或②证明材料：①经会计师事务所审计的202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年度财务状况报告；②同时提供a.基本开户行出具的资信证明，b.《基本存款账号信息》或《开户许可证》）。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4"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具备履行合同所必需的设备和专业技术能力（</w:t>
            </w:r>
            <w:r>
              <w:rPr>
                <w:rFonts w:hint="eastAsia" w:ascii="宋体" w:hAnsi="宋体" w:eastAsia="宋体" w:cs="宋体"/>
                <w:color w:val="auto"/>
                <w:kern w:val="0"/>
                <w:szCs w:val="21"/>
                <w:highlight w:val="none"/>
                <w:lang w:val="en-US" w:eastAsia="zh-CN"/>
              </w:rPr>
              <w:t>提供具有履行合同所必需的设备和专业技术能力承诺函或相关证明材料</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4"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参加政府采购活动前三年内，在经营活动中没有重大违法记录（以投标人在《资格声明函》中的承诺为准）。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投标人必须符合法律、行政法规规定的其他条件（以投标人在《资格声明函》中的承诺为准）。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落实政府采购政策需满足的资格要求：</w:t>
            </w:r>
          </w:p>
          <w:p>
            <w:pPr>
              <w:widowControl/>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本项目不属于专门面向中小企业采购的项目，本项目属于服务标。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0"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textAlignment w:val="top"/>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投标人未被列入“信用中国网站(www.creditchina.gov.cn)”</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0"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widowControl/>
              <w:jc w:val="left"/>
              <w:textAlignment w:val="top"/>
              <w:rPr>
                <w:rFonts w:hint="eastAsia" w:ascii="宋体" w:hAnsi="宋体" w:eastAsia="宋体" w:cs="宋体"/>
                <w:color w:val="auto"/>
                <w:kern w:val="0"/>
                <w:szCs w:val="21"/>
                <w:highlight w:val="none"/>
              </w:rPr>
            </w:pPr>
          </w:p>
        </w:tc>
        <w:tc>
          <w:tcPr>
            <w:tcW w:w="6795" w:type="dxa"/>
            <w:tcBorders>
              <w:top w:val="single" w:color="000000" w:sz="8" w:space="0"/>
              <w:left w:val="single" w:color="000000" w:sz="8" w:space="0"/>
              <w:bottom w:val="single" w:color="000000" w:sz="8" w:space="0"/>
              <w:right w:val="single" w:color="000000" w:sz="8" w:space="0"/>
            </w:tcBorders>
          </w:tcPr>
          <w:p>
            <w:pPr>
              <w:widowControl/>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必须符合法律、行政法规规定的其他条件：单位负责人为同一人或者存在直接控股、管理关系的不同供应商，不得同时参加本采购项目（或同一合同项下）投标。为本项目提供整体设计、规范编制或者项目管理、监理、检测等服务的投标人，不得再参与本项目投标。（提供按照招标文件的格式签署盖章的《资格声明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3"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rPr>
                <w:rFonts w:hint="eastAsia" w:ascii="宋体" w:hAnsi="宋体" w:eastAsia="宋体" w:cs="宋体"/>
                <w:color w:val="auto"/>
                <w:szCs w:val="21"/>
                <w:highlight w:val="none"/>
              </w:rPr>
            </w:pPr>
          </w:p>
        </w:tc>
        <w:tc>
          <w:tcPr>
            <w:tcW w:w="6795"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iCs/>
                <w:color w:val="auto"/>
                <w:szCs w:val="21"/>
                <w:highlight w:val="none"/>
              </w:rPr>
              <w:t>投标人已按招标公告及招标文件的规定获取了招标文件。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3" w:hRule="atLeast"/>
          <w:jc w:val="center"/>
        </w:trPr>
        <w:tc>
          <w:tcPr>
            <w:tcW w:w="713" w:type="dxa"/>
            <w:tcBorders>
              <w:top w:val="single" w:color="000000" w:sz="8" w:space="0"/>
              <w:left w:val="single" w:color="000000" w:sz="8" w:space="0"/>
              <w:bottom w:val="single" w:color="000000" w:sz="8" w:space="0"/>
              <w:right w:val="single" w:color="000000" w:sz="8" w:space="0"/>
            </w:tcBorders>
            <w:vAlign w:val="center"/>
          </w:tcPr>
          <w:p>
            <w:pPr>
              <w:widowControl/>
              <w:numPr>
                <w:ilvl w:val="0"/>
                <w:numId w:val="7"/>
              </w:numPr>
              <w:jc w:val="center"/>
              <w:textAlignment w:val="top"/>
              <w:rPr>
                <w:rFonts w:hint="eastAsia" w:ascii="宋体" w:hAnsi="宋体" w:eastAsia="宋体" w:cs="宋体"/>
                <w:color w:val="auto"/>
                <w:kern w:val="0"/>
                <w:szCs w:val="21"/>
                <w:highlight w:val="none"/>
              </w:rPr>
            </w:pPr>
          </w:p>
        </w:tc>
        <w:tc>
          <w:tcPr>
            <w:tcW w:w="1005" w:type="dxa"/>
            <w:vMerge w:val="continue"/>
            <w:tcBorders>
              <w:left w:val="single" w:color="000000" w:sz="8" w:space="0"/>
              <w:right w:val="single" w:color="000000" w:sz="8" w:space="0"/>
            </w:tcBorders>
          </w:tcPr>
          <w:p>
            <w:pPr>
              <w:rPr>
                <w:rFonts w:hint="eastAsia" w:ascii="宋体" w:hAnsi="宋体" w:eastAsia="宋体" w:cs="宋体"/>
                <w:color w:val="auto"/>
                <w:szCs w:val="21"/>
                <w:highlight w:val="none"/>
              </w:rPr>
            </w:pPr>
          </w:p>
        </w:tc>
        <w:tc>
          <w:tcPr>
            <w:tcW w:w="6795"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本项目不允许联合体投标。不接受中标备选方案。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8" w:hRule="atLeast"/>
          <w:jc w:val="center"/>
        </w:trPr>
        <w:tc>
          <w:tcPr>
            <w:tcW w:w="171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结论</w:t>
            </w:r>
          </w:p>
        </w:tc>
        <w:tc>
          <w:tcPr>
            <w:tcW w:w="6795"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是否通过资格审查</w:t>
            </w:r>
          </w:p>
          <w:p>
            <w:pPr>
              <w:widowControl/>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（写“通过”或“不通过”）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4" w:hRule="atLeast"/>
          <w:jc w:val="center"/>
        </w:trPr>
        <w:tc>
          <w:tcPr>
            <w:tcW w:w="8513" w:type="dxa"/>
            <w:gridSpan w:val="3"/>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不通过资格审查的原因说明</w:t>
            </w:r>
          </w:p>
        </w:tc>
      </w:tr>
    </w:tbl>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资格审查时：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表中每一项符合的打“○”不符合的打“×”。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“结论”栏按审查结果通过与否分别写“通过”或“不通过”；任何一项出现“×”结论为“不通过”</w:t>
      </w:r>
      <w:r>
        <w:rPr>
          <w:rFonts w:hint="eastAsia" w:ascii="宋体" w:hAnsi="宋体" w:eastAsia="宋体" w:cs="宋体"/>
          <w:color w:val="auto"/>
          <w:szCs w:val="21"/>
          <w:highlight w:val="none"/>
        </w:rPr>
        <w:t>。</w:t>
      </w:r>
    </w:p>
    <w:p>
      <w:pPr>
        <w:pStyle w:val="28"/>
        <w:widowControl w:val="0"/>
        <w:snapToGrid w:val="0"/>
        <w:spacing w:before="0" w:beforeAutospacing="0" w:after="0" w:afterAutospacing="0"/>
        <w:jc w:val="both"/>
        <w:rPr>
          <w:rFonts w:hint="eastAsia" w:ascii="宋体" w:hAnsi="宋体" w:eastAsia="宋体" w:cs="宋体"/>
          <w:b/>
          <w:color w:val="auto"/>
          <w:kern w:val="2"/>
          <w:sz w:val="21"/>
          <w:szCs w:val="21"/>
          <w:highlight w:val="none"/>
        </w:rPr>
      </w:pPr>
    </w:p>
    <w:p>
      <w:pPr>
        <w:pStyle w:val="28"/>
        <w:widowControl w:val="0"/>
        <w:snapToGrid w:val="0"/>
        <w:spacing w:before="0" w:beforeAutospacing="0" w:after="0" w:afterAutospacing="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审查人签字：</w:t>
      </w:r>
    </w:p>
    <w:p>
      <w:pPr>
        <w:pStyle w:val="28"/>
        <w:widowControl w:val="0"/>
        <w:snapToGrid w:val="0"/>
        <w:spacing w:before="0" w:beforeAutospacing="0" w:after="0" w:afterAutospacing="0"/>
        <w:jc w:val="center"/>
        <w:rPr>
          <w:rFonts w:hint="eastAsia" w:ascii="宋体" w:hAnsi="宋体" w:eastAsia="宋体" w:cs="宋体"/>
          <w:b/>
          <w:color w:val="auto"/>
          <w:sz w:val="21"/>
          <w:szCs w:val="21"/>
          <w:highlight w:val="none"/>
        </w:rPr>
      </w:pPr>
    </w:p>
    <w:p>
      <w:pPr>
        <w:pStyle w:val="28"/>
        <w:widowControl w:val="0"/>
        <w:snapToGrid w:val="0"/>
        <w:spacing w:before="0" w:beforeAutospacing="0" w:after="0" w:afterAutospacing="0"/>
        <w:jc w:val="center"/>
        <w:rPr>
          <w:rFonts w:hint="eastAsia" w:ascii="宋体" w:hAnsi="宋体" w:eastAsia="宋体" w:cs="宋体"/>
          <w:b/>
          <w:color w:val="auto"/>
          <w:sz w:val="21"/>
          <w:szCs w:val="21"/>
          <w:highlight w:val="none"/>
        </w:rPr>
      </w:pPr>
      <w:bookmarkStart w:id="101" w:name="_Toc31058_WPSOffice_Level1"/>
      <w:r>
        <w:rPr>
          <w:rFonts w:hint="eastAsia" w:ascii="宋体" w:hAnsi="宋体" w:eastAsia="宋体" w:cs="宋体"/>
          <w:b/>
          <w:color w:val="auto"/>
          <w:sz w:val="21"/>
          <w:szCs w:val="21"/>
          <w:highlight w:val="none"/>
        </w:rPr>
        <w:t>日期：年月日</w:t>
      </w:r>
      <w:bookmarkEnd w:id="101"/>
    </w:p>
    <w:p>
      <w:pPr>
        <w:pStyle w:val="5"/>
        <w:adjustRightInd w:val="0"/>
        <w:snapToGrid w:val="0"/>
        <w:spacing w:before="0" w:after="0" w:line="240" w:lineRule="auto"/>
        <w:jc w:val="left"/>
        <w:rPr>
          <w:rFonts w:hint="eastAsia" w:ascii="宋体" w:hAnsi="宋体" w:eastAsia="宋体" w:cs="宋体"/>
          <w:color w:val="auto"/>
          <w:szCs w:val="28"/>
          <w:highlight w:val="none"/>
        </w:rPr>
      </w:pPr>
      <w:r>
        <w:rPr>
          <w:rFonts w:hint="eastAsia" w:ascii="宋体" w:hAnsi="宋体" w:eastAsia="宋体" w:cs="宋体"/>
          <w:b w:val="0"/>
          <w:color w:val="auto"/>
          <w:sz w:val="21"/>
          <w:szCs w:val="21"/>
          <w:highlight w:val="none"/>
        </w:rPr>
        <w:br w:type="page"/>
      </w:r>
      <w:bookmarkStart w:id="102" w:name="_Toc11558_WPSOffice_Level2"/>
      <w:bookmarkStart w:id="103" w:name="_Toc96523888"/>
      <w:bookmarkStart w:id="104" w:name="_Toc15300_WPSOffice_Level1"/>
      <w:r>
        <w:rPr>
          <w:rFonts w:hint="eastAsia" w:ascii="宋体" w:hAnsi="宋体" w:eastAsia="宋体" w:cs="宋体"/>
          <w:color w:val="auto"/>
          <w:szCs w:val="28"/>
          <w:highlight w:val="none"/>
        </w:rPr>
        <w:t>附件2：符合性审查表</w:t>
      </w:r>
      <w:bookmarkEnd w:id="102"/>
      <w:bookmarkEnd w:id="103"/>
      <w:bookmarkEnd w:id="104"/>
      <w:r>
        <w:rPr>
          <w:rFonts w:hint="eastAsia" w:ascii="宋体" w:hAnsi="宋体" w:eastAsia="宋体" w:cs="宋体"/>
          <w:b/>
          <w:color w:val="auto"/>
          <w:kern w:val="2"/>
          <w:sz w:val="28"/>
          <w:szCs w:val="28"/>
          <w:highlight w:val="none"/>
          <w:lang w:val="en-US" w:eastAsia="zh-CN" w:bidi="ar-SA"/>
        </w:rPr>
        <w:t>（适用于各包组）</w:t>
      </w:r>
    </w:p>
    <w:p>
      <w:pPr>
        <w:tabs>
          <w:tab w:val="left" w:pos="905"/>
          <w:tab w:val="left" w:pos="2109"/>
          <w:tab w:val="left" w:pos="9323"/>
        </w:tabs>
        <w:spacing w:after="159" w:afterLines="50" w:line="420" w:lineRule="exact"/>
        <w:jc w:val="center"/>
        <w:rPr>
          <w:rFonts w:hint="eastAsia" w:ascii="宋体" w:hAnsi="宋体" w:eastAsia="宋体" w:cs="宋体"/>
          <w:color w:val="auto"/>
          <w:highlight w:val="none"/>
        </w:rPr>
      </w:pPr>
      <w:r>
        <w:rPr>
          <w:rFonts w:hint="eastAsia" w:ascii="宋体" w:hAnsi="宋体" w:eastAsia="宋体" w:cs="宋体"/>
          <w:b/>
          <w:bCs/>
          <w:color w:val="auto"/>
          <w:sz w:val="30"/>
          <w:highlight w:val="none"/>
        </w:rPr>
        <w:t>符合性审查表</w:t>
      </w:r>
    </w:p>
    <w:tbl>
      <w:tblPr>
        <w:tblStyle w:val="33"/>
        <w:tblW w:w="8514"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450"/>
        <w:gridCol w:w="3328"/>
        <w:gridCol w:w="867"/>
        <w:gridCol w:w="867"/>
        <w:gridCol w:w="86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913" w:type="dxa"/>
            <w:gridSpan w:val="3"/>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投标人A</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投标人B</w:t>
            </w:r>
          </w:p>
        </w:tc>
        <w:tc>
          <w:tcPr>
            <w:tcW w:w="86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w:t>
            </w:r>
          </w:p>
        </w:tc>
        <w:tc>
          <w:tcPr>
            <w:tcW w:w="4778"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投标保证金按</w:t>
            </w:r>
            <w:r>
              <w:rPr>
                <w:rFonts w:hint="eastAsia" w:ascii="宋体" w:hAnsi="宋体" w:eastAsia="宋体" w:cs="宋体"/>
                <w:bCs/>
                <w:color w:val="auto"/>
                <w:szCs w:val="21"/>
                <w:highlight w:val="none"/>
              </w:rPr>
              <w:t>招标文件</w:t>
            </w:r>
            <w:r>
              <w:rPr>
                <w:rFonts w:hint="eastAsia" w:ascii="宋体" w:hAnsi="宋体" w:eastAsia="宋体" w:cs="宋体"/>
                <w:color w:val="auto"/>
                <w:szCs w:val="21"/>
                <w:highlight w:val="none"/>
              </w:rPr>
              <w:t>要求提交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投标有效期符合</w:t>
            </w:r>
            <w:r>
              <w:rPr>
                <w:rFonts w:hint="eastAsia" w:ascii="宋体" w:hAnsi="宋体" w:eastAsia="宋体" w:cs="宋体"/>
                <w:bCs/>
                <w:color w:val="auto"/>
                <w:szCs w:val="21"/>
                <w:highlight w:val="none"/>
              </w:rPr>
              <w:t>招标文件</w:t>
            </w:r>
            <w:r>
              <w:rPr>
                <w:rFonts w:hint="eastAsia" w:ascii="宋体" w:hAnsi="宋体" w:eastAsia="宋体" w:cs="宋体"/>
                <w:color w:val="auto"/>
                <w:szCs w:val="21"/>
                <w:highlight w:val="none"/>
              </w:rPr>
              <w:t>要求</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restart"/>
            <w:vAlign w:val="center"/>
          </w:tcPr>
          <w:p>
            <w:pP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投标文件按照招标文件规定要求签署、盖章</w:t>
            </w: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法定代表人证明书及法定代表人授权委托书（如适用）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实质性响应条款一览表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tcBorders>
              <w:bottom w:val="single" w:color="auto" w:sz="4" w:space="0"/>
            </w:tcBorders>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投标响应与招标文件差异一览表</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jc w:val="center"/>
              <w:rPr>
                <w:rFonts w:hint="eastAsia" w:ascii="宋体" w:hAnsi="宋体" w:eastAsia="宋体" w:cs="宋体"/>
                <w:color w:val="auto"/>
                <w:szCs w:val="21"/>
                <w:highlight w:val="none"/>
              </w:rPr>
            </w:pPr>
          </w:p>
        </w:tc>
        <w:tc>
          <w:tcPr>
            <w:tcW w:w="1450" w:type="dxa"/>
            <w:vMerge w:val="continue"/>
            <w:tcBorders>
              <w:bottom w:val="single" w:color="auto" w:sz="4" w:space="0"/>
            </w:tcBorders>
            <w:vAlign w:val="center"/>
          </w:tcPr>
          <w:p>
            <w:pPr>
              <w:rPr>
                <w:rFonts w:hint="eastAsia" w:ascii="宋体" w:hAnsi="宋体" w:eastAsia="宋体" w:cs="宋体"/>
                <w:color w:val="auto"/>
                <w:szCs w:val="21"/>
                <w:highlight w:val="none"/>
              </w:rPr>
            </w:pPr>
          </w:p>
        </w:tc>
        <w:tc>
          <w:tcPr>
            <w:tcW w:w="332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投标文件有修改的地方已签署或盖章</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tcBorders>
              <w:top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投标报价满足招标文件的报价要求</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完全满足招标文件中标注“★”的条款</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35" w:type="dxa"/>
            <w:vMerge w:val="continue"/>
            <w:vAlign w:val="center"/>
          </w:tcPr>
          <w:p>
            <w:pPr>
              <w:rPr>
                <w:rFonts w:hint="eastAsia" w:ascii="宋体" w:hAnsi="宋体" w:eastAsia="宋体" w:cs="宋体"/>
                <w:color w:val="auto"/>
                <w:szCs w:val="21"/>
                <w:highlight w:val="none"/>
              </w:rPr>
            </w:pPr>
          </w:p>
        </w:tc>
        <w:tc>
          <w:tcPr>
            <w:tcW w:w="477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未出现有关法律、法规、规章或招标文件规定的属于投标无效的情形</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113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477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是否通过符合性审查</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（写“通过”或“不通过”）</w:t>
            </w: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c>
          <w:tcPr>
            <w:tcW w:w="867"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b/>
          <w:color w:val="auto"/>
          <w:highlight w:val="none"/>
        </w:rPr>
      </w:pPr>
    </w:p>
    <w:p>
      <w:pPr>
        <w:autoSpaceDE w:val="0"/>
        <w:autoSpaceDN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评标委员会审查时：</w:t>
      </w:r>
    </w:p>
    <w:p>
      <w:pPr>
        <w:numPr>
          <w:ilvl w:val="0"/>
          <w:numId w:val="8"/>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每一项目符合的打“○”，不符合的打“×”。</w:t>
      </w:r>
    </w:p>
    <w:p>
      <w:pPr>
        <w:numPr>
          <w:ilvl w:val="0"/>
          <w:numId w:val="8"/>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“结论”栏按审查结果通过与否分别写“通过”或“不通过”；任何一项出现“×”结论为“不通过。</w:t>
      </w:r>
    </w:p>
    <w:p>
      <w:pPr>
        <w:numPr>
          <w:ilvl w:val="0"/>
          <w:numId w:val="8"/>
        </w:numPr>
        <w:tabs>
          <w:tab w:val="left" w:pos="540"/>
          <w:tab w:val="left" w:pos="900"/>
          <w:tab w:val="clear" w:pos="312"/>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结论汇总意见采取少数服从多数原则，即超过半数评委的结论为“通过”，则该投标人通过符合性检查，否则不通过。</w:t>
      </w:r>
    </w:p>
    <w:p>
      <w:pPr>
        <w:numPr>
          <w:ilvl w:val="255"/>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05" w:name="_Toc96523889"/>
      <w:bookmarkStart w:id="106" w:name="_Toc24941_WPSOffice_Level1"/>
      <w:bookmarkStart w:id="107" w:name="_Toc17433_WPSOffice_Level2"/>
    </w:p>
    <w:bookmarkEnd w:id="105"/>
    <w:bookmarkEnd w:id="106"/>
    <w:p>
      <w:pPr>
        <w:keepNext/>
        <w:keepLines/>
        <w:spacing w:line="360" w:lineRule="auto"/>
        <w:outlineLvl w:val="2"/>
        <w:rPr>
          <w:rFonts w:hint="eastAsia" w:ascii="宋体" w:hAnsi="宋体" w:eastAsia="宋体" w:cs="宋体"/>
          <w:b/>
          <w:color w:val="auto"/>
          <w:kern w:val="2"/>
          <w:sz w:val="28"/>
          <w:szCs w:val="28"/>
          <w:highlight w:val="none"/>
          <w:lang w:val="en-US" w:eastAsia="zh-CN" w:bidi="ar-SA"/>
        </w:rPr>
      </w:pPr>
      <w:bookmarkStart w:id="108" w:name="_Toc49162532"/>
      <w:bookmarkStart w:id="109" w:name="_Toc462677180"/>
      <w:bookmarkStart w:id="110" w:name="_Toc276645572"/>
      <w:r>
        <w:rPr>
          <w:rFonts w:hint="eastAsia" w:ascii="宋体" w:hAnsi="宋体" w:eastAsia="宋体" w:cs="宋体"/>
          <w:b/>
          <w:color w:val="auto"/>
          <w:kern w:val="2"/>
          <w:sz w:val="28"/>
          <w:szCs w:val="28"/>
          <w:highlight w:val="none"/>
          <w:lang w:val="en-US" w:eastAsia="zh-CN" w:bidi="ar-SA"/>
        </w:rPr>
        <w:t>附表3：商务评分细则表（适用于各包组）（45分）</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169"/>
        <w:gridCol w:w="542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13"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bookmarkStart w:id="111" w:name="_Toc6322232"/>
            <w:bookmarkStart w:id="112" w:name="_Toc49162531"/>
            <w:r>
              <w:rPr>
                <w:rFonts w:hint="eastAsia" w:ascii="宋体" w:hAnsi="宋体" w:eastAsia="宋体" w:cs="宋体"/>
                <w:b/>
                <w:bCs/>
                <w:color w:val="auto"/>
                <w:kern w:val="0"/>
                <w:sz w:val="21"/>
                <w:szCs w:val="21"/>
                <w:highlight w:val="none"/>
              </w:rPr>
              <w:t>序号</w:t>
            </w:r>
          </w:p>
        </w:tc>
        <w:tc>
          <w:tcPr>
            <w:tcW w:w="686"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评分项</w:t>
            </w:r>
          </w:p>
        </w:tc>
        <w:tc>
          <w:tcPr>
            <w:tcW w:w="3186"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c>
          <w:tcPr>
            <w:tcW w:w="613" w:type="pct"/>
            <w:noWrap w:val="0"/>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513" w:type="pct"/>
            <w:noWrap/>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86" w:type="pct"/>
            <w:noWrap/>
            <w:vAlign w:val="center"/>
          </w:tcPr>
          <w:p>
            <w:pPr>
              <w:keepNext w:val="0"/>
              <w:pageBreakBefore w:val="0"/>
              <w:kinsoku/>
              <w:wordWrap/>
              <w:overflowPunct/>
              <w:topLinePunct w:val="0"/>
              <w:autoSpaceDE/>
              <w:autoSpaceDN/>
              <w:bidi w:val="0"/>
              <w:snapToGrid w:val="0"/>
              <w:spacing w:before="46" w:beforeLines="15" w:after="46" w:afterLines="15"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投标人管理实力</w:t>
            </w:r>
          </w:p>
        </w:tc>
        <w:tc>
          <w:tcPr>
            <w:tcW w:w="3186" w:type="pct"/>
            <w:noWrap w:val="0"/>
            <w:vAlign w:val="center"/>
          </w:tcPr>
          <w:p>
            <w:pPr>
              <w:keepNext w:val="0"/>
              <w:pageBreakBefore w:val="0"/>
              <w:kinsoku/>
              <w:wordWrap/>
              <w:overflowPunct/>
              <w:topLinePunct w:val="0"/>
              <w:autoSpaceDE/>
              <w:autoSpaceDN/>
              <w:bidi w:val="0"/>
              <w:spacing w:before="46" w:beforeLines="15" w:after="46" w:afterLines="15" w:line="440" w:lineRule="exac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投标人具有有效期内的质量管理体系认证证书,得6分。</w:t>
            </w:r>
          </w:p>
          <w:p>
            <w:pPr>
              <w:keepNext w:val="0"/>
              <w:pageBreakBefore w:val="0"/>
              <w:kinsoku/>
              <w:wordWrap/>
              <w:overflowPunct/>
              <w:topLinePunct w:val="0"/>
              <w:autoSpaceDE/>
              <w:autoSpaceDN/>
              <w:bidi w:val="0"/>
              <w:spacing w:before="46" w:beforeLines="15" w:after="46" w:afterLines="15" w:line="440" w:lineRule="exact"/>
              <w:jc w:val="left"/>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0"/>
                <w:sz w:val="21"/>
                <w:szCs w:val="21"/>
                <w:highlight w:val="none"/>
                <w:lang w:val="en-US" w:eastAsia="zh-CN"/>
              </w:rPr>
              <w:t>注：需提供证书复印件且加盖投标人公章作为评审依据，已失效或撤销或暂停或不提供的不得分。投标人已具有总公司有效授权的，总公司(或总公司下属机构)取得的相关企业资质对分公司或分支机构有效，若法律法规或招标文件另有规定的从其规定。</w:t>
            </w:r>
          </w:p>
        </w:tc>
        <w:tc>
          <w:tcPr>
            <w:tcW w:w="613" w:type="pct"/>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513" w:type="pct"/>
            <w:noWrap/>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86" w:type="pct"/>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类似</w:t>
            </w:r>
            <w:r>
              <w:rPr>
                <w:rFonts w:hint="eastAsia" w:ascii="宋体" w:hAnsi="宋体" w:eastAsia="宋体" w:cs="宋体"/>
                <w:color w:val="auto"/>
                <w:kern w:val="0"/>
                <w:sz w:val="21"/>
                <w:szCs w:val="21"/>
                <w:highlight w:val="none"/>
              </w:rPr>
              <w:t>项目业绩</w:t>
            </w:r>
          </w:p>
        </w:tc>
        <w:tc>
          <w:tcPr>
            <w:tcW w:w="3186" w:type="pct"/>
            <w:noWrap w:val="0"/>
            <w:vAlign w:val="center"/>
          </w:tcPr>
          <w:p>
            <w:pPr>
              <w:keepNext w:val="0"/>
              <w:pageBreakBefore w:val="0"/>
              <w:kinsoku/>
              <w:wordWrap/>
              <w:overflowPunct/>
              <w:topLinePunct w:val="0"/>
              <w:autoSpaceDE/>
              <w:autoSpaceDN/>
              <w:bidi w:val="0"/>
              <w:spacing w:before="46" w:beforeLines="15" w:after="46" w:afterLines="15"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根据投标人提供的自2022年以来（以合同签订时间为准）类似项目业绩（指网络电路租赁或租用类），每提供一份合同得0.5分，最高得5分。</w:t>
            </w:r>
          </w:p>
          <w:p>
            <w:pPr>
              <w:keepNext w:val="0"/>
              <w:pageBreakBefore w:val="0"/>
              <w:kinsoku/>
              <w:wordWrap/>
              <w:overflowPunct/>
              <w:topLinePunct w:val="0"/>
              <w:autoSpaceDE/>
              <w:autoSpaceDN/>
              <w:bidi w:val="0"/>
              <w:spacing w:before="46" w:beforeLines="15" w:after="46" w:afterLines="15"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需提供合同关键页（包括但不限于合同服务内容页、合同签章页）复印件且加盖投标人公章，否则不得分。投标人已具有总公司有效授权的，总公司(或总公司下属机构)取得的相关业绩对分公司或分支机构有效，若法律法规或招标文件另有规定的从其规定。</w:t>
            </w:r>
          </w:p>
        </w:tc>
        <w:tc>
          <w:tcPr>
            <w:tcW w:w="613" w:type="pct"/>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513" w:type="pct"/>
            <w:noWrap/>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686" w:type="pct"/>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拟投入项目技术人员情况</w:t>
            </w:r>
          </w:p>
        </w:tc>
        <w:tc>
          <w:tcPr>
            <w:tcW w:w="3186" w:type="pct"/>
            <w:noWrap w:val="0"/>
            <w:vAlign w:val="center"/>
          </w:tcPr>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根据投标人拟投入本项目的技术人员的证书进行评审：</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1、具有</w:t>
            </w:r>
            <w:r>
              <w:rPr>
                <w:rFonts w:hint="eastAsia" w:ascii="宋体" w:hAnsi="宋体" w:eastAsia="宋体" w:cs="宋体"/>
                <w:color w:val="auto"/>
                <w:kern w:val="0"/>
                <w:sz w:val="21"/>
                <w:szCs w:val="21"/>
                <w:highlight w:val="none"/>
                <w:lang w:eastAsia="zh-CN"/>
              </w:rPr>
              <w:t>中华人民共和国通信专业技术人员职业水平证书</w:t>
            </w:r>
            <w:r>
              <w:rPr>
                <w:rFonts w:hint="eastAsia" w:ascii="宋体" w:hAnsi="宋体" w:eastAsia="宋体" w:cs="宋体"/>
                <w:color w:val="auto"/>
                <w:kern w:val="0"/>
                <w:sz w:val="21"/>
                <w:szCs w:val="21"/>
                <w:highlight w:val="none"/>
              </w:rPr>
              <w:t>，每个得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分，本小项最高得</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具有人力资源社会保障部、工业和信息化部颁发的中级或以上网络工程师证书</w:t>
            </w:r>
            <w:r>
              <w:rPr>
                <w:rFonts w:hint="eastAsia" w:ascii="宋体" w:hAnsi="宋体" w:eastAsia="宋体" w:cs="宋体"/>
                <w:color w:val="auto"/>
                <w:kern w:val="0"/>
                <w:sz w:val="21"/>
                <w:szCs w:val="21"/>
                <w:highlight w:val="none"/>
              </w:rPr>
              <w:t>，每个得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分，本小项最高得</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keepNext w:val="0"/>
              <w:pageBreakBefore w:val="0"/>
              <w:kinsoku/>
              <w:wordWrap/>
              <w:overflowPunct/>
              <w:topLinePunct w:val="0"/>
              <w:autoSpaceDE/>
              <w:autoSpaceDN/>
              <w:bidi w:val="0"/>
              <w:spacing w:before="46" w:beforeLines="15" w:after="46" w:afterLines="15"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注：须提供项目团队技术人员的证书</w:t>
            </w:r>
            <w:r>
              <w:rPr>
                <w:rFonts w:hint="eastAsia" w:ascii="宋体" w:hAnsi="宋体" w:eastAsia="宋体" w:cs="宋体"/>
                <w:color w:val="auto"/>
                <w:kern w:val="0"/>
                <w:sz w:val="21"/>
                <w:szCs w:val="21"/>
                <w:highlight w:val="none"/>
                <w:lang w:val="en-US" w:eastAsia="zh-CN"/>
              </w:rPr>
              <w:t>复印</w:t>
            </w:r>
            <w:r>
              <w:rPr>
                <w:rFonts w:hint="eastAsia" w:ascii="宋体" w:hAnsi="宋体" w:eastAsia="宋体" w:cs="宋体"/>
                <w:color w:val="auto"/>
                <w:kern w:val="0"/>
                <w:sz w:val="21"/>
                <w:szCs w:val="21"/>
                <w:highlight w:val="none"/>
              </w:rPr>
              <w:t>件，以及投标人为该人员购买的202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1月以来（含1月）任意一个月的社会保险的证明文件作为评审依据，否则不得分。投标人已具有总公司有效授权的，总公司(或总公司下属机构)的人员证明对分公司或分支机构有效，若法律法规或招标文件另有规定的从其规定。同一人具备以上多项证书，可重复计分。</w:t>
            </w:r>
          </w:p>
        </w:tc>
        <w:tc>
          <w:tcPr>
            <w:tcW w:w="613" w:type="pct"/>
            <w:noWrap w:val="0"/>
            <w:vAlign w:val="center"/>
          </w:tcPr>
          <w:p>
            <w:pPr>
              <w:keepNext w:val="0"/>
              <w:pageBreakBefore w:val="0"/>
              <w:widowControl/>
              <w:kinsoku/>
              <w:wordWrap/>
              <w:overflowPunct/>
              <w:topLinePunct w:val="0"/>
              <w:autoSpaceDE/>
              <w:autoSpaceDN/>
              <w:bidi w:val="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3" w:type="pct"/>
            <w:noWrap/>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686" w:type="pct"/>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项目实施完工时间</w:t>
            </w:r>
          </w:p>
        </w:tc>
        <w:tc>
          <w:tcPr>
            <w:tcW w:w="3186" w:type="pct"/>
            <w:noWrap w:val="0"/>
            <w:vAlign w:val="center"/>
          </w:tcPr>
          <w:p>
            <w:pPr>
              <w:keepNext w:val="0"/>
              <w:pageBreakBefore w:val="0"/>
              <w:numPr>
                <w:ilvl w:val="0"/>
                <w:numId w:val="0"/>
              </w:numPr>
              <w:kinsoku/>
              <w:wordWrap/>
              <w:overflowPunct/>
              <w:topLinePunct w:val="0"/>
              <w:autoSpaceDE/>
              <w:autoSpaceDN/>
              <w:bidi w:val="0"/>
              <w:spacing w:before="46" w:beforeLines="15" w:after="46" w:afterLines="15" w:line="440" w:lineRule="exact"/>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根据投标人承诺的完工时间进行评审，完工时间计算方法为从合同签订之日起至验收合格之日止。</w:t>
            </w:r>
          </w:p>
          <w:p>
            <w:pPr>
              <w:keepNext w:val="0"/>
              <w:pageBreakBefore w:val="0"/>
              <w:numPr>
                <w:ilvl w:val="0"/>
                <w:numId w:val="0"/>
              </w:numPr>
              <w:kinsoku/>
              <w:wordWrap/>
              <w:overflowPunct/>
              <w:topLinePunct w:val="0"/>
              <w:autoSpaceDE/>
              <w:autoSpaceDN/>
              <w:bidi w:val="0"/>
              <w:spacing w:before="46" w:beforeLines="15" w:after="46" w:afterLines="15" w:line="440" w:lineRule="exact"/>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承诺30个日历日内完工，得1分，每承诺提前一天完工的得0.5分，最高得10分。</w:t>
            </w:r>
          </w:p>
          <w:p>
            <w:pPr>
              <w:keepNext w:val="0"/>
              <w:pageBreakBefore w:val="0"/>
              <w:numPr>
                <w:ilvl w:val="0"/>
                <w:numId w:val="0"/>
              </w:numPr>
              <w:kinsoku/>
              <w:wordWrap/>
              <w:overflowPunct/>
              <w:topLinePunct w:val="0"/>
              <w:autoSpaceDE/>
              <w:autoSpaceDN/>
              <w:bidi w:val="0"/>
              <w:spacing w:before="46" w:beforeLines="15" w:after="46" w:afterLines="15" w:line="44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注：须提交承诺函。</w:t>
            </w:r>
          </w:p>
        </w:tc>
        <w:tc>
          <w:tcPr>
            <w:tcW w:w="613" w:type="pct"/>
            <w:noWrap w:val="0"/>
            <w:vAlign w:val="center"/>
          </w:tcPr>
          <w:p>
            <w:pPr>
              <w:keepNext w:val="0"/>
              <w:pageBreakBefore w:val="0"/>
              <w:widowControl/>
              <w:kinsoku/>
              <w:wordWrap/>
              <w:overflowPunct/>
              <w:topLinePunct w:val="0"/>
              <w:autoSpaceDE/>
              <w:autoSpaceDN/>
              <w:bidi w:val="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w:t>
            </w:r>
          </w:p>
        </w:tc>
      </w:tr>
    </w:tbl>
    <w:p>
      <w:pPr>
        <w:rPr>
          <w:rFonts w:hint="eastAsia"/>
          <w:color w:val="auto"/>
          <w:highlight w:val="none"/>
          <w:lang w:val="en-US" w:eastAsia="zh-CN"/>
        </w:rPr>
      </w:pPr>
      <w:r>
        <w:rPr>
          <w:rFonts w:hint="eastAsia"/>
          <w:color w:val="auto"/>
          <w:highlight w:val="none"/>
          <w:lang w:val="en-US" w:eastAsia="zh-CN"/>
        </w:rPr>
        <w:br w:type="page"/>
      </w:r>
    </w:p>
    <w:p>
      <w:pPr>
        <w:keepNext/>
        <w:keepLines/>
        <w:spacing w:line="360" w:lineRule="auto"/>
        <w:outlineLvl w:val="2"/>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附表4：</w:t>
      </w:r>
      <w:bookmarkEnd w:id="111"/>
      <w:bookmarkEnd w:id="112"/>
      <w:r>
        <w:rPr>
          <w:rFonts w:hint="eastAsia" w:ascii="宋体" w:hAnsi="宋体" w:eastAsia="宋体" w:cs="宋体"/>
          <w:b/>
          <w:color w:val="auto"/>
          <w:kern w:val="2"/>
          <w:sz w:val="28"/>
          <w:szCs w:val="28"/>
          <w:highlight w:val="none"/>
          <w:lang w:val="en-US" w:eastAsia="zh-CN" w:bidi="ar-SA"/>
        </w:rPr>
        <w:t>服务评分细则表（适用于各包组）（45分）</w:t>
      </w:r>
    </w:p>
    <w:tbl>
      <w:tblPr>
        <w:tblStyle w:val="33"/>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75"/>
        <w:gridCol w:w="543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8"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04"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评分项</w:t>
            </w:r>
          </w:p>
        </w:tc>
        <w:tc>
          <w:tcPr>
            <w:tcW w:w="3258"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c>
          <w:tcPr>
            <w:tcW w:w="619" w:type="pct"/>
            <w:noWrap/>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418" w:type="pct"/>
            <w:noWrap/>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175" w:type="dxa"/>
            <w:noWrap/>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需求理解及总体设计方案</w:t>
            </w:r>
          </w:p>
        </w:tc>
        <w:tc>
          <w:tcPr>
            <w:tcW w:w="5437" w:type="dxa"/>
            <w:noWrap w:val="0"/>
            <w:vAlign w:val="center"/>
          </w:tcPr>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根据投标人提供的需求理解及总体设计方案（线路组网方案、网络质量</w:t>
            </w:r>
            <w:r>
              <w:rPr>
                <w:rFonts w:hint="eastAsia" w:ascii="宋体" w:hAnsi="宋体" w:eastAsia="宋体" w:cs="宋体"/>
                <w:color w:val="auto"/>
                <w:kern w:val="0"/>
                <w:sz w:val="21"/>
                <w:szCs w:val="21"/>
                <w:highlight w:val="none"/>
                <w:lang w:val="en-US" w:eastAsia="zh-CN"/>
              </w:rPr>
              <w:t>情况</w:t>
            </w:r>
            <w:r>
              <w:rPr>
                <w:rFonts w:hint="eastAsia" w:ascii="宋体" w:hAnsi="宋体" w:eastAsia="宋体" w:cs="宋体"/>
                <w:color w:val="auto"/>
                <w:kern w:val="0"/>
                <w:sz w:val="21"/>
                <w:szCs w:val="21"/>
                <w:highlight w:val="none"/>
              </w:rPr>
              <w:t>）进行评审：</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1、项目线路组网方案详细且切实可行，有针对性、有利于项目实施的，网络质量优于采购需求要求的，得</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2、项目线路组网方案详细，可行性较好的，对推动项目实施有一定参考性的，网络质量满足采购需求要求的，得</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3、项目线路组网方案基本合理，可行性一般，内容满足项目实施基本要求，但网络质量达不到采购需求要求的，得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4、未提供相应线路组网方案不得分。</w:t>
            </w:r>
          </w:p>
        </w:tc>
        <w:tc>
          <w:tcPr>
            <w:tcW w:w="1034" w:type="dxa"/>
            <w:noWrap/>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418" w:type="pct"/>
            <w:noWrap/>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75" w:type="dxa"/>
            <w:noWrap w:val="0"/>
            <w:vAlign w:val="center"/>
          </w:tcPr>
          <w:p>
            <w:pPr>
              <w:keepNext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rPr>
              <w:t>网络覆盖及扩展性</w:t>
            </w:r>
          </w:p>
        </w:tc>
        <w:tc>
          <w:tcPr>
            <w:tcW w:w="5437" w:type="dxa"/>
            <w:noWrap w:val="0"/>
            <w:vAlign w:val="center"/>
          </w:tcPr>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投标人在本项目各接入点网络资源覆盖情况：</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≥95%的接入点已有光纤资源接入,得12分；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＜95%，≥80%的接入点已有光纤资源接入,得8分；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＜80%，≥65%的接入点已有光纤资源接入,得4分；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＜65%，≥50%的接入点已有光纤资源接入,得2分；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其他得0分。</w:t>
            </w:r>
          </w:p>
          <w:p>
            <w:pPr>
              <w:keepNext w:val="0"/>
              <w:pageBreakBefore w:val="0"/>
              <w:widowControl/>
              <w:kinsoku/>
              <w:wordWrap/>
              <w:overflowPunct/>
              <w:topLinePunct w:val="0"/>
              <w:autoSpaceDE/>
              <w:autoSpaceDN/>
              <w:bidi w:val="0"/>
              <w:snapToGrid w:val="0"/>
              <w:spacing w:before="46" w:beforeLines="15" w:after="46" w:afterLines="15"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注：投标人须列出已有光纤资源清单、统计总数，提供接入点光纤资源接入的图纸、照片，以及已有光纤资源与需求总数的占比数据，并加盖投标人公章。</w:t>
            </w:r>
          </w:p>
        </w:tc>
        <w:tc>
          <w:tcPr>
            <w:tcW w:w="1034" w:type="dxa"/>
            <w:noWrap/>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418" w:type="pct"/>
            <w:noWrap/>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75" w:type="dxa"/>
            <w:noWrap w:val="0"/>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rPr>
              <w:t>售后服务方案</w:t>
            </w:r>
          </w:p>
        </w:tc>
        <w:tc>
          <w:tcPr>
            <w:tcW w:w="5437" w:type="dxa"/>
            <w:noWrap w:val="0"/>
            <w:vAlign w:val="center"/>
          </w:tcPr>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根据各投标人制定的售后服务方案（故障响应时间、售后服务团队）进行评审：</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1、投标人的项目售后服务方案详细，维护响应时间及时，应急处理措施到位，有针对性，提供专职售后工程师进行技术支撑和故障处理，有利于项目服务响应的，得15分；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2、投标人的项目售后服务方案较详细，维护响应速度较快，应急处理措施一般，对项目服务响应有一定参考性的，提供专职售后工程师进行技术支撑和故障处理，得9分；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3、投标人的项目售后服务方案简单，响应速度不及时，应急处理措施简单，未提供专职售后工程师进行技术支撑和故障处理，得3分。</w:t>
            </w:r>
          </w:p>
          <w:p>
            <w:pPr>
              <w:keepNext w:val="0"/>
              <w:pageBreakBefore w:val="0"/>
              <w:kinsoku/>
              <w:wordWrap/>
              <w:overflowPunct/>
              <w:topLinePunct w:val="0"/>
              <w:autoSpaceDE/>
              <w:autoSpaceDN/>
              <w:bidi w:val="0"/>
              <w:snapToGrid w:val="0"/>
              <w:spacing w:before="46" w:beforeLines="15" w:after="46" w:afterLines="15" w:line="44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4、对不满足要求或未提供方案的不得分。</w:t>
            </w:r>
          </w:p>
        </w:tc>
        <w:tc>
          <w:tcPr>
            <w:tcW w:w="1034" w:type="dxa"/>
            <w:noWrap/>
            <w:vAlign w:val="center"/>
          </w:tcPr>
          <w:p>
            <w:pPr>
              <w:keepNext w:val="0"/>
              <w:pageBreakBefore w:val="0"/>
              <w:widowControl/>
              <w:kinsoku/>
              <w:wordWrap/>
              <w:overflowPunct/>
              <w:topLinePunct w:val="0"/>
              <w:autoSpaceDE/>
              <w:autoSpaceDN/>
              <w:bidi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r>
    </w:tbl>
    <w:p>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pPr>
        <w:keepNext/>
        <w:keepLines/>
        <w:spacing w:line="360" w:lineRule="auto"/>
        <w:outlineLvl w:val="2"/>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附表5：价格评分细则表（适用于各包组）（10分）</w:t>
      </w:r>
      <w:bookmarkEnd w:id="108"/>
    </w:p>
    <w:bookmarkEnd w:id="109"/>
    <w:bookmarkEnd w:id="110"/>
    <w:tbl>
      <w:tblPr>
        <w:tblStyle w:val="3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44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8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64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c>
          <w:tcPr>
            <w:tcW w:w="107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80" w:type="dxa"/>
            <w:tcBorders>
              <w:bottom w:val="single" w:color="auto" w:sz="4" w:space="0"/>
            </w:tcBorders>
            <w:noWrap w:val="0"/>
            <w:vAlign w:val="center"/>
          </w:tcPr>
          <w:p>
            <w:pPr>
              <w:widowControl/>
              <w:spacing w:line="360" w:lineRule="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6446" w:type="dxa"/>
            <w:tcBorders>
              <w:bottom w:val="single" w:color="auto" w:sz="4" w:space="0"/>
            </w:tcBorders>
            <w:noWrap w:val="0"/>
            <w:vAlign w:val="center"/>
          </w:tcPr>
          <w:p>
            <w:pPr>
              <w:widowControl/>
              <w:adjustRightInd w:val="0"/>
              <w:snapToGrid w:val="0"/>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综合评分法中的价格分统一采用低价优先法计算，即满足招标文件要求（通过资格和符合性审查）且投标价格最低的有效投标报价为评标基准价，其价格分为满分。其他投标人的价格分统一按照下列公式计算：</w:t>
            </w:r>
          </w:p>
          <w:p>
            <w:pPr>
              <w:pStyle w:val="2"/>
              <w:widowControl/>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投标报价得分=（评标基准价/投标报价）×1</w:t>
            </w:r>
            <w:r>
              <w:rPr>
                <w:rFonts w:hint="eastAsia" w:ascii="宋体" w:hAnsi="宋体" w:eastAsia="宋体" w:cs="宋体"/>
                <w:color w:val="auto"/>
                <w:sz w:val="21"/>
                <w:szCs w:val="21"/>
                <w:highlight w:val="none"/>
                <w:lang w:val="en-US" w:eastAsia="zh-CN"/>
              </w:rPr>
              <w:t>0</w:t>
            </w:r>
          </w:p>
        </w:tc>
        <w:tc>
          <w:tcPr>
            <w:tcW w:w="1074" w:type="dxa"/>
            <w:tcBorders>
              <w:bottom w:val="single" w:color="auto" w:sz="4" w:space="0"/>
            </w:tcBorders>
            <w:noWrap w:val="0"/>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500" w:type="dxa"/>
            <w:gridSpan w:val="3"/>
            <w:tcBorders>
              <w:top w:val="single" w:color="auto" w:sz="4" w:space="0"/>
              <w:left w:val="nil"/>
              <w:bottom w:val="nil"/>
              <w:right w:val="nil"/>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项目如果“属于专门面向中小企业采购的项目”，将无需进行价格扣除；如果“不属于专门面向中小企业采购的项目”，将可以进行价格扣除，未明确的情形视为“不属于专门面向中小企业采购的项目”。</w:t>
            </w:r>
          </w:p>
        </w:tc>
      </w:tr>
    </w:tbl>
    <w:p>
      <w:pPr>
        <w:rPr>
          <w:color w:val="auto"/>
          <w:highlight w:val="none"/>
        </w:rPr>
      </w:pPr>
    </w:p>
    <w:p>
      <w:pPr>
        <w:widowControl/>
        <w:jc w:val="left"/>
        <w:rPr>
          <w:rFonts w:ascii="宋体" w:hAnsi="宋体" w:eastAsia="宋体" w:cs="宋体"/>
          <w:color w:val="auto"/>
          <w:highlight w:val="none"/>
        </w:rPr>
      </w:pPr>
      <w:r>
        <w:rPr>
          <w:rFonts w:ascii="宋体" w:hAnsi="宋体" w:eastAsia="宋体" w:cs="宋体"/>
          <w:color w:val="auto"/>
          <w:highlight w:val="none"/>
        </w:rPr>
        <w:br w:type="page"/>
      </w:r>
    </w:p>
    <w:bookmarkEnd w:id="107"/>
    <w:p>
      <w:pPr>
        <w:pStyle w:val="4"/>
        <w:jc w:val="center"/>
        <w:rPr>
          <w:rFonts w:ascii="宋体" w:hAnsi="宋体" w:eastAsia="宋体" w:cs="宋体"/>
          <w:color w:val="auto"/>
          <w:highlight w:val="none"/>
        </w:rPr>
      </w:pPr>
      <w:bookmarkStart w:id="113" w:name="_Toc96523892"/>
      <w:bookmarkEnd w:id="113"/>
      <w:bookmarkStart w:id="114" w:name="_Toc96523926"/>
      <w:bookmarkStart w:id="115" w:name="_Toc13258"/>
      <w:r>
        <w:rPr>
          <w:rFonts w:hint="eastAsia" w:ascii="宋体" w:hAnsi="宋体" w:eastAsia="宋体" w:cs="宋体"/>
          <w:color w:val="auto"/>
          <w:highlight w:val="none"/>
        </w:rPr>
        <w:t>第四部分拟签订的合同文本</w:t>
      </w:r>
      <w:bookmarkEnd w:id="114"/>
      <w:bookmarkEnd w:id="115"/>
    </w:p>
    <w:p>
      <w:pPr>
        <w:pStyle w:val="17"/>
        <w:keepNext w:val="0"/>
        <w:keepLines w:val="0"/>
        <w:pageBreakBefore w:val="0"/>
        <w:widowControl w:val="0"/>
        <w:kinsoku/>
        <w:wordWrap/>
        <w:overflowPunct/>
        <w:bidi w:val="0"/>
        <w:adjustRightInd/>
        <w:jc w:val="center"/>
        <w:textAlignment w:val="auto"/>
        <w:outlineLvl w:val="9"/>
        <w:rPr>
          <w:rFonts w:hint="eastAsia" w:ascii="宋体" w:hAnsi="宋体" w:eastAsia="宋体" w:cs="宋体"/>
          <w:b/>
          <w:color w:val="auto"/>
          <w:sz w:val="44"/>
          <w:szCs w:val="44"/>
          <w:highlight w:val="none"/>
          <w:lang w:eastAsia="zh-CN"/>
        </w:rPr>
      </w:pPr>
    </w:p>
    <w:p>
      <w:pPr>
        <w:kinsoku w:val="0"/>
        <w:overflowPunct w:val="0"/>
        <w:spacing w:line="360" w:lineRule="auto"/>
        <w:ind w:left="4"/>
        <w:jc w:val="center"/>
        <w:rPr>
          <w:rFonts w:ascii="宋体" w:hAnsi="宋体" w:eastAsia="宋体" w:cs="等线"/>
          <w:b/>
          <w:sz w:val="44"/>
          <w:szCs w:val="44"/>
          <w:highlight w:val="none"/>
        </w:rPr>
      </w:pPr>
      <w:r>
        <w:rPr>
          <w:rFonts w:hint="eastAsia" w:ascii="宋体" w:hAnsi="宋体" w:eastAsia="宋体" w:cs="等线"/>
          <w:b/>
          <w:sz w:val="44"/>
          <w:szCs w:val="44"/>
          <w:highlight w:val="none"/>
        </w:rPr>
        <w:t>网络电路租赁服务采购合同</w:t>
      </w:r>
    </w:p>
    <w:p>
      <w:pPr>
        <w:kinsoku w:val="0"/>
        <w:overflowPunct w:val="0"/>
        <w:spacing w:line="360" w:lineRule="auto"/>
        <w:rPr>
          <w:rFonts w:ascii="宋体" w:hAnsi="宋体" w:eastAsia="宋体" w:cs="等线"/>
          <w:b/>
          <w:sz w:val="24"/>
          <w:szCs w:val="24"/>
          <w:highlight w:val="none"/>
        </w:rPr>
      </w:pPr>
      <w:r>
        <w:rPr>
          <w:rFonts w:hint="eastAsia" w:ascii="宋体" w:hAnsi="宋体" w:eastAsia="宋体" w:cs="等线"/>
          <w:b/>
          <w:sz w:val="24"/>
          <w:szCs w:val="24"/>
          <w:highlight w:val="none"/>
        </w:rPr>
        <w:t xml:space="preserve"> </w:t>
      </w:r>
    </w:p>
    <w:p>
      <w:pPr>
        <w:kinsoku w:val="0"/>
        <w:overflowPunct w:val="0"/>
        <w:spacing w:line="360" w:lineRule="auto"/>
        <w:rPr>
          <w:rFonts w:ascii="宋体" w:hAnsi="宋体" w:eastAsia="宋体" w:cs="等线"/>
          <w:b/>
          <w:sz w:val="24"/>
          <w:szCs w:val="24"/>
          <w:highlight w:val="none"/>
        </w:rPr>
      </w:pPr>
      <w:r>
        <w:rPr>
          <w:rFonts w:hint="eastAsia" w:ascii="宋体" w:hAnsi="宋体" w:eastAsia="宋体" w:cs="等线"/>
          <w:b/>
          <w:sz w:val="24"/>
          <w:szCs w:val="24"/>
          <w:highlight w:val="none"/>
        </w:rPr>
        <w:t xml:space="preserve"> </w:t>
      </w:r>
    </w:p>
    <w:p>
      <w:pPr>
        <w:kinsoku w:val="0"/>
        <w:overflowPunct w:val="0"/>
        <w:spacing w:line="360" w:lineRule="auto"/>
        <w:rPr>
          <w:rFonts w:ascii="宋体" w:hAnsi="宋体" w:eastAsia="宋体" w:cs="等线"/>
          <w:b/>
          <w:sz w:val="24"/>
          <w:szCs w:val="24"/>
          <w:highlight w:val="none"/>
        </w:rPr>
      </w:pPr>
      <w:r>
        <w:rPr>
          <w:rFonts w:hint="eastAsia" w:ascii="宋体" w:hAnsi="宋体" w:eastAsia="宋体" w:cs="等线"/>
          <w:b/>
          <w:sz w:val="24"/>
          <w:szCs w:val="24"/>
          <w:highlight w:val="none"/>
        </w:rPr>
        <w:t xml:space="preserve"> </w:t>
      </w:r>
    </w:p>
    <w:p>
      <w:pPr>
        <w:kinsoku w:val="0"/>
        <w:overflowPunct w:val="0"/>
        <w:spacing w:line="360" w:lineRule="auto"/>
        <w:ind w:left="5"/>
        <w:jc w:val="left"/>
        <w:rPr>
          <w:rFonts w:ascii="宋体" w:hAnsi="宋体" w:eastAsia="宋体" w:cs="等线"/>
          <w:b/>
          <w:spacing w:val="-1"/>
          <w:sz w:val="32"/>
          <w:szCs w:val="32"/>
          <w:highlight w:val="none"/>
        </w:rPr>
      </w:pPr>
      <w:r>
        <w:rPr>
          <w:rFonts w:hint="eastAsia" w:ascii="宋体" w:hAnsi="宋体" w:eastAsia="宋体" w:cs="等线"/>
          <w:b/>
          <w:spacing w:val="-1"/>
          <w:sz w:val="32"/>
          <w:szCs w:val="32"/>
          <w:highlight w:val="none"/>
        </w:rPr>
        <w:t>项目名称：国家税务总局阳江市税务局网络电路租赁</w:t>
      </w:r>
    </w:p>
    <w:p>
      <w:pPr>
        <w:kinsoku w:val="0"/>
        <w:overflowPunct w:val="0"/>
        <w:spacing w:line="360" w:lineRule="auto"/>
        <w:ind w:firstLine="1680"/>
        <w:jc w:val="left"/>
        <w:rPr>
          <w:rFonts w:ascii="宋体" w:hAnsi="宋体" w:eastAsia="宋体" w:cs="等线"/>
          <w:b/>
          <w:spacing w:val="-1"/>
          <w:sz w:val="32"/>
          <w:szCs w:val="32"/>
          <w:highlight w:val="none"/>
        </w:rPr>
      </w:pPr>
      <w:r>
        <w:rPr>
          <w:rFonts w:hint="eastAsia" w:ascii="宋体" w:hAnsi="宋体" w:eastAsia="宋体" w:cs="等线"/>
          <w:b/>
          <w:spacing w:val="-1"/>
          <w:sz w:val="32"/>
          <w:szCs w:val="32"/>
          <w:highlight w:val="none"/>
        </w:rPr>
        <w:t>服务采购项目</w:t>
      </w:r>
    </w:p>
    <w:p>
      <w:pPr>
        <w:kinsoku w:val="0"/>
        <w:overflowPunct w:val="0"/>
        <w:spacing w:line="360" w:lineRule="auto"/>
        <w:ind w:left="5"/>
        <w:jc w:val="left"/>
        <w:rPr>
          <w:rFonts w:ascii="宋体" w:hAnsi="宋体" w:eastAsia="宋体" w:cs="等线"/>
          <w:b/>
          <w:spacing w:val="-1"/>
          <w:sz w:val="32"/>
          <w:szCs w:val="32"/>
          <w:highlight w:val="none"/>
        </w:rPr>
      </w:pPr>
      <w:r>
        <w:rPr>
          <w:rFonts w:hint="eastAsia" w:ascii="宋体" w:hAnsi="宋体" w:eastAsia="宋体" w:cs="等线"/>
          <w:b/>
          <w:spacing w:val="-1"/>
          <w:sz w:val="32"/>
          <w:szCs w:val="32"/>
          <w:highlight w:val="none"/>
        </w:rPr>
        <w:t>项目编号：</w:t>
      </w:r>
    </w:p>
    <w:p>
      <w:pPr>
        <w:kinsoku w:val="0"/>
        <w:overflowPunct w:val="0"/>
        <w:spacing w:line="360" w:lineRule="auto"/>
        <w:rPr>
          <w:rFonts w:ascii="宋体" w:hAnsi="宋体" w:eastAsia="宋体" w:cs="等线"/>
          <w:b/>
          <w:sz w:val="24"/>
          <w:szCs w:val="24"/>
          <w:highlight w:val="none"/>
        </w:rPr>
      </w:pPr>
    </w:p>
    <w:p>
      <w:pPr>
        <w:kinsoku w:val="0"/>
        <w:overflowPunct w:val="0"/>
        <w:spacing w:line="360" w:lineRule="auto"/>
        <w:rPr>
          <w:rFonts w:ascii="宋体" w:hAnsi="宋体" w:eastAsia="宋体" w:cs="等线"/>
          <w:b/>
          <w:sz w:val="24"/>
          <w:szCs w:val="24"/>
          <w:highlight w:val="none"/>
        </w:rPr>
      </w:pPr>
      <w:r>
        <w:rPr>
          <w:rFonts w:hint="eastAsia" w:ascii="宋体" w:hAnsi="宋体" w:eastAsia="宋体" w:cs="等线"/>
          <w:b/>
          <w:sz w:val="24"/>
          <w:szCs w:val="24"/>
          <w:highlight w:val="none"/>
        </w:rPr>
        <w:t xml:space="preserve"> </w:t>
      </w:r>
    </w:p>
    <w:p>
      <w:pPr>
        <w:kinsoku w:val="0"/>
        <w:overflowPunct w:val="0"/>
        <w:spacing w:line="360" w:lineRule="auto"/>
        <w:rPr>
          <w:rFonts w:ascii="宋体" w:hAnsi="宋体" w:eastAsia="宋体" w:cs="等线"/>
          <w:b/>
          <w:sz w:val="24"/>
          <w:szCs w:val="24"/>
          <w:highlight w:val="none"/>
        </w:rPr>
      </w:pPr>
      <w:r>
        <w:rPr>
          <w:rFonts w:hint="eastAsia" w:ascii="宋体" w:hAnsi="宋体" w:eastAsia="宋体" w:cs="等线"/>
          <w:b/>
          <w:sz w:val="24"/>
          <w:szCs w:val="24"/>
          <w:highlight w:val="none"/>
        </w:rPr>
        <w:t xml:space="preserve"> </w:t>
      </w: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pacing w:val="-1"/>
          <w:sz w:val="32"/>
          <w:szCs w:val="32"/>
          <w:highlight w:val="none"/>
        </w:rPr>
      </w:pPr>
    </w:p>
    <w:p>
      <w:pPr>
        <w:kinsoku w:val="0"/>
        <w:overflowPunct w:val="0"/>
        <w:spacing w:line="360" w:lineRule="auto"/>
        <w:ind w:left="5"/>
        <w:jc w:val="center"/>
        <w:rPr>
          <w:rFonts w:ascii="宋体" w:hAnsi="宋体" w:eastAsia="宋体" w:cs="等线"/>
          <w:b/>
          <w:sz w:val="32"/>
          <w:szCs w:val="32"/>
          <w:highlight w:val="none"/>
        </w:rPr>
      </w:pPr>
      <w:r>
        <w:rPr>
          <w:rFonts w:hint="eastAsia" w:ascii="宋体" w:hAnsi="宋体" w:eastAsia="宋体" w:cs="等线"/>
          <w:b/>
          <w:spacing w:val="-1"/>
          <w:sz w:val="32"/>
          <w:szCs w:val="32"/>
          <w:highlight w:val="none"/>
        </w:rPr>
        <w:t>签订日期：2</w:t>
      </w:r>
      <w:r>
        <w:rPr>
          <w:rFonts w:ascii="宋体" w:hAnsi="宋体" w:eastAsia="宋体" w:cs="等线"/>
          <w:b/>
          <w:spacing w:val="-1"/>
          <w:sz w:val="32"/>
          <w:szCs w:val="32"/>
          <w:highlight w:val="none"/>
        </w:rPr>
        <w:t>02</w:t>
      </w:r>
      <w:r>
        <w:rPr>
          <w:rFonts w:hint="eastAsia" w:ascii="宋体" w:hAnsi="宋体" w:eastAsia="宋体" w:cs="等线"/>
          <w:b/>
          <w:spacing w:val="-1"/>
          <w:sz w:val="32"/>
          <w:szCs w:val="32"/>
          <w:highlight w:val="none"/>
          <w:lang w:val="en-US" w:eastAsia="zh-CN"/>
        </w:rPr>
        <w:t>5</w:t>
      </w:r>
      <w:r>
        <w:rPr>
          <w:rFonts w:ascii="宋体" w:hAnsi="宋体" w:eastAsia="宋体" w:cs="等线"/>
          <w:b/>
          <w:spacing w:val="-1"/>
          <w:sz w:val="32"/>
          <w:szCs w:val="32"/>
          <w:highlight w:val="none"/>
        </w:rPr>
        <w:t xml:space="preserve"> </w:t>
      </w:r>
      <w:r>
        <w:rPr>
          <w:rFonts w:hint="eastAsia" w:ascii="宋体" w:hAnsi="宋体" w:eastAsia="宋体" w:cs="等线"/>
          <w:b/>
          <w:spacing w:val="-1"/>
          <w:sz w:val="32"/>
          <w:szCs w:val="32"/>
          <w:highlight w:val="none"/>
        </w:rPr>
        <w:t xml:space="preserve">年 </w:t>
      </w:r>
      <w:r>
        <w:rPr>
          <w:rFonts w:ascii="宋体" w:hAnsi="宋体" w:eastAsia="宋体" w:cs="等线"/>
          <w:b/>
          <w:spacing w:val="-1"/>
          <w:sz w:val="32"/>
          <w:szCs w:val="32"/>
          <w:highlight w:val="none"/>
        </w:rPr>
        <w:t xml:space="preserve"> </w:t>
      </w:r>
      <w:r>
        <w:rPr>
          <w:rFonts w:hint="eastAsia" w:ascii="宋体" w:hAnsi="宋体" w:eastAsia="宋体" w:cs="等线"/>
          <w:b/>
          <w:sz w:val="32"/>
          <w:szCs w:val="32"/>
          <w:highlight w:val="none"/>
        </w:rPr>
        <w:t>月</w:t>
      </w:r>
      <w:r>
        <w:rPr>
          <w:rFonts w:hint="eastAsia" w:ascii="宋体" w:hAnsi="宋体" w:eastAsia="宋体" w:cs="等线"/>
          <w:b/>
          <w:sz w:val="32"/>
          <w:szCs w:val="32"/>
          <w:highlight w:val="none"/>
        </w:rPr>
        <w:tab/>
      </w:r>
      <w:r>
        <w:rPr>
          <w:rFonts w:ascii="宋体" w:hAnsi="宋体" w:eastAsia="宋体" w:cs="等线"/>
          <w:b/>
          <w:sz w:val="32"/>
          <w:szCs w:val="32"/>
          <w:highlight w:val="none"/>
        </w:rPr>
        <w:t xml:space="preserve">  </w:t>
      </w:r>
      <w:r>
        <w:rPr>
          <w:rFonts w:hint="eastAsia" w:ascii="宋体" w:hAnsi="宋体" w:eastAsia="宋体" w:cs="等线"/>
          <w:b/>
          <w:sz w:val="32"/>
          <w:szCs w:val="32"/>
          <w:highlight w:val="none"/>
        </w:rPr>
        <w:t>日</w:t>
      </w:r>
    </w:p>
    <w:p>
      <w:pPr>
        <w:kinsoku w:val="0"/>
        <w:overflowPunct w:val="0"/>
        <w:spacing w:line="360" w:lineRule="auto"/>
        <w:ind w:left="5"/>
        <w:jc w:val="center"/>
        <w:rPr>
          <w:rFonts w:ascii="宋体" w:hAnsi="宋体" w:eastAsia="宋体" w:cs="等线"/>
          <w:b/>
          <w:sz w:val="32"/>
          <w:szCs w:val="32"/>
          <w:highlight w:val="none"/>
        </w:rPr>
      </w:pPr>
    </w:p>
    <w:p>
      <w:pPr>
        <w:adjustRightInd w:val="0"/>
        <w:spacing w:line="360" w:lineRule="auto"/>
        <w:textAlignment w:val="baseline"/>
        <w:rPr>
          <w:rFonts w:ascii="宋体" w:hAnsi="宋体" w:cs="宋体"/>
          <w:b/>
          <w:bCs/>
          <w:kern w:val="0"/>
          <w:sz w:val="24"/>
          <w:highlight w:val="none"/>
        </w:rPr>
      </w:pPr>
      <w:r>
        <w:rPr>
          <w:rFonts w:hint="eastAsia" w:ascii="宋体" w:hAnsi="宋体" w:cs="宋体"/>
          <w:b/>
          <w:bCs/>
          <w:kern w:val="0"/>
          <w:sz w:val="24"/>
          <w:highlight w:val="none"/>
        </w:rPr>
        <w:t>注：本合同仅为合同的参考文本，合同签订双方可根据项目的具体要求进行修订，但不得与招标文件、投标文件的实质性内容相背离。</w:t>
      </w:r>
    </w:p>
    <w:p>
      <w:pPr>
        <w:kinsoku w:val="0"/>
        <w:overflowPunct w:val="0"/>
        <w:spacing w:line="360" w:lineRule="auto"/>
        <w:ind w:left="5"/>
        <w:jc w:val="center"/>
        <w:rPr>
          <w:rFonts w:ascii="宋体" w:hAnsi="宋体" w:eastAsia="宋体" w:cs="等线"/>
          <w:b/>
          <w:sz w:val="24"/>
          <w:szCs w:val="24"/>
          <w:highlight w:val="none"/>
        </w:rPr>
      </w:pPr>
    </w:p>
    <w:p>
      <w:pPr>
        <w:kinsoku w:val="0"/>
        <w:overflowPunct w:val="0"/>
        <w:spacing w:line="360" w:lineRule="auto"/>
        <w:ind w:firstLine="210" w:firstLineChars="100"/>
        <w:rPr>
          <w:rFonts w:hint="eastAsia" w:ascii="宋体" w:hAnsi="宋体" w:eastAsia="宋体" w:cs="宋体"/>
          <w:bCs/>
          <w:szCs w:val="21"/>
          <w:highlight w:val="none"/>
        </w:rPr>
      </w:pPr>
      <w:bookmarkStart w:id="116" w:name="_Toc78604604"/>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甲方（全称）：</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统一社会信用代码：          </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地址： </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法定代表人/负责人： </w:t>
      </w:r>
    </w:p>
    <w:p>
      <w:pPr>
        <w:pStyle w:val="20"/>
        <w:rPr>
          <w:rFonts w:eastAsia="宋体"/>
          <w:highlight w:val="none"/>
        </w:rPr>
      </w:pP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甲方（全称）：</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统一社会信用代码：          </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地址： </w:t>
      </w:r>
    </w:p>
    <w:p>
      <w:pPr>
        <w:kinsoku w:val="0"/>
        <w:overflowPunct w:val="0"/>
        <w:spacing w:line="360" w:lineRule="auto"/>
        <w:ind w:firstLine="210" w:firstLineChars="100"/>
        <w:rPr>
          <w:rFonts w:ascii="宋体" w:hAnsi="宋体" w:eastAsia="宋体" w:cs="宋体"/>
          <w:bCs/>
          <w:szCs w:val="21"/>
          <w:highlight w:val="none"/>
        </w:rPr>
      </w:pPr>
      <w:r>
        <w:rPr>
          <w:rFonts w:hint="eastAsia" w:ascii="宋体" w:hAnsi="宋体" w:eastAsia="宋体" w:cs="宋体"/>
          <w:bCs/>
          <w:szCs w:val="21"/>
          <w:highlight w:val="none"/>
        </w:rPr>
        <w:t xml:space="preserve">法定代表人/负责人： </w:t>
      </w:r>
    </w:p>
    <w:p>
      <w:pPr>
        <w:spacing w:line="360" w:lineRule="auto"/>
        <w:ind w:firstLine="420" w:firstLineChars="200"/>
        <w:rPr>
          <w:rFonts w:ascii="宋体" w:hAnsi="宋体" w:eastAsia="宋体" w:cs="Times New Roman"/>
          <w:kern w:val="28"/>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u w:val="single"/>
        </w:rPr>
        <w:t>国家税务总局阳江市税务局网络电路租赁服务采购项目</w:t>
      </w:r>
      <w:r>
        <w:rPr>
          <w:rFonts w:hint="eastAsia" w:ascii="宋体" w:hAnsi="宋体" w:eastAsia="宋体" w:cs="Times New Roman"/>
          <w:szCs w:val="21"/>
          <w:highlight w:val="none"/>
        </w:rPr>
        <w:t>的采购结果和有关招标投标文件的相关内容，按照《中华人民共和国政府采购法》、《中华人民共和国民法典》及国家有关法律法规规定，</w:t>
      </w:r>
      <w:r>
        <w:rPr>
          <w:rFonts w:hint="eastAsia" w:ascii="宋体" w:hAnsi="宋体" w:eastAsia="宋体" w:cs="Times New Roman"/>
          <w:kern w:val="28"/>
          <w:szCs w:val="21"/>
          <w:highlight w:val="none"/>
        </w:rPr>
        <w:t>经双方协商，</w:t>
      </w:r>
      <w:r>
        <w:rPr>
          <w:rFonts w:hint="eastAsia" w:ascii="宋体" w:hAnsi="宋体" w:eastAsia="宋体" w:cs="Times New Roman"/>
          <w:szCs w:val="21"/>
          <w:highlight w:val="none"/>
        </w:rPr>
        <w:t>本着平等互利和诚实信用的原则，确认并</w:t>
      </w:r>
      <w:r>
        <w:rPr>
          <w:rFonts w:hint="eastAsia" w:ascii="宋体" w:hAnsi="宋体" w:eastAsia="宋体" w:cs="Times New Roman"/>
          <w:kern w:val="28"/>
          <w:szCs w:val="21"/>
          <w:highlight w:val="none"/>
        </w:rPr>
        <w:t>一致同意签订本合同如下。</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第一条 合同金额及结算、付款方式</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1、本合同金额为人民币大写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元 （¥</w:t>
      </w:r>
      <w:r>
        <w:rPr>
          <w:rFonts w:ascii="宋体" w:hAnsi="宋体" w:eastAsia="宋体" w:cs="宋体"/>
          <w:szCs w:val="21"/>
          <w:highlight w:val="none"/>
          <w:u w:val="single"/>
        </w:rPr>
        <w:t xml:space="preserve">            </w:t>
      </w:r>
      <w:r>
        <w:rPr>
          <w:rFonts w:hint="eastAsia" w:ascii="宋体" w:hAnsi="宋体" w:eastAsia="宋体" w:cs="宋体"/>
          <w:szCs w:val="21"/>
          <w:highlight w:val="none"/>
        </w:rPr>
        <w:t>元）。</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2、结算及付款方式：</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2" w:firstLineChars="200"/>
        <w:rPr>
          <w:rFonts w:ascii="宋体" w:hAnsi="宋体" w:eastAsia="宋体" w:cs="楷体"/>
          <w:b/>
          <w:bCs/>
          <w:szCs w:val="21"/>
          <w:highlight w:val="none"/>
        </w:rPr>
      </w:pPr>
      <w:r>
        <w:rPr>
          <w:rFonts w:hint="eastAsia" w:ascii="宋体" w:hAnsi="宋体" w:eastAsia="宋体" w:cs="楷体"/>
          <w:b/>
          <w:bCs/>
          <w:szCs w:val="21"/>
          <w:highlight w:val="none"/>
        </w:rPr>
        <w:t>（1）结算方式</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电路月租费从项目验收合格之日起计算，甲方租赁使用的网络电路每月服务费用为</w:t>
      </w: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元 （¥</w:t>
      </w:r>
      <w:r>
        <w:rPr>
          <w:rFonts w:ascii="宋体" w:hAnsi="宋体" w:eastAsia="宋体" w:cs="宋体"/>
          <w:szCs w:val="21"/>
          <w:highlight w:val="none"/>
          <w:u w:val="single"/>
        </w:rPr>
        <w:t xml:space="preserve">            </w:t>
      </w:r>
      <w:r>
        <w:rPr>
          <w:rFonts w:hint="eastAsia" w:ascii="宋体" w:hAnsi="宋体" w:eastAsia="宋体" w:cs="宋体"/>
          <w:szCs w:val="21"/>
          <w:highlight w:val="none"/>
        </w:rPr>
        <w:t>元），两年费用合计为人民币大写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元 （¥</w:t>
      </w:r>
      <w:r>
        <w:rPr>
          <w:rFonts w:ascii="宋体" w:hAnsi="宋体" w:eastAsia="宋体" w:cs="宋体"/>
          <w:szCs w:val="21"/>
          <w:highlight w:val="none"/>
          <w:u w:val="single"/>
        </w:rPr>
        <w:t xml:space="preserve">            </w:t>
      </w:r>
      <w:r>
        <w:rPr>
          <w:rFonts w:hint="eastAsia" w:ascii="宋体" w:hAnsi="宋体" w:eastAsia="宋体" w:cs="宋体"/>
          <w:szCs w:val="21"/>
          <w:highlight w:val="none"/>
        </w:rPr>
        <w:t>元），租赁使用的网络电路详见本合同第三条具体清单</w:t>
      </w:r>
      <w:r>
        <w:rPr>
          <w:rFonts w:hint="eastAsia" w:ascii="宋体" w:hAnsi="宋体" w:eastAsia="宋体" w:cs="Times New Roman"/>
          <w:szCs w:val="21"/>
          <w:highlight w:val="none"/>
        </w:rPr>
        <w:t>。</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2" w:firstLineChars="200"/>
        <w:rPr>
          <w:rFonts w:ascii="宋体" w:hAnsi="宋体" w:eastAsia="宋体" w:cs="楷体"/>
          <w:b/>
          <w:bCs/>
          <w:szCs w:val="21"/>
          <w:highlight w:val="none"/>
        </w:rPr>
      </w:pPr>
      <w:r>
        <w:rPr>
          <w:rFonts w:hint="eastAsia" w:ascii="宋体" w:hAnsi="宋体" w:eastAsia="宋体" w:cs="楷体"/>
          <w:b/>
          <w:bCs/>
          <w:szCs w:val="21"/>
          <w:highlight w:val="none"/>
        </w:rPr>
        <w:t>（2）付款方式</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1）甲方收到乙方的发票，经核对无误后，应当在1</w:t>
      </w:r>
      <w:r>
        <w:rPr>
          <w:rFonts w:hint="eastAsia" w:ascii="宋体" w:hAnsi="宋体" w:eastAsia="宋体" w:cs="Times New Roman"/>
          <w:szCs w:val="21"/>
          <w:highlight w:val="none"/>
          <w:lang w:val="en-US" w:eastAsia="zh-CN"/>
        </w:rPr>
        <w:t>0</w:t>
      </w:r>
      <w:r>
        <w:rPr>
          <w:rFonts w:hint="eastAsia" w:ascii="宋体" w:hAnsi="宋体" w:eastAsia="宋体" w:cs="Times New Roman"/>
          <w:szCs w:val="21"/>
          <w:highlight w:val="none"/>
        </w:rPr>
        <w:t>个工作日内将应缴费金额通过银行转账方式将款项划入乙方指定的银行账户。甲方逾期缴纳费用的，乙方有权要求补交并按照逾期费用每日加收</w:t>
      </w:r>
      <w:r>
        <w:rPr>
          <w:rFonts w:hint="eastAsia" w:ascii="宋体" w:hAnsi="宋体" w:eastAsia="宋体" w:cs="Times New Roman"/>
          <w:szCs w:val="21"/>
          <w:highlight w:val="none"/>
          <w:lang w:val="en-US" w:eastAsia="zh-CN"/>
        </w:rPr>
        <w:t>0.3</w:t>
      </w:r>
      <w:r>
        <w:rPr>
          <w:rFonts w:hint="eastAsia" w:ascii="宋体" w:hAnsi="宋体" w:eastAsia="宋体" w:cs="Times New Roman"/>
          <w:szCs w:val="21"/>
          <w:highlight w:val="none"/>
        </w:rPr>
        <w:t>%的违约金。</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2）采用银行转账的付款方式，乙方银行账户如下：</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开户名称：</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开户银行：</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银行账户：</w:t>
      </w:r>
    </w:p>
    <w:p>
      <w:pPr>
        <w:numPr>
          <w:ilvl w:val="0"/>
          <w:numId w:val="9"/>
        </w:num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如遇乙方申请付款资料不齐全，上述付款期限顺延，乙方不得追究甲方的相关法律责任。</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ind w:firstLine="422" w:firstLineChars="200"/>
        <w:rPr>
          <w:rFonts w:ascii="宋体" w:hAnsi="宋体" w:eastAsia="宋体" w:cs="Times New Roman"/>
          <w:szCs w:val="21"/>
          <w:highlight w:val="none"/>
        </w:rPr>
      </w:pPr>
      <w:r>
        <w:rPr>
          <w:rFonts w:hint="eastAsia" w:ascii="宋体" w:hAnsi="宋体" w:eastAsia="宋体" w:cs="楷体"/>
          <w:b/>
          <w:bCs/>
          <w:szCs w:val="21"/>
          <w:highlight w:val="none"/>
        </w:rPr>
        <w:t>（3）电路开通或拆除当月月租费：</w:t>
      </w:r>
      <w:r>
        <w:rPr>
          <w:rFonts w:hint="eastAsia" w:ascii="宋体" w:hAnsi="宋体" w:eastAsia="宋体" w:cs="Times New Roman"/>
          <w:szCs w:val="21"/>
          <w:highlight w:val="none"/>
        </w:rPr>
        <w:t>月租费按天计算，即每天按标准月租费的三十分之一计收。</w:t>
      </w:r>
    </w:p>
    <w:p>
      <w:pPr>
        <w:pStyle w:val="20"/>
        <w:spacing w:line="360" w:lineRule="auto"/>
        <w:ind w:left="420"/>
        <w:rPr>
          <w:rFonts w:ascii="宋体" w:hAnsi="宋体" w:eastAsia="宋体" w:cs="Times New Roman"/>
          <w:sz w:val="21"/>
          <w:szCs w:val="21"/>
          <w:highlight w:val="none"/>
        </w:rPr>
      </w:pPr>
      <w:r>
        <w:rPr>
          <w:rFonts w:hint="eastAsia" w:ascii="宋体" w:hAnsi="宋体" w:eastAsia="宋体" w:cs="Times New Roman"/>
          <w:b/>
          <w:bCs/>
          <w:sz w:val="21"/>
          <w:szCs w:val="21"/>
          <w:highlight w:val="none"/>
        </w:rPr>
        <w:t>（4）</w:t>
      </w:r>
      <w:r>
        <w:rPr>
          <w:rFonts w:hint="eastAsia" w:ascii="宋体" w:hAnsi="宋体" w:eastAsia="宋体" w:cs="Times New Roman"/>
          <w:sz w:val="21"/>
          <w:szCs w:val="21"/>
          <w:highlight w:val="none"/>
        </w:rPr>
        <w:t>甲方如对月租费有异议而经双方确认核对确有错误的，在次月调整。甲方及其下属机构使用电路产生的一次性费用和月租费，由甲方直接向乙方支付。</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第二条 合同履行期限</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1.合同履行期限：本合同有效期贰年，合同自双方法人或授权代表签字并加盖公章之日起生效。</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2.租赁服务期限：本合同确定的租赁服务期为</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个月，自项目验收合格之日起计算。</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 xml:space="preserve">3.租用电路退租事项： </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1）甲方退租租用电路时，应至少提前三十日以书面形式通知乙方。停收租费的时间（“退租时间”）以甲方向乙方发出的退租通知载明的时间为准（该时限最短不少于乙方收到甲方退租通知后的三十日）。如果甲方的退租通知中载明的时间少于三十日，则退租时间为乙方收到甲方退租通知的第三十一日。</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（2）甲方电路停机时，暂停期间月租按正常月租的20%收取。</w:t>
      </w:r>
    </w:p>
    <w:p>
      <w:pPr>
        <w:tabs>
          <w:tab w:val="left" w:pos="1680"/>
          <w:tab w:val="left" w:pos="2940"/>
          <w:tab w:val="left" w:pos="3510"/>
          <w:tab w:val="left" w:pos="3570"/>
          <w:tab w:val="left" w:pos="5085"/>
          <w:tab w:val="left" w:pos="6345"/>
        </w:tabs>
        <w:spacing w:line="360" w:lineRule="auto"/>
        <w:ind w:firstLine="441" w:firstLineChars="210"/>
        <w:rPr>
          <w:rFonts w:ascii="宋体" w:hAnsi="宋体" w:eastAsia="宋体" w:cs="宋体"/>
          <w:szCs w:val="21"/>
          <w:highlight w:val="none"/>
        </w:rPr>
      </w:pPr>
      <w:r>
        <w:rPr>
          <w:rFonts w:hint="eastAsia" w:ascii="宋体" w:hAnsi="宋体" w:eastAsia="宋体" w:cs="宋体"/>
          <w:szCs w:val="21"/>
          <w:highlight w:val="none"/>
        </w:rPr>
        <w:t>（3）若甲方在本合同确定的使用期未满时退出使用部份或全部电路，应按本合同约定的月租费向乙方缴纳该电路退出使用当月月租费。除不可抗力因素外，若因乙方原因电路故障超过5天导致甲方无法正常使用，甲方可提出无偿退用故障电路，并向乙方追讨由此遭受的损失。</w:t>
      </w:r>
    </w:p>
    <w:p>
      <w:pPr>
        <w:pStyle w:val="20"/>
        <w:rPr>
          <w:highlight w:val="none"/>
        </w:rPr>
      </w:pP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第三条 服务内容及要求</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1、服务内容：甲方聘请乙方提供以下服务，线路租赁具体清单如下：</w:t>
      </w:r>
    </w:p>
    <w:tbl>
      <w:tblPr>
        <w:tblStyle w:val="33"/>
        <w:tblW w:w="4997" w:type="pct"/>
        <w:tblInd w:w="0" w:type="dxa"/>
        <w:tblLayout w:type="autofit"/>
        <w:tblCellMar>
          <w:top w:w="0" w:type="dxa"/>
          <w:left w:w="108" w:type="dxa"/>
          <w:bottom w:w="0" w:type="dxa"/>
          <w:right w:w="108" w:type="dxa"/>
        </w:tblCellMar>
      </w:tblPr>
      <w:tblGrid>
        <w:gridCol w:w="647"/>
        <w:gridCol w:w="1023"/>
        <w:gridCol w:w="5036"/>
        <w:gridCol w:w="1805"/>
      </w:tblGrid>
      <w:tr>
        <w:tblPrEx>
          <w:tblCellMar>
            <w:top w:w="0" w:type="dxa"/>
            <w:left w:w="108" w:type="dxa"/>
            <w:bottom w:w="0" w:type="dxa"/>
            <w:right w:w="108" w:type="dxa"/>
          </w:tblCellMar>
        </w:tblPrEx>
        <w:trPr>
          <w:trHeight w:val="299" w:hRule="atLeast"/>
        </w:trPr>
        <w:tc>
          <w:tcPr>
            <w:tcW w:w="380"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Times New Roman" w:eastAsia="宋体" w:cs="宋体"/>
                <w:b/>
                <w:bCs/>
                <w:sz w:val="18"/>
                <w:szCs w:val="18"/>
                <w:highlight w:val="none"/>
              </w:rPr>
            </w:pPr>
            <w:r>
              <w:rPr>
                <w:rFonts w:hint="eastAsia" w:ascii="宋体" w:hAnsi="Times New Roman" w:eastAsia="宋体" w:cs="宋体"/>
                <w:b/>
                <w:bCs/>
                <w:sz w:val="18"/>
                <w:szCs w:val="18"/>
                <w:highlight w:val="none"/>
              </w:rPr>
              <w:t>序号</w:t>
            </w:r>
          </w:p>
        </w:tc>
        <w:tc>
          <w:tcPr>
            <w:tcW w:w="601"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Times New Roman" w:eastAsia="宋体" w:cs="宋体"/>
                <w:b/>
                <w:bCs/>
                <w:sz w:val="18"/>
                <w:szCs w:val="18"/>
                <w:highlight w:val="none"/>
              </w:rPr>
            </w:pPr>
            <w:r>
              <w:rPr>
                <w:rFonts w:hint="eastAsia" w:ascii="宋体" w:hAnsi="Times New Roman" w:eastAsia="宋体" w:cs="宋体"/>
                <w:b/>
                <w:bCs/>
                <w:sz w:val="18"/>
                <w:szCs w:val="18"/>
                <w:highlight w:val="none"/>
              </w:rPr>
              <w:t>所属</w:t>
            </w:r>
          </w:p>
          <w:p>
            <w:pPr>
              <w:widowControl/>
              <w:jc w:val="center"/>
              <w:textAlignment w:val="center"/>
              <w:rPr>
                <w:rFonts w:ascii="宋体" w:hAnsi="Times New Roman" w:eastAsia="宋体" w:cs="宋体"/>
                <w:b/>
                <w:bCs/>
                <w:sz w:val="18"/>
                <w:szCs w:val="18"/>
                <w:highlight w:val="none"/>
              </w:rPr>
            </w:pPr>
            <w:r>
              <w:rPr>
                <w:rFonts w:hint="eastAsia" w:ascii="宋体" w:hAnsi="Times New Roman" w:eastAsia="宋体" w:cs="宋体"/>
                <w:b/>
                <w:bCs/>
                <w:sz w:val="18"/>
                <w:szCs w:val="18"/>
                <w:highlight w:val="none"/>
              </w:rPr>
              <w:t>单位</w:t>
            </w:r>
          </w:p>
        </w:tc>
        <w:tc>
          <w:tcPr>
            <w:tcW w:w="2958" w:type="pct"/>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宋体" w:hAnsi="Times New Roman" w:eastAsia="宋体" w:cs="宋体"/>
                <w:b/>
                <w:bCs/>
                <w:sz w:val="18"/>
                <w:szCs w:val="18"/>
                <w:highlight w:val="none"/>
              </w:rPr>
            </w:pPr>
            <w:r>
              <w:rPr>
                <w:rFonts w:hint="eastAsia" w:ascii="宋体" w:hAnsi="Times New Roman" w:eastAsia="宋体" w:cs="宋体"/>
                <w:b/>
                <w:bCs/>
                <w:sz w:val="18"/>
                <w:szCs w:val="18"/>
                <w:highlight w:val="none"/>
              </w:rPr>
              <w:t>电路名称</w:t>
            </w:r>
          </w:p>
        </w:tc>
        <w:tc>
          <w:tcPr>
            <w:tcW w:w="1060"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Times New Roman" w:eastAsia="宋体" w:cs="宋体"/>
                <w:b/>
                <w:bCs/>
                <w:sz w:val="18"/>
                <w:szCs w:val="18"/>
                <w:highlight w:val="none"/>
              </w:rPr>
            </w:pPr>
            <w:r>
              <w:rPr>
                <w:rFonts w:hint="eastAsia" w:ascii="宋体" w:hAnsi="Times New Roman" w:eastAsia="宋体" w:cs="宋体"/>
                <w:b/>
                <w:bCs/>
                <w:sz w:val="18"/>
                <w:szCs w:val="18"/>
                <w:highlight w:val="none"/>
              </w:rPr>
              <w:t>带宽（M）</w:t>
            </w:r>
          </w:p>
        </w:tc>
      </w:tr>
      <w:tr>
        <w:tblPrEx>
          <w:tblCellMar>
            <w:top w:w="0" w:type="dxa"/>
            <w:left w:w="108" w:type="dxa"/>
            <w:bottom w:w="0" w:type="dxa"/>
            <w:right w:w="108" w:type="dxa"/>
          </w:tblCellMar>
        </w:tblPrEx>
        <w:trPr>
          <w:trHeight w:val="589" w:hRule="atLeast"/>
        </w:trPr>
        <w:tc>
          <w:tcPr>
            <w:tcW w:w="380"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601" w:type="pct"/>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w:t>
            </w:r>
          </w:p>
        </w:tc>
        <w:tc>
          <w:tcPr>
            <w:tcW w:w="295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r>
      <w:tr>
        <w:tblPrEx>
          <w:tblCellMar>
            <w:top w:w="0" w:type="dxa"/>
            <w:left w:w="108" w:type="dxa"/>
            <w:bottom w:w="0" w:type="dxa"/>
            <w:right w:w="108" w:type="dxa"/>
          </w:tblCellMar>
        </w:tblPrEx>
        <w:trPr>
          <w:trHeight w:val="589" w:hRule="atLeast"/>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highlight w:val="none"/>
              </w:rPr>
            </w:pPr>
          </w:p>
        </w:tc>
        <w:tc>
          <w:tcPr>
            <w:tcW w:w="29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r>
      <w:tr>
        <w:tblPrEx>
          <w:tblCellMar>
            <w:top w:w="0" w:type="dxa"/>
            <w:left w:w="108" w:type="dxa"/>
            <w:bottom w:w="0" w:type="dxa"/>
            <w:right w:w="108" w:type="dxa"/>
          </w:tblCellMar>
        </w:tblPrEx>
        <w:trPr>
          <w:trHeight w:val="589" w:hRule="atLeast"/>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highlight w:val="none"/>
                <w:lang w:bidi="ar"/>
              </w:rPr>
            </w:pPr>
          </w:p>
        </w:tc>
        <w:tc>
          <w:tcPr>
            <w:tcW w:w="60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highlight w:val="none"/>
              </w:rPr>
            </w:pPr>
          </w:p>
        </w:tc>
        <w:tc>
          <w:tcPr>
            <w:tcW w:w="29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highlight w:val="none"/>
              </w:rPr>
            </w:pPr>
          </w:p>
        </w:tc>
      </w:tr>
      <w:tr>
        <w:tblPrEx>
          <w:tblCellMar>
            <w:top w:w="0" w:type="dxa"/>
            <w:left w:w="108" w:type="dxa"/>
            <w:bottom w:w="0" w:type="dxa"/>
            <w:right w:w="108" w:type="dxa"/>
          </w:tblCellMar>
        </w:tblPrEx>
        <w:trPr>
          <w:trHeight w:val="598" w:hRule="atLeast"/>
        </w:trPr>
        <w:tc>
          <w:tcPr>
            <w:tcW w:w="393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月租合计</w:t>
            </w: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highlight w:val="none"/>
                <w:lang w:bidi="ar"/>
              </w:rPr>
            </w:pPr>
          </w:p>
        </w:tc>
      </w:tr>
    </w:tbl>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在本合同有效期内，如果甲方需要增加、变更网络电路，可凭相关申请资料向乙方申请办理，网络电路租用费用及相关服务费参照本合同的资费标准执行，网络电路租用终止日期与本合同终止日期一致。</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2、服务要求</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线路运维要求：乙方应承诺对线路设备进行日常维护和监控，包组1的中标人要保证甲方主用线路正常运行，包组2的中标人要保证甲方备用线路正常运行。同时制定相应的维护作业计划并组织实施，以保障设备的安全可靠运行。并设有丰富经验的专业人员组进行值班，可以实现对本项目所有设备进行7*24小时的全天候监控，能够及时发现并及时处理出现的一切故障。</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24小时服务承诺：乙方承诺向本项目提供7×24小时的维护和服务，并有专业的技术人员负责及时解决出现的任何故障。提供7×24小时一站式故障申告受理服务，同时提供技术业务咨询服务。做好各种应急预案，以便在故障发生后及时快速响应，确保网络高度安全、稳定和可靠。</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（3）故障修复时限承诺：乙方向甲方承诺提供非重大自然灾害引起的一般故障要求在4小时内排除，重大故障要求在24小时内排除，并在24小时内提供书面故障报告。</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（4）为更好地为本项目提供售后服务，乙方提供专职售后工程师进行技术支撑和故障处理，保证项目正常运营。</w:t>
      </w:r>
    </w:p>
    <w:p>
      <w:pPr>
        <w:spacing w:line="360"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（5）乙方应承诺在合同期内每季度终了后5个工作日内向甲方书面报告合同履行情况。</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第四条 考核及验收标准</w:t>
      </w:r>
    </w:p>
    <w:p>
      <w:pPr>
        <w:spacing w:line="360" w:lineRule="auto"/>
        <w:ind w:firstLine="630" w:firstLineChars="300"/>
        <w:jc w:val="left"/>
        <w:rPr>
          <w:rFonts w:ascii="宋体" w:hAnsi="宋体" w:eastAsia="宋体" w:cs="Times New Roman"/>
          <w:szCs w:val="21"/>
          <w:highlight w:val="none"/>
        </w:rPr>
      </w:pPr>
      <w:r>
        <w:rPr>
          <w:rFonts w:hint="eastAsia" w:ascii="宋体" w:hAnsi="宋体" w:eastAsia="宋体" w:cs="Times New Roman"/>
          <w:szCs w:val="21"/>
          <w:highlight w:val="none"/>
        </w:rPr>
        <w:t>1.租用电路的开通：租用电路开通是指甲乙双方商定的接口点外侧间的电路全称测通，并以最晚一端开通为准。租用电路开通后，乙方或乙方下属机构向甲方提供业务竣工单。甲方应当在收到业务竣工单后的5个工作日内验收核实，租用电路确已根据本合同约定和国家有关电信业务规定开通的，甲方应当签字或盖章确定，租用电路实际开通日期，以乙方或乙方当地下属机构与租用电路开通地点的甲方代表签字或盖章确认的日期为准。若甲方在收到业务竣工单5个工作日内未签字或盖章确认、也未书面提出异议，视为乙方已经按照合同约定和国家有关电信业务规定开通电路，业务竣工单载明的实际开通日期为租用电路的实际开通日期。若甲方在收到业务竣工单未验收并在5个工作日提出不使用租用电路的，则视为甲方提前退租，此时，甲方应当承担一次性费用（一次性费用：甲方根据乙方的一次性费用预收费通知单缴纳一次性费用，前述费用为预售费用，待使用电路和上网专线开通后，以实际发生的费用为准进行决算，若决算与预售费用有差异，则根据决算通知单进行调整。）</w:t>
      </w:r>
    </w:p>
    <w:p>
      <w:pPr>
        <w:spacing w:line="360" w:lineRule="auto"/>
        <w:ind w:firstLine="420" w:firstLineChars="200"/>
        <w:jc w:val="left"/>
        <w:rPr>
          <w:rFonts w:ascii="宋体" w:hAnsi="宋体" w:eastAsia="宋体" w:cs="仿宋_GB2312"/>
          <w:szCs w:val="21"/>
          <w:highlight w:val="none"/>
        </w:rPr>
      </w:pPr>
      <w:r>
        <w:rPr>
          <w:rFonts w:hint="eastAsia" w:ascii="宋体" w:hAnsi="宋体" w:eastAsia="宋体" w:cs="Times New Roman"/>
          <w:szCs w:val="21"/>
          <w:highlight w:val="none"/>
        </w:rPr>
        <w:t>2.验收事项：乙方应在项目完工后书面向甲方提出项目验收申请，甲方应在收到乙方书面申请后5个工作日内完成项目验收，项目验收由甲乙双方共同参与，采用查看资料、现场核对、现场检测等方式进行，验收标准为网络线路的数量、带宽、拓扑结构、传输设计、网络质量等完全符合招标文件“项目需求及实施要求”中的内容，验收结束后，根据验收情况出具项目验收报告。</w:t>
      </w:r>
    </w:p>
    <w:p>
      <w:pPr>
        <w:tabs>
          <w:tab w:val="left" w:pos="1620"/>
          <w:tab w:val="left" w:pos="1680"/>
          <w:tab w:val="left" w:pos="2580"/>
          <w:tab w:val="left" w:pos="2940"/>
          <w:tab w:val="left" w:pos="3510"/>
          <w:tab w:val="left" w:pos="3780"/>
          <w:tab w:val="left" w:pos="4560"/>
          <w:tab w:val="left" w:pos="4620"/>
          <w:tab w:val="left" w:pos="5505"/>
          <w:tab w:val="left" w:pos="5880"/>
          <w:tab w:val="left" w:pos="6345"/>
        </w:tabs>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第五条 权利和义务</w:t>
      </w:r>
    </w:p>
    <w:p>
      <w:pPr>
        <w:tabs>
          <w:tab w:val="left" w:pos="-2160"/>
          <w:tab w:val="left" w:pos="-1980"/>
        </w:tabs>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1、甲方权利和义务</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（1）乙方应当为甲方提供“一站式”服务，即完成相关的网络电路租赁服务业务，如：业务咨询、受理、开通、收费以及故障受理等。</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（2）在接入和使用租用电路业务过程中出现的技术性问题，均可就近向乙方或乙方当地下属机构申告。</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应按照国家法律法规的规定及本合同的约定合理使用租用电路，不得利用租用电路从事损害乙方及他人合法权益的活动。未经乙方事先书面同意，不得将租用电路以转租等任何方式提供给第三方（不包括本合同项下甲方下属机构）使用，也不得用于本合同约定用途以外的其他用途。</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（4）应保证连接到租用电路上的有关通信设备全部符合国家主管部门规定的质量标准和技术要求，并取得进网许可证。</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（5）应按时足额缴纳租用电路的一次性费用和电路月租费。</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（6）应以书面形式向乙方提供租用电路开通的类型、通达方向、速率、数量、技术要求、准确的终端起止接入地点、用途、要求开通时间、租期、联系人、联系电话等信息。</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（7）应派专人负责做好入网的各项准备和配合工作，包括但不限于：</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入网前期的组织、协调工作；</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无偿提供机房，并做好接入设备及机房内安装场地的准备；</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负责协调所在楼宇的物业使其允许乙方进楼实施或提供线路接入，并承担协调物业涉及的相关费用；</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保证相关机构、人员、物业等入网各方配合乙方的进网调测工作；</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调配和预留所在建筑物内配线室至机房的通信线路；</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提供有UPS保障的220V稳定电源，供乙方设备使用，并承担设备的用电费用。</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（8）应承担因甲方原因造成的租用电路迟延开通的责任，该情况将视为租用电路按时开通。</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（9）未经乙方同意，不得在租用电路及设备上加装其他各种设备及装置。</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（10）应积极配合乙方对租用电路的日常维护、检测等工作，并负责其机房线路设备侧电路的维护管理。</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（11）甲方按照约定的方法或者根据服务的性质使用租赁线路，致使租赁物受到损耗的，不承担赔偿责任。</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12）因不可归责于甲方的事由，致使租赁服务涉及的标的物部分或者全部毁损、灭失的，甲方可以请求减少租金或者不支付租金；因租赁服务涉及的标的物部分或者全部毁损、灭失，致使不能实现合同目的的，甲方可以解除合同。</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（13）乙方若</w:t>
      </w:r>
      <w:r>
        <w:rPr>
          <w:rFonts w:ascii="宋体" w:hAnsi="宋体" w:eastAsia="宋体" w:cs="宋体"/>
          <w:szCs w:val="21"/>
          <w:highlight w:val="none"/>
        </w:rPr>
        <w:t>违反向</w:t>
      </w:r>
      <w:r>
        <w:rPr>
          <w:rFonts w:hint="eastAsia" w:ascii="宋体" w:hAnsi="宋体" w:eastAsia="宋体" w:cs="宋体"/>
          <w:szCs w:val="21"/>
          <w:highlight w:val="none"/>
        </w:rPr>
        <w:t>甲方提供符合标准服务</w:t>
      </w:r>
      <w:r>
        <w:rPr>
          <w:rFonts w:ascii="宋体" w:hAnsi="宋体" w:eastAsia="宋体" w:cs="宋体"/>
          <w:szCs w:val="21"/>
          <w:highlight w:val="none"/>
        </w:rPr>
        <w:t>的义务，有下列情形之一的，</w:t>
      </w:r>
      <w:r>
        <w:rPr>
          <w:rFonts w:hint="eastAsia" w:ascii="宋体" w:hAnsi="宋体" w:eastAsia="宋体" w:cs="宋体"/>
          <w:szCs w:val="21"/>
          <w:highlight w:val="none"/>
        </w:rPr>
        <w:t>甲方</w:t>
      </w:r>
      <w:r>
        <w:rPr>
          <w:rFonts w:ascii="宋体" w:hAnsi="宋体" w:eastAsia="宋体" w:cs="宋体"/>
          <w:szCs w:val="21"/>
          <w:highlight w:val="none"/>
        </w:rPr>
        <w:t>可以拒绝</w:t>
      </w:r>
      <w:r>
        <w:rPr>
          <w:rFonts w:hint="eastAsia" w:ascii="宋体" w:hAnsi="宋体" w:eastAsia="宋体" w:cs="宋体"/>
          <w:szCs w:val="21"/>
          <w:highlight w:val="none"/>
        </w:rPr>
        <w:t>接受乙方提供的服务</w:t>
      </w:r>
      <w:r>
        <w:rPr>
          <w:rFonts w:ascii="宋体" w:hAnsi="宋体" w:eastAsia="宋体" w:cs="宋体"/>
          <w:szCs w:val="21"/>
          <w:highlight w:val="none"/>
        </w:rPr>
        <w:t>：</w:t>
      </w:r>
      <w:r>
        <w:rPr>
          <w:rFonts w:hint="eastAsia" w:ascii="宋体" w:hAnsi="宋体" w:eastAsia="宋体" w:cs="宋体"/>
          <w:szCs w:val="21"/>
          <w:highlight w:val="none"/>
        </w:rPr>
        <w:t>提供的服务</w:t>
      </w:r>
      <w:r>
        <w:rPr>
          <w:rFonts w:ascii="宋体" w:hAnsi="宋体" w:eastAsia="宋体" w:cs="宋体"/>
          <w:szCs w:val="21"/>
          <w:highlight w:val="none"/>
        </w:rPr>
        <w:t>严重不符合约定</w:t>
      </w:r>
      <w:r>
        <w:rPr>
          <w:rFonts w:hint="eastAsia" w:ascii="宋体" w:hAnsi="宋体" w:eastAsia="宋体" w:cs="宋体"/>
          <w:szCs w:val="21"/>
          <w:highlight w:val="none"/>
        </w:rPr>
        <w:t>或者</w:t>
      </w:r>
      <w:r>
        <w:rPr>
          <w:rFonts w:ascii="宋体" w:hAnsi="宋体" w:eastAsia="宋体" w:cs="宋体"/>
          <w:szCs w:val="21"/>
          <w:highlight w:val="none"/>
        </w:rPr>
        <w:t>未按照约定</w:t>
      </w:r>
      <w:r>
        <w:rPr>
          <w:rFonts w:hint="eastAsia" w:ascii="宋体" w:hAnsi="宋体" w:eastAsia="宋体" w:cs="宋体"/>
          <w:szCs w:val="21"/>
          <w:highlight w:val="none"/>
        </w:rPr>
        <w:t>提供</w:t>
      </w:r>
      <w:r>
        <w:rPr>
          <w:rFonts w:ascii="宋体" w:hAnsi="宋体" w:eastAsia="宋体" w:cs="宋体"/>
          <w:szCs w:val="21"/>
          <w:highlight w:val="none"/>
        </w:rPr>
        <w:t>，经</w:t>
      </w:r>
      <w:r>
        <w:rPr>
          <w:rFonts w:hint="eastAsia" w:ascii="宋体" w:hAnsi="宋体" w:eastAsia="宋体" w:cs="宋体"/>
          <w:szCs w:val="21"/>
          <w:highlight w:val="none"/>
        </w:rPr>
        <w:t>甲方</w:t>
      </w:r>
      <w:r>
        <w:rPr>
          <w:rFonts w:ascii="宋体" w:hAnsi="宋体" w:eastAsia="宋体" w:cs="宋体"/>
          <w:szCs w:val="21"/>
          <w:highlight w:val="none"/>
        </w:rPr>
        <w:t>催告后在合理期限内仍未</w:t>
      </w:r>
      <w:r>
        <w:rPr>
          <w:rFonts w:hint="eastAsia" w:ascii="宋体" w:hAnsi="宋体" w:eastAsia="宋体" w:cs="宋体"/>
          <w:szCs w:val="21"/>
          <w:highlight w:val="none"/>
        </w:rPr>
        <w:t>提供</w:t>
      </w:r>
      <w:r>
        <w:rPr>
          <w:rFonts w:ascii="宋体" w:hAnsi="宋体" w:eastAsia="宋体" w:cs="宋体"/>
          <w:szCs w:val="21"/>
          <w:highlight w:val="none"/>
        </w:rPr>
        <w:t>。</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2、乙方权利和义务</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（1）为甲方提供端到端的综合性信息服务，并为甲方提供租用电路业务的咨询、组网建议等服务。</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（2）负责依据本合同约定进行租用电路的连接、调通。</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（3）负责依据本合同约定完成相关租用电路的开通工作。</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（4）由于乙方端口、线路资源暂未具备等原因而未及时开通租用电路的，乙方有责任协调相关部门尽快开通租用电路。</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（5）在甲方给予必要的协助和配合下，依据相关规程和规范以及本合同约定对租用电路进行维护，并及时修复通信障碍，保证通信畅通。</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（6）按照国家法律法规公布的维护规程明确划分租用电路的责任界面。具体以甲方机房的设备为界,设备以外线路侧由乙方维护管理 ,另一侧（设备侧）由甲方负责维护管理。</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（7）因技术、设备或国家政策因素等原因有权对电信业务的服务功能、操作方法、计费方式、计费模式、业务号码等作出修改、调整。</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（8）对所投资的电路和设备拥有所有权。本合同有效期内，甲方对乙方提供的电路和设备有保管责任。若由于甲方原因造成该等电路或设备损坏的，须按价赔偿。</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（9）甲方无正当理由未支付或者迟延支付租金的，乙方可以请求甲方在合理期限内支付，甲方逾期不支付的，乙方可以解除合同。</w:t>
      </w:r>
    </w:p>
    <w:p>
      <w:pPr>
        <w:widowControl/>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（10）乙方应保障提供给甲方使用的网络电路的网络安全,如果因乙方原因导致发生网络安全事故，乙方按自身过错承担所造成甲方的经济损失。</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第六条 知识产权产权归属</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乙方应当保证其所提供的服务不存在任何知识产权的瑕疵。如因乙方或其供应商侵犯第三方的专利权、商标专用权、著作权、商业秘密或其他权益产生争议，给甲方造成经济损失时，乙方应承担全部责任并承担包括但不限于律师代理费、诉讼费、调查费及其他因乙方侵犯他人的知识产权所产生的各种费用。</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第七条 安全责任</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1.乙方必须服从甲方的安全生产管理，乙方不服从管理导致生产安全事故的，由乙方承担全部责任。</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乙方在本项目实施过程中发生违反网络安全规定行为，造成数据失窃或丢失、敏感信息泄露、主要业务系统瘫痪等不良后果的，自甲方或甲方主管机关做出认定之日起三年内，税务系统各单位可以拒绝乙方参与税务系统政府采购活动。</w:t>
      </w:r>
    </w:p>
    <w:p>
      <w:pPr>
        <w:pStyle w:val="20"/>
        <w:rPr>
          <w:highlight w:val="none"/>
        </w:rPr>
      </w:pP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第八条 事故责任与处理</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1、由于乙方管理或乙方人员自身责任造成的伤、残、亡事故，要立即向甲方报告，同时由乙方参照国家现行规定负责处理，并负责事故人员及家属的全部经济补偿。</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2、由于乙方以外的责任造成乙方人员伤、残、亡事故的，由乙方参照国家现行规定，先行垫付，其善后事宜由乙方处理。在事故责任确定后，乙方有权在其已经赔付金额的限度内向责任方追偿。</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3、由于乙方或乙方人员违章操作，违章维护或设备设施不完善造成甲方或第三者人员的伤亡事故，由乙方参照国家现行规定负责处理，并负责伤、残、亡个人及家属的全部经济赔偿和善后处理。</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第九条 保密要求</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乙方为甲方提供服务过程中获得的所有文件、信息、电子数据、视听资料等资料皆属甲方的秘密，乙方不得泄露或者擅自将甲方资料提供给第三方，且乙方的保密义务不随合同的终止而消灭，若乙方泄露或者擅自将甲方资料提供给第三方，则乙方应当立即采取有效措施防止泄密扩大，及时向甲方报告，并向甲方支付年度合同金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%的违约金，且甲方有权依法追究乙方的法律责任。</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第十条 违约责任</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除本合同其他条款已有约定外，违约方的其他违约行为按本条约定承担违约责任：</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1、一方违反本合同约定导致本合同无法履行，另一方有权终止合同，并要求违约方赔偿损失。</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2、乙方应支付的违约金、赔偿金，甲方有权从应付乙方价款中扣除，并在扣收后书面告知乙方。</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乙方应保证按本合同约定的标准提供持续稳定、安全可靠的网络电路服务，如出现故障(包括但不限于带宽、网速不符合要求以及服务中断等)，乙方应按投标时所承诺时限及时排除，自故障发生至故障排除前的期间，乙方不得收取出现故障的部分网络电路租金 (每日租金按月租金的 1/30 计算，不足一天的按一天计算)。如乙方未能按约定时限排除故障的，乙方还应自逾期之日起按月租金的日千分之三的比例向甲方计付违约金，直至故障排除之日止。</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4、若因一方违约造成另一方不良工作事务影响、社会影响或经济损失，则另一方有权追究对方责任，要求其消除影响、做出相应的经济赔偿，并有权终止合同。</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第十一条 争议的解决</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因本合同发生的任何争议，如双方不能通过友好协商解决任何一方均可向广东省阳江市江城区人民法院提起诉讼。</w:t>
      </w:r>
    </w:p>
    <w:p>
      <w:pPr>
        <w:widowControl/>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第十二条 不可抗力</w:t>
      </w:r>
    </w:p>
    <w:p>
      <w:pPr>
        <w:spacing w:line="360" w:lineRule="auto"/>
        <w:ind w:firstLine="411" w:firstLineChars="196"/>
        <w:rPr>
          <w:rFonts w:ascii="宋体" w:hAnsi="宋体" w:eastAsia="宋体" w:cs="宋体"/>
          <w:szCs w:val="21"/>
          <w:highlight w:val="none"/>
        </w:rPr>
      </w:pPr>
      <w:r>
        <w:rPr>
          <w:rFonts w:hint="eastAsia" w:ascii="宋体" w:hAnsi="宋体" w:eastAsia="宋体" w:cs="宋体"/>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第十三条 税费</w:t>
      </w:r>
    </w:p>
    <w:p>
      <w:pPr>
        <w:spacing w:line="360" w:lineRule="auto"/>
        <w:ind w:firstLine="411" w:firstLineChars="196"/>
        <w:rPr>
          <w:rFonts w:ascii="宋体" w:hAnsi="宋体" w:eastAsia="宋体" w:cs="宋体"/>
          <w:szCs w:val="21"/>
          <w:highlight w:val="none"/>
        </w:rPr>
      </w:pPr>
      <w:r>
        <w:rPr>
          <w:rFonts w:hint="eastAsia" w:ascii="宋体" w:hAnsi="宋体" w:eastAsia="宋体" w:cs="宋体"/>
          <w:szCs w:val="21"/>
          <w:highlight w:val="none"/>
        </w:rPr>
        <w:t>本合同执行有关税费按规定缴纳。</w:t>
      </w:r>
    </w:p>
    <w:p>
      <w:pPr>
        <w:kinsoku w:val="0"/>
        <w:overflowPunct w:val="0"/>
        <w:spacing w:line="360" w:lineRule="auto"/>
        <w:outlineLvl w:val="2"/>
        <w:rPr>
          <w:rFonts w:ascii="宋体" w:hAnsi="宋体" w:eastAsia="宋体" w:cs="宋体"/>
          <w:b/>
          <w:szCs w:val="21"/>
          <w:highlight w:val="none"/>
        </w:rPr>
      </w:pPr>
      <w:r>
        <w:rPr>
          <w:rFonts w:hint="eastAsia" w:ascii="宋体" w:hAnsi="宋体" w:eastAsia="宋体" w:cs="宋体"/>
          <w:b/>
          <w:szCs w:val="21"/>
          <w:highlight w:val="none"/>
        </w:rPr>
        <w:t>第十四条 合同生效</w:t>
      </w:r>
    </w:p>
    <w:p>
      <w:pPr>
        <w:spacing w:line="360" w:lineRule="auto"/>
        <w:ind w:firstLine="411" w:firstLineChars="196"/>
        <w:rPr>
          <w:rFonts w:ascii="宋体" w:hAnsi="宋体" w:eastAsia="宋体" w:cs="宋体"/>
          <w:szCs w:val="21"/>
          <w:highlight w:val="none"/>
        </w:rPr>
      </w:pPr>
      <w:r>
        <w:rPr>
          <w:rFonts w:hint="eastAsia" w:ascii="宋体" w:hAnsi="宋体" w:eastAsia="宋体" w:cs="宋体"/>
          <w:szCs w:val="21"/>
          <w:highlight w:val="none"/>
        </w:rPr>
        <w:t xml:space="preserve">本合同自双方签订之日起生效。 </w:t>
      </w:r>
    </w:p>
    <w:p>
      <w:pPr>
        <w:kinsoku w:val="0"/>
        <w:overflowPunct w:val="0"/>
        <w:spacing w:line="360" w:lineRule="auto"/>
        <w:outlineLvl w:val="2"/>
        <w:rPr>
          <w:rFonts w:ascii="宋体" w:hAnsi="宋体" w:eastAsia="宋体" w:cs="宋体"/>
          <w:spacing w:val="-9"/>
          <w:szCs w:val="21"/>
          <w:highlight w:val="none"/>
        </w:rPr>
      </w:pPr>
      <w:r>
        <w:rPr>
          <w:rFonts w:hint="eastAsia" w:ascii="宋体" w:hAnsi="宋体" w:eastAsia="宋体" w:cs="宋体"/>
          <w:b/>
          <w:szCs w:val="21"/>
          <w:highlight w:val="none"/>
        </w:rPr>
        <w:t>第十五条 其他</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1、因甲方机构改革等原因导致双方无法继续履行本合同相关条款的，由甲方提前 10 日告知乙方终止合同。</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2、本合同所有附件、招标文件、投标文件、中标通知书均为合同的有效组成部分，与本合同具有同等法律效力。</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3、在执行本合同的过程中，所有经双方签署确认的文件（包括会议纪要、补充协议、往来信函）即成为本合同的有效组成部分。</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color w:val="000000"/>
          <w:szCs w:val="21"/>
          <w:highlight w:val="none"/>
        </w:rPr>
        <w:t>禁止中标供应商另行开发合同业务需求范围内、供纳税人、缴费人使用的软件,违反</w:t>
      </w:r>
      <w:r>
        <w:rPr>
          <w:rFonts w:hint="eastAsia" w:ascii="宋体" w:hAnsi="宋体" w:eastAsia="宋体" w:cs="宋体"/>
          <w:szCs w:val="21"/>
          <w:highlight w:val="none"/>
        </w:rPr>
        <w:t>上述</w:t>
      </w:r>
      <w:r>
        <w:rPr>
          <w:rFonts w:hint="eastAsia" w:ascii="宋体" w:hAnsi="宋体" w:eastAsia="宋体" w:cs="宋体"/>
          <w:color w:val="000000"/>
          <w:szCs w:val="21"/>
          <w:highlight w:val="none"/>
        </w:rPr>
        <w:t>专门条款的，纳入失信名单；对于违反网络安全规定行为造成不良后果的服务商，3年内限制参加税务系统政府采购活动；服务商</w:t>
      </w:r>
      <w:r>
        <w:rPr>
          <w:rFonts w:hint="eastAsia" w:ascii="宋体" w:hAnsi="宋体" w:eastAsia="宋体" w:cs="宋体"/>
          <w:szCs w:val="21"/>
          <w:highlight w:val="none"/>
        </w:rPr>
        <w:t>应当</w:t>
      </w:r>
      <w:r>
        <w:rPr>
          <w:rFonts w:hint="eastAsia" w:ascii="宋体" w:hAnsi="宋体" w:eastAsia="宋体" w:cs="宋体"/>
          <w:color w:val="000000"/>
          <w:szCs w:val="21"/>
          <w:highlight w:val="none"/>
        </w:rPr>
        <w:t>建立防止违法违规聘用离职税务人员风险控制制度，</w:t>
      </w:r>
      <w:r>
        <w:rPr>
          <w:rFonts w:hint="eastAsia" w:ascii="宋体" w:hAnsi="宋体" w:eastAsia="宋体" w:cs="宋体"/>
          <w:szCs w:val="21"/>
          <w:highlight w:val="none"/>
        </w:rPr>
        <w:t>若</w:t>
      </w:r>
      <w:r>
        <w:rPr>
          <w:rFonts w:hint="eastAsia" w:ascii="宋体" w:hAnsi="宋体" w:eastAsia="宋体" w:cs="宋体"/>
          <w:color w:val="000000"/>
          <w:szCs w:val="21"/>
          <w:highlight w:val="none"/>
        </w:rPr>
        <w:t>出现违法违规聘用离职税务人员行为将</w:t>
      </w:r>
      <w:r>
        <w:rPr>
          <w:rFonts w:hint="eastAsia" w:ascii="宋体" w:hAnsi="宋体" w:eastAsia="宋体" w:cs="宋体"/>
          <w:szCs w:val="21"/>
          <w:highlight w:val="none"/>
        </w:rPr>
        <w:t>视情节严重程度</w:t>
      </w:r>
      <w:r>
        <w:rPr>
          <w:rFonts w:hint="eastAsia" w:ascii="宋体" w:hAnsi="宋体" w:eastAsia="宋体" w:cs="宋体"/>
          <w:color w:val="000000"/>
          <w:szCs w:val="21"/>
          <w:highlight w:val="none"/>
        </w:rPr>
        <w:t>采取</w:t>
      </w:r>
      <w:r>
        <w:rPr>
          <w:rFonts w:hint="eastAsia" w:ascii="宋体" w:hAnsi="宋体" w:eastAsia="宋体" w:cs="宋体"/>
          <w:szCs w:val="21"/>
          <w:highlight w:val="none"/>
        </w:rPr>
        <w:t>以下</w:t>
      </w:r>
      <w:r>
        <w:rPr>
          <w:rFonts w:hint="eastAsia" w:ascii="宋体" w:hAnsi="宋体" w:eastAsia="宋体" w:cs="宋体"/>
          <w:color w:val="000000"/>
          <w:szCs w:val="21"/>
          <w:highlight w:val="none"/>
        </w:rPr>
        <w:t>措施</w:t>
      </w:r>
      <w:r>
        <w:rPr>
          <w:rFonts w:hint="eastAsia" w:ascii="宋体" w:hAnsi="宋体" w:eastAsia="宋体" w:cs="宋体"/>
          <w:szCs w:val="21"/>
          <w:highlight w:val="none"/>
        </w:rPr>
        <w:t>，</w:t>
      </w:r>
      <w:r>
        <w:rPr>
          <w:rFonts w:hint="eastAsia" w:ascii="宋体" w:hAnsi="宋体" w:eastAsia="宋体" w:cs="宋体"/>
          <w:color w:val="000000"/>
          <w:szCs w:val="21"/>
          <w:highlight w:val="none"/>
        </w:rPr>
        <w:t>包括要求限期改正、要求支付违约金、解除合同、3年内限制参加所聘人员原单位及下属单位信息化项目政府采购活动等</w:t>
      </w:r>
      <w:r>
        <w:rPr>
          <w:rFonts w:hint="eastAsia" w:ascii="宋体" w:hAnsi="宋体" w:eastAsia="宋体" w:cs="宋体"/>
          <w:szCs w:val="21"/>
          <w:highlight w:val="none"/>
        </w:rPr>
        <w:t>。</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ascii="宋体" w:hAnsi="宋体" w:eastAsia="宋体" w:cs="宋体"/>
          <w:szCs w:val="21"/>
          <w:highlight w:val="none"/>
        </w:rPr>
        <w:t xml:space="preserve">廉洁条款： </w:t>
      </w:r>
    </w:p>
    <w:p>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乙方及其工作人员不得以给予或许诺给予佣金、回扣，以及合伙、参股等任何形式向甲方工作人员输送利益；不得以任何形式向甲方工作人员赠送或提供礼金、礼品、有价证券，以及为其购置或提供交通工具、通讯器材等贵重物品；不得以洽谈业务为由，邀请甲方工作人员外出旅游、健身或进行其他高消费娱乐活动；不得以为个人装修住房、安排亲属工作、接待亲友来访，吃请等名目，拉拢、利诱甲方工作人员；不得有其他违背诚实守法、公平竞争行为。</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甲方如发现乙方或其工作人员违反上述条款，有权立即终止或解除与乙方的合作关系，冻结应付款项，列入采购黑名单；乙方承担相应违约责任，甲方有权追索违约金以及由此造成的一切损失，并可以从任何应付款项中直接冲抵。</w:t>
      </w:r>
    </w:p>
    <w:p>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乙方如发现甲方工作人员有主动索取贿赂及上述不当行为的，应立即向甲方纪检部门反映，如不拒绝、不反映，并对其不当要求予以满足的，等同违反上述条款，承担相应法律责任。</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6、本合同一式</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份，甲、乙双方各执</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份，具有同等的法律效力。</w:t>
      </w:r>
    </w:p>
    <w:p>
      <w:pPr>
        <w:kinsoku w:val="0"/>
        <w:overflowPunct w:val="0"/>
        <w:spacing w:line="360" w:lineRule="auto"/>
        <w:rPr>
          <w:rFonts w:ascii="宋体" w:hAnsi="宋体" w:eastAsia="宋体" w:cs="宋体"/>
          <w:b/>
          <w:bCs/>
          <w:spacing w:val="-8"/>
          <w:szCs w:val="21"/>
          <w:highlight w:val="none"/>
        </w:rPr>
      </w:pPr>
      <w:r>
        <w:rPr>
          <w:rFonts w:hint="eastAsia" w:ascii="宋体" w:hAnsi="宋体" w:eastAsia="宋体" w:cs="宋体"/>
          <w:b/>
          <w:bCs/>
          <w:spacing w:val="-8"/>
          <w:szCs w:val="21"/>
          <w:highlight w:val="none"/>
        </w:rPr>
        <w:t>（以下无正文）</w:t>
      </w:r>
    </w:p>
    <w:p>
      <w:pPr>
        <w:rPr>
          <w:rFonts w:hint="eastAsia" w:ascii="宋体" w:hAnsi="宋体" w:eastAsia="宋体" w:cs="宋体"/>
          <w:spacing w:val="-8"/>
          <w:szCs w:val="21"/>
          <w:highlight w:val="none"/>
        </w:rPr>
      </w:pPr>
      <w:r>
        <w:rPr>
          <w:rFonts w:hint="eastAsia" w:ascii="宋体" w:hAnsi="宋体" w:eastAsia="宋体" w:cs="宋体"/>
          <w:spacing w:val="-8"/>
          <w:szCs w:val="21"/>
          <w:highlight w:val="none"/>
        </w:rPr>
        <w:br w:type="page"/>
      </w:r>
    </w:p>
    <w:p>
      <w:pPr>
        <w:widowControl/>
        <w:jc w:val="left"/>
        <w:rPr>
          <w:rFonts w:hint="eastAsia" w:ascii="宋体" w:hAnsi="宋体" w:eastAsia="宋体" w:cs="宋体"/>
          <w:spacing w:val="-8"/>
          <w:szCs w:val="21"/>
          <w:highlight w:val="none"/>
        </w:rPr>
      </w:pPr>
      <w:r>
        <w:rPr>
          <w:rFonts w:hint="eastAsia" w:ascii="宋体" w:hAnsi="宋体" w:eastAsia="宋体" w:cs="宋体"/>
          <w:spacing w:val="-8"/>
          <w:szCs w:val="21"/>
          <w:highlight w:val="none"/>
        </w:rPr>
        <w:t>国家税务总局阳江市税务局网络电路租赁服务采购项目</w:t>
      </w:r>
    </w:p>
    <w:p>
      <w:pPr>
        <w:pStyle w:val="20"/>
        <w:rPr>
          <w:rFonts w:hint="eastAsia"/>
          <w:highlight w:val="none"/>
        </w:rPr>
      </w:pPr>
    </w:p>
    <w:p>
      <w:pPr>
        <w:widowControl/>
        <w:jc w:val="left"/>
        <w:rPr>
          <w:rFonts w:ascii="宋体" w:hAnsi="宋体" w:eastAsia="宋体" w:cs="宋体"/>
          <w:spacing w:val="-8"/>
          <w:szCs w:val="21"/>
          <w:highlight w:val="none"/>
        </w:rPr>
      </w:pPr>
      <w:r>
        <w:rPr>
          <w:rFonts w:hint="eastAsia" w:ascii="宋体" w:hAnsi="宋体" w:eastAsia="宋体" w:cs="宋体"/>
          <w:spacing w:val="-8"/>
          <w:szCs w:val="21"/>
          <w:highlight w:val="none"/>
        </w:rPr>
        <w:t>（签署盖章页）</w:t>
      </w:r>
    </w:p>
    <w:p>
      <w:pPr>
        <w:pStyle w:val="20"/>
        <w:rPr>
          <w:highlight w:val="none"/>
        </w:rPr>
      </w:pPr>
    </w:p>
    <w:p>
      <w:pPr>
        <w:pStyle w:val="20"/>
        <w:rPr>
          <w:rFonts w:hint="eastAsia"/>
          <w:highlight w:val="none"/>
        </w:rPr>
      </w:pPr>
    </w:p>
    <w:p>
      <w:pPr>
        <w:widowControl/>
        <w:jc w:val="left"/>
        <w:rPr>
          <w:rFonts w:ascii="宋体" w:hAnsi="宋体" w:eastAsia="宋体" w:cs="宋体"/>
          <w:szCs w:val="21"/>
          <w:highlight w:val="none"/>
        </w:rPr>
      </w:pPr>
      <w:r>
        <w:rPr>
          <w:rFonts w:hint="eastAsia" w:ascii="宋体" w:hAnsi="宋体" w:eastAsia="宋体" w:cs="宋体"/>
          <w:spacing w:val="-8"/>
          <w:szCs w:val="21"/>
          <w:highlight w:val="none"/>
        </w:rPr>
        <w:t xml:space="preserve">甲方（盖章）： </w:t>
      </w:r>
      <w:r>
        <w:rPr>
          <w:rFonts w:hint="eastAsia" w:ascii="宋体" w:hAnsi="宋体" w:eastAsia="宋体" w:cs="宋体"/>
          <w:spacing w:val="-8"/>
          <w:szCs w:val="21"/>
          <w:highlight w:val="none"/>
        </w:rPr>
        <w:tab/>
      </w:r>
    </w:p>
    <w:p>
      <w:pPr>
        <w:kinsoku w:val="0"/>
        <w:overflowPunct w:val="0"/>
        <w:spacing w:line="480" w:lineRule="auto"/>
        <w:rPr>
          <w:rFonts w:ascii="宋体" w:hAnsi="宋体" w:eastAsia="宋体" w:cs="宋体"/>
          <w:spacing w:val="-6"/>
          <w:szCs w:val="21"/>
          <w:highlight w:val="none"/>
        </w:rPr>
      </w:pPr>
      <w:r>
        <w:rPr>
          <w:rFonts w:hint="eastAsia" w:ascii="宋体" w:hAnsi="宋体" w:eastAsia="宋体" w:cs="宋体"/>
          <w:bCs/>
          <w:szCs w:val="21"/>
          <w:highlight w:val="none"/>
        </w:rPr>
        <w:t>统一社会信用代码</w:t>
      </w:r>
      <w:r>
        <w:rPr>
          <w:rFonts w:hint="eastAsia" w:ascii="宋体" w:hAnsi="宋体" w:eastAsia="宋体" w:cs="宋体"/>
          <w:spacing w:val="-6"/>
          <w:szCs w:val="21"/>
          <w:highlight w:val="none"/>
        </w:rPr>
        <w:t>：</w:t>
      </w:r>
      <w:r>
        <w:rPr>
          <w:rFonts w:ascii="宋体" w:hAnsi="宋体" w:eastAsia="宋体" w:cs="宋体"/>
          <w:spacing w:val="-6"/>
          <w:szCs w:val="21"/>
          <w:highlight w:val="none"/>
        </w:rPr>
        <w:t xml:space="preserve"> </w:t>
      </w:r>
    </w:p>
    <w:p>
      <w:pPr>
        <w:kinsoku w:val="0"/>
        <w:overflowPunct w:val="0"/>
        <w:spacing w:line="480" w:lineRule="auto"/>
        <w:rPr>
          <w:rFonts w:ascii="宋体" w:hAnsi="宋体" w:eastAsia="宋体" w:cs="宋体"/>
          <w:spacing w:val="-7"/>
          <w:szCs w:val="21"/>
          <w:highlight w:val="none"/>
        </w:rPr>
      </w:pPr>
      <w:r>
        <w:rPr>
          <w:rFonts w:hint="eastAsia" w:ascii="宋体" w:hAnsi="宋体" w:eastAsia="宋体" w:cs="宋体"/>
          <w:spacing w:val="-7"/>
          <w:szCs w:val="21"/>
          <w:highlight w:val="none"/>
        </w:rPr>
        <w:t>法定代表人或授权代表签字：</w:t>
      </w:r>
    </w:p>
    <w:p>
      <w:pPr>
        <w:kinsoku w:val="0"/>
        <w:overflowPunct w:val="0"/>
        <w:spacing w:line="480" w:lineRule="auto"/>
        <w:rPr>
          <w:rFonts w:ascii="宋体" w:hAnsi="宋体" w:eastAsia="宋体" w:cs="宋体"/>
          <w:szCs w:val="21"/>
          <w:highlight w:val="none"/>
        </w:rPr>
      </w:pPr>
      <w:r>
        <w:rPr>
          <w:rFonts w:hint="eastAsia" w:ascii="宋体" w:hAnsi="宋体" w:eastAsia="宋体" w:cs="宋体"/>
          <w:spacing w:val="-7"/>
          <w:szCs w:val="21"/>
          <w:highlight w:val="none"/>
        </w:rPr>
        <w:t>签署日期：</w:t>
      </w:r>
      <w:r>
        <w:rPr>
          <w:rFonts w:ascii="宋体" w:hAnsi="宋体" w:eastAsia="宋体" w:cs="宋体"/>
          <w:spacing w:val="-7"/>
          <w:szCs w:val="21"/>
          <w:highlight w:val="non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rPr>
        <w:tab/>
      </w:r>
      <w:r>
        <w:rPr>
          <w:rFonts w:hint="eastAsia" w:ascii="宋体" w:hAnsi="宋体" w:eastAsia="宋体" w:cs="宋体"/>
          <w:szCs w:val="21"/>
          <w:highlight w:val="none"/>
        </w:rPr>
        <w:t xml:space="preserve">  月   日</w:t>
      </w:r>
    </w:p>
    <w:p>
      <w:pPr>
        <w:kinsoku w:val="0"/>
        <w:overflowPunct w:val="0"/>
        <w:spacing w:line="480" w:lineRule="auto"/>
        <w:rPr>
          <w:rFonts w:ascii="宋体" w:hAnsi="宋体" w:eastAsia="宋体" w:cs="宋体"/>
          <w:spacing w:val="-6"/>
          <w:szCs w:val="21"/>
          <w:highlight w:val="none"/>
        </w:rPr>
      </w:pPr>
      <w:r>
        <w:rPr>
          <w:rFonts w:hint="eastAsia" w:ascii="宋体" w:hAnsi="宋体" w:eastAsia="宋体" w:cs="宋体"/>
          <w:spacing w:val="-8"/>
          <w:szCs w:val="21"/>
          <w:highlight w:val="none"/>
        </w:rPr>
        <w:t xml:space="preserve">乙方（盖章）： </w:t>
      </w:r>
    </w:p>
    <w:p>
      <w:pPr>
        <w:kinsoku w:val="0"/>
        <w:overflowPunct w:val="0"/>
        <w:spacing w:line="480" w:lineRule="auto"/>
        <w:rPr>
          <w:rFonts w:ascii="宋体" w:hAnsi="宋体" w:eastAsia="宋体" w:cs="宋体"/>
          <w:spacing w:val="-6"/>
          <w:szCs w:val="21"/>
          <w:highlight w:val="none"/>
        </w:rPr>
      </w:pPr>
      <w:r>
        <w:rPr>
          <w:rFonts w:hint="eastAsia" w:ascii="宋体" w:hAnsi="宋体" w:eastAsia="宋体" w:cs="宋体"/>
          <w:bCs/>
          <w:szCs w:val="21"/>
          <w:highlight w:val="none"/>
        </w:rPr>
        <w:t>统一社会信用代码</w:t>
      </w:r>
      <w:r>
        <w:rPr>
          <w:rFonts w:hint="eastAsia" w:ascii="宋体" w:hAnsi="宋体" w:eastAsia="宋体" w:cs="宋体"/>
          <w:spacing w:val="-6"/>
          <w:szCs w:val="21"/>
          <w:highlight w:val="none"/>
        </w:rPr>
        <w:t>：</w:t>
      </w:r>
      <w:r>
        <w:rPr>
          <w:rFonts w:ascii="宋体" w:hAnsi="宋体" w:eastAsia="宋体" w:cs="宋体"/>
          <w:spacing w:val="-6"/>
          <w:szCs w:val="21"/>
          <w:highlight w:val="none"/>
        </w:rPr>
        <w:t xml:space="preserve"> </w:t>
      </w:r>
    </w:p>
    <w:p>
      <w:pPr>
        <w:kinsoku w:val="0"/>
        <w:overflowPunct w:val="0"/>
        <w:spacing w:line="480" w:lineRule="auto"/>
        <w:rPr>
          <w:rFonts w:ascii="宋体" w:hAnsi="宋体" w:eastAsia="宋体" w:cs="宋体"/>
          <w:spacing w:val="-7"/>
          <w:szCs w:val="21"/>
          <w:highlight w:val="none"/>
        </w:rPr>
      </w:pPr>
      <w:r>
        <w:rPr>
          <w:rFonts w:hint="eastAsia" w:ascii="宋体" w:hAnsi="宋体" w:eastAsia="宋体" w:cs="宋体"/>
          <w:spacing w:val="-7"/>
          <w:szCs w:val="21"/>
          <w:highlight w:val="none"/>
        </w:rPr>
        <w:t>法定代表人或授权代表签字：</w:t>
      </w:r>
    </w:p>
    <w:p>
      <w:pPr>
        <w:pStyle w:val="17"/>
        <w:keepNext w:val="0"/>
        <w:keepLines w:val="0"/>
        <w:pageBreakBefore w:val="0"/>
        <w:widowControl w:val="0"/>
        <w:kinsoku/>
        <w:wordWrap/>
        <w:overflowPunct/>
        <w:bidi w:val="0"/>
        <w:adjustRightInd/>
        <w:jc w:val="center"/>
        <w:textAlignment w:val="auto"/>
        <w:outlineLvl w:val="9"/>
        <w:rPr>
          <w:rFonts w:hint="eastAsia" w:ascii="宋体" w:hAnsi="宋体" w:eastAsia="宋体" w:cs="宋体"/>
          <w:b/>
          <w:color w:val="auto"/>
          <w:sz w:val="44"/>
          <w:szCs w:val="44"/>
          <w:highlight w:val="none"/>
        </w:rPr>
      </w:pPr>
      <w:r>
        <w:rPr>
          <w:rFonts w:hint="eastAsia" w:ascii="宋体" w:hAnsi="宋体" w:eastAsia="宋体" w:cs="宋体"/>
          <w:spacing w:val="-7"/>
          <w:szCs w:val="21"/>
          <w:highlight w:val="none"/>
        </w:rPr>
        <w:t>签署日期：</w:t>
      </w:r>
      <w:r>
        <w:rPr>
          <w:rFonts w:ascii="宋体" w:hAnsi="宋体" w:eastAsia="宋体" w:cs="宋体"/>
          <w:spacing w:val="-7"/>
          <w:szCs w:val="21"/>
          <w:highlight w:val="non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rPr>
        <w:tab/>
      </w:r>
      <w:r>
        <w:rPr>
          <w:rFonts w:hint="eastAsia" w:ascii="宋体" w:hAnsi="宋体" w:eastAsia="宋体" w:cs="宋体"/>
          <w:szCs w:val="21"/>
          <w:highlight w:val="none"/>
        </w:rPr>
        <w:t xml:space="preserve">  月  </w:t>
      </w:r>
      <w:bookmarkEnd w:id="116"/>
    </w:p>
    <w:p>
      <w:pPr>
        <w:pStyle w:val="17"/>
        <w:keepNext w:val="0"/>
        <w:keepLines w:val="0"/>
        <w:pageBreakBefore w:val="0"/>
        <w:widowControl w:val="0"/>
        <w:kinsoku/>
        <w:wordWrap/>
        <w:overflowPunct/>
        <w:bidi w:val="0"/>
        <w:adjustRightInd/>
        <w:jc w:val="center"/>
        <w:textAlignment w:val="auto"/>
        <w:outlineLvl w:val="9"/>
        <w:rPr>
          <w:rFonts w:hint="eastAsia" w:ascii="宋体" w:hAnsi="宋体" w:eastAsia="宋体" w:cs="宋体"/>
          <w:b/>
          <w:color w:val="auto"/>
          <w:sz w:val="44"/>
          <w:szCs w:val="44"/>
          <w:highlight w:val="none"/>
        </w:rPr>
      </w:pPr>
    </w:p>
    <w:p>
      <w:pPr>
        <w:rPr>
          <w:rFonts w:ascii="宋体" w:hAnsi="宋体" w:cs="宋体"/>
          <w:color w:val="auto"/>
          <w:highlight w:val="none"/>
        </w:rPr>
      </w:pPr>
    </w:p>
    <w:p>
      <w:pPr>
        <w:rPr>
          <w:rFonts w:hint="eastAsia" w:ascii="宋体" w:hAnsi="宋体" w:eastAsia="宋体" w:cs="宋体"/>
          <w:color w:val="auto"/>
          <w:highlight w:val="none"/>
        </w:rPr>
      </w:pPr>
      <w:bookmarkStart w:id="117" w:name="_Toc17725_WPSOffice_Level1"/>
      <w:bookmarkStart w:id="118" w:name="_Toc1848"/>
      <w:bookmarkStart w:id="119" w:name="_Toc96523893"/>
      <w:r>
        <w:rPr>
          <w:rFonts w:hint="eastAsia" w:ascii="宋体" w:hAnsi="宋体" w:eastAsia="宋体" w:cs="宋体"/>
          <w:color w:val="auto"/>
          <w:highlight w:val="none"/>
        </w:rPr>
        <w:br w:type="page"/>
      </w:r>
    </w:p>
    <w:p>
      <w:pPr>
        <w:pStyle w:val="4"/>
        <w:rPr>
          <w:rFonts w:ascii="宋体" w:hAnsi="宋体" w:eastAsia="宋体" w:cs="宋体"/>
          <w:color w:val="auto"/>
          <w:highlight w:val="none"/>
        </w:rPr>
      </w:pPr>
      <w:r>
        <w:rPr>
          <w:rFonts w:hint="eastAsia" w:ascii="宋体" w:hAnsi="宋体" w:eastAsia="宋体" w:cs="宋体"/>
          <w:color w:val="auto"/>
          <w:highlight w:val="none"/>
        </w:rPr>
        <w:t>第五部分投标文件内容及格式</w:t>
      </w:r>
      <w:bookmarkEnd w:id="117"/>
      <w:bookmarkEnd w:id="118"/>
      <w:bookmarkEnd w:id="119"/>
    </w:p>
    <w:p>
      <w:pPr>
        <w:pStyle w:val="7"/>
        <w:rPr>
          <w:rFonts w:ascii="宋体" w:hAnsi="宋体" w:eastAsia="宋体" w:cs="宋体"/>
          <w:color w:val="auto"/>
          <w:sz w:val="24"/>
          <w:szCs w:val="24"/>
          <w:highlight w:val="none"/>
        </w:rPr>
      </w:pPr>
      <w:bookmarkStart w:id="120" w:name="sys_投标文件内容及格式：Block"/>
      <w:bookmarkEnd w:id="120"/>
      <w:bookmarkStart w:id="121" w:name="投标文件内容及格式：Block"/>
      <w:bookmarkEnd w:id="121"/>
      <w:bookmarkStart w:id="122" w:name="_Toc96523894"/>
      <w:bookmarkStart w:id="123" w:name="_Toc30528_WPSOffice_Level1"/>
      <w:r>
        <w:rPr>
          <w:rFonts w:hint="eastAsia" w:ascii="宋体" w:hAnsi="宋体" w:eastAsia="宋体" w:cs="宋体"/>
          <w:color w:val="auto"/>
          <w:sz w:val="24"/>
          <w:szCs w:val="24"/>
          <w:highlight w:val="none"/>
        </w:rPr>
        <w:t>格式1.投标文件包装信封或外包装格式参考</w:t>
      </w:r>
      <w:bookmarkEnd w:id="122"/>
      <w:bookmarkEnd w:id="123"/>
    </w:p>
    <w:tbl>
      <w:tblPr>
        <w:tblStyle w:val="33"/>
        <w:tblpPr w:leftFromText="180" w:rightFromText="180" w:vertAnchor="text" w:horzAnchor="margin" w:tblpY="11"/>
        <w:tblOverlap w:val="never"/>
        <w:tblW w:w="7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4" w:hRule="atLeast"/>
        </w:trPr>
        <w:tc>
          <w:tcPr>
            <w:tcW w:w="7970" w:type="dxa"/>
          </w:tcPr>
          <w:p>
            <w:pPr>
              <w:pStyle w:val="2"/>
              <w:spacing w:line="40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项目编号：（项目编号）</w:t>
            </w:r>
          </w:p>
          <w:p>
            <w:pPr>
              <w:pStyle w:val="2"/>
              <w:spacing w:line="40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项目名称：（项目名称）</w:t>
            </w:r>
          </w:p>
          <w:p>
            <w:pPr>
              <w:pStyle w:val="2"/>
              <w:spacing w:line="40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所投包号：第包（如有）</w:t>
            </w:r>
          </w:p>
          <w:p>
            <w:pPr>
              <w:pStyle w:val="2"/>
              <w:spacing w:line="400" w:lineRule="exact"/>
              <w:ind w:firstLine="900" w:firstLineChars="320"/>
              <w:rPr>
                <w:rFonts w:ascii="宋体" w:hAnsi="宋体" w:eastAsia="宋体" w:cs="宋体"/>
                <w:b/>
                <w:bCs/>
                <w:color w:val="auto"/>
                <w:sz w:val="28"/>
                <w:szCs w:val="28"/>
                <w:highlight w:val="none"/>
                <w:u w:val="single"/>
              </w:rPr>
            </w:pPr>
          </w:p>
          <w:p>
            <w:pPr>
              <w:pStyle w:val="2"/>
              <w:rPr>
                <w:rFonts w:ascii="宋体" w:hAnsi="宋体" w:eastAsia="宋体" w:cs="宋体"/>
                <w:b/>
                <w:color w:val="auto"/>
                <w:sz w:val="32"/>
                <w:highlight w:val="none"/>
              </w:rPr>
            </w:pPr>
          </w:p>
          <w:p>
            <w:pPr>
              <w:pStyle w:val="2"/>
              <w:jc w:val="center"/>
              <w:rPr>
                <w:rFonts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pPr>
              <w:pStyle w:val="2"/>
              <w:ind w:firstLine="3398" w:firstLineChars="651"/>
              <w:rPr>
                <w:rFonts w:ascii="宋体" w:hAnsi="宋体" w:eastAsia="宋体" w:cs="宋体"/>
                <w:b/>
                <w:color w:val="auto"/>
                <w:sz w:val="32"/>
                <w:highlight w:val="none"/>
              </w:rPr>
            </w:pPr>
            <w:r>
              <w:rPr>
                <w:rFonts w:hint="eastAsia" w:ascii="宋体" w:hAnsi="宋体" w:eastAsia="宋体" w:cs="宋体"/>
                <w:b/>
                <w:color w:val="auto"/>
                <w:sz w:val="52"/>
                <w:szCs w:val="52"/>
                <w:highlight w:val="none"/>
              </w:rPr>
              <w:t>口</w:t>
            </w:r>
            <w:r>
              <w:rPr>
                <w:rFonts w:hint="eastAsia" w:ascii="宋体" w:hAnsi="宋体" w:eastAsia="宋体" w:cs="宋体"/>
                <w:b/>
                <w:color w:val="auto"/>
                <w:sz w:val="32"/>
                <w:highlight w:val="none"/>
              </w:rPr>
              <w:t>正本</w:t>
            </w:r>
          </w:p>
          <w:p>
            <w:pPr>
              <w:pStyle w:val="2"/>
              <w:ind w:firstLine="3398" w:firstLineChars="651"/>
              <w:rPr>
                <w:rFonts w:ascii="宋体" w:hAnsi="宋体" w:eastAsia="宋体" w:cs="宋体"/>
                <w:b/>
                <w:color w:val="auto"/>
                <w:sz w:val="32"/>
                <w:highlight w:val="none"/>
              </w:rPr>
            </w:pPr>
            <w:r>
              <w:rPr>
                <w:rFonts w:hint="eastAsia" w:ascii="宋体" w:hAnsi="宋体" w:eastAsia="宋体" w:cs="宋体"/>
                <w:b/>
                <w:color w:val="auto"/>
                <w:sz w:val="52"/>
                <w:szCs w:val="52"/>
                <w:highlight w:val="none"/>
              </w:rPr>
              <w:t>口</w:t>
            </w:r>
            <w:r>
              <w:rPr>
                <w:rFonts w:hint="eastAsia" w:ascii="宋体" w:hAnsi="宋体" w:eastAsia="宋体" w:cs="宋体"/>
                <w:b/>
                <w:color w:val="auto"/>
                <w:sz w:val="32"/>
                <w:highlight w:val="none"/>
              </w:rPr>
              <w:t>副本</w:t>
            </w:r>
          </w:p>
          <w:p>
            <w:pPr>
              <w:pStyle w:val="2"/>
              <w:ind w:firstLine="3398" w:firstLineChars="651"/>
              <w:rPr>
                <w:rFonts w:ascii="宋体" w:hAnsi="宋体" w:eastAsia="宋体" w:cs="宋体"/>
                <w:b/>
                <w:color w:val="auto"/>
                <w:sz w:val="32"/>
                <w:highlight w:val="none"/>
              </w:rPr>
            </w:pPr>
            <w:r>
              <w:rPr>
                <w:rFonts w:hint="eastAsia" w:ascii="宋体" w:hAnsi="宋体" w:eastAsia="宋体" w:cs="宋体"/>
                <w:b/>
                <w:color w:val="auto"/>
                <w:sz w:val="52"/>
                <w:szCs w:val="52"/>
                <w:highlight w:val="none"/>
              </w:rPr>
              <w:t>口</w:t>
            </w:r>
            <w:r>
              <w:rPr>
                <w:rFonts w:hint="eastAsia" w:ascii="宋体" w:hAnsi="宋体" w:eastAsia="宋体" w:cs="宋体"/>
                <w:b/>
                <w:color w:val="auto"/>
                <w:sz w:val="32"/>
                <w:highlight w:val="none"/>
              </w:rPr>
              <w:t>保证金信封</w:t>
            </w:r>
          </w:p>
          <w:p>
            <w:pPr>
              <w:pStyle w:val="2"/>
              <w:spacing w:line="400" w:lineRule="exact"/>
              <w:rPr>
                <w:rFonts w:ascii="宋体" w:hAnsi="宋体" w:eastAsia="宋体" w:cs="宋体"/>
                <w:b/>
                <w:color w:val="auto"/>
                <w:sz w:val="28"/>
                <w:szCs w:val="28"/>
                <w:highlight w:val="none"/>
              </w:rPr>
            </w:pPr>
          </w:p>
          <w:p>
            <w:pPr>
              <w:pStyle w:val="2"/>
              <w:spacing w:line="400" w:lineRule="exact"/>
              <w:rPr>
                <w:rFonts w:ascii="宋体" w:hAnsi="宋体" w:eastAsia="宋体" w:cs="宋体"/>
                <w:b/>
                <w:color w:val="auto"/>
                <w:sz w:val="28"/>
                <w:szCs w:val="28"/>
                <w:highlight w:val="none"/>
              </w:rPr>
            </w:pPr>
          </w:p>
          <w:p>
            <w:pPr>
              <w:pStyle w:val="2"/>
              <w:spacing w:line="4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投标人名称：（盖单位章）</w:t>
            </w:r>
          </w:p>
          <w:p>
            <w:pPr>
              <w:pStyle w:val="2"/>
              <w:spacing w:line="4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投标人地址：</w:t>
            </w:r>
          </w:p>
          <w:p>
            <w:pPr>
              <w:tabs>
                <w:tab w:val="left" w:pos="720"/>
              </w:tabs>
              <w:snapToGrid w:val="0"/>
              <w:spacing w:line="360" w:lineRule="auto"/>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收件人名称：（采购代理机构名称）</w:t>
            </w:r>
          </w:p>
          <w:p>
            <w:pPr>
              <w:tabs>
                <w:tab w:val="left" w:pos="720"/>
              </w:tabs>
              <w:snapToGrid w:val="0"/>
              <w:spacing w:line="360" w:lineRule="auto"/>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（在规定的投标截止时间之前不得启封）</w:t>
            </w:r>
          </w:p>
        </w:tc>
      </w:tr>
    </w:tbl>
    <w:p>
      <w:pPr>
        <w:pStyle w:val="6"/>
        <w:rPr>
          <w:rFonts w:ascii="宋体" w:hAnsi="宋体" w:eastAsia="宋体" w:cs="宋体"/>
          <w:color w:val="auto"/>
          <w:highlight w:val="none"/>
        </w:rPr>
      </w:pPr>
    </w:p>
    <w:p>
      <w:pPr>
        <w:rPr>
          <w:rFonts w:ascii="宋体" w:hAnsi="宋体" w:eastAsia="宋体" w:cs="宋体"/>
          <w:color w:val="auto"/>
          <w:highlight w:val="none"/>
        </w:rPr>
      </w:pPr>
      <w:r>
        <w:rPr>
          <w:rFonts w:hint="eastAsia" w:ascii="宋体" w:hAnsi="宋体" w:eastAsia="宋体" w:cs="宋体"/>
          <w:color w:val="auto"/>
          <w:sz w:val="24"/>
          <w:szCs w:val="32"/>
          <w:highlight w:val="none"/>
        </w:rPr>
        <w:t>封口格式：</w:t>
      </w:r>
    </w:p>
    <w:tbl>
      <w:tblPr>
        <w:tblStyle w:val="3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——于  年 月 日  时之前不准启封（公章）——</w:t>
            </w:r>
          </w:p>
        </w:tc>
      </w:tr>
    </w:tbl>
    <w:p>
      <w:pPr>
        <w:rPr>
          <w:rFonts w:ascii="宋体" w:hAnsi="宋体" w:eastAsia="宋体" w:cs="宋体"/>
          <w:color w:val="auto"/>
          <w:highlight w:val="none"/>
        </w:rPr>
      </w:pPr>
    </w:p>
    <w:p>
      <w:pPr>
        <w:pStyle w:val="7"/>
        <w:rPr>
          <w:rFonts w:ascii="宋体" w:hAnsi="宋体" w:eastAsia="宋体" w:cs="宋体"/>
          <w:color w:val="auto"/>
          <w:sz w:val="24"/>
          <w:szCs w:val="24"/>
          <w:highlight w:val="none"/>
        </w:rPr>
      </w:pPr>
      <w:bookmarkStart w:id="124" w:name="_Toc4984_WPSOffice_Level1"/>
      <w:bookmarkStart w:id="125" w:name="_Toc96523895"/>
      <w:r>
        <w:rPr>
          <w:rFonts w:hint="eastAsia" w:ascii="宋体" w:hAnsi="宋体" w:eastAsia="宋体" w:cs="宋体"/>
          <w:color w:val="auto"/>
          <w:sz w:val="24"/>
          <w:szCs w:val="24"/>
          <w:highlight w:val="none"/>
        </w:rPr>
        <w:t>格式2.投标文件封面格式参考</w:t>
      </w:r>
      <w:bookmarkEnd w:id="124"/>
      <w:bookmarkEnd w:id="125"/>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r>
        <w:rPr>
          <w:rFonts w:ascii="宋体" w:hAnsi="宋体" w:eastAsia="宋体" w:cs="宋体"/>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1430" b="1651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宋体" w:hAnsi="宋体" w:eastAsia="宋体" w:cs="宋体"/>
          <w:b/>
          <w:bCs/>
          <w:color w:val="auto"/>
          <w:sz w:val="32"/>
          <w:szCs w:val="32"/>
          <w:highlight w:val="none"/>
        </w:rPr>
        <w:t>投标文件的封皮</w:t>
      </w: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b/>
          <w:bCs/>
          <w:color w:val="auto"/>
          <w:sz w:val="72"/>
          <w:szCs w:val="52"/>
          <w:highlight w:val="none"/>
        </w:rPr>
      </w:pPr>
      <w:bookmarkStart w:id="126" w:name="_Toc32737_WPSOffice_Level1"/>
      <w:r>
        <w:rPr>
          <w:rFonts w:hint="eastAsia" w:ascii="宋体" w:hAnsi="宋体" w:eastAsia="宋体" w:cs="宋体"/>
          <w:b/>
          <w:bCs/>
          <w:color w:val="auto"/>
          <w:sz w:val="72"/>
          <w:szCs w:val="52"/>
          <w:highlight w:val="none"/>
        </w:rPr>
        <w:t>投标文件</w:t>
      </w:r>
      <w:bookmarkEnd w:id="126"/>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bookmarkStart w:id="127" w:name="_Toc1508_WPSOffice_Level1"/>
      <w:r>
        <w:rPr>
          <w:rFonts w:hint="eastAsia" w:ascii="宋体" w:hAnsi="宋体" w:eastAsia="宋体" w:cs="宋体"/>
          <w:color w:val="auto"/>
          <w:sz w:val="28"/>
          <w:szCs w:val="28"/>
          <w:highlight w:val="none"/>
        </w:rPr>
        <w:t>所投包号：第包</w:t>
      </w:r>
      <w:bookmarkEnd w:id="127"/>
    </w:p>
    <w:p>
      <w:pPr>
        <w:rPr>
          <w:rFonts w:ascii="宋体" w:hAnsi="宋体" w:eastAsia="宋体" w:cs="宋体"/>
          <w:color w:val="auto"/>
          <w:sz w:val="28"/>
          <w:szCs w:val="28"/>
          <w:highlight w:val="none"/>
        </w:rPr>
      </w:pPr>
      <w:bookmarkStart w:id="128" w:name="_Toc9940_WPSOffice_Level1"/>
      <w:r>
        <w:rPr>
          <w:rFonts w:hint="eastAsia" w:ascii="宋体" w:hAnsi="宋体" w:eastAsia="宋体" w:cs="宋体"/>
          <w:color w:val="auto"/>
          <w:sz w:val="28"/>
          <w:szCs w:val="28"/>
          <w:highlight w:val="none"/>
        </w:rPr>
        <w:t>项目名称：（项目名称）</w:t>
      </w:r>
      <w:bookmarkEnd w:id="128"/>
    </w:p>
    <w:p>
      <w:pPr>
        <w:rPr>
          <w:rFonts w:ascii="宋体" w:hAnsi="宋体" w:eastAsia="宋体" w:cs="宋体"/>
          <w:color w:val="auto"/>
          <w:sz w:val="28"/>
          <w:szCs w:val="28"/>
          <w:highlight w:val="none"/>
        </w:rPr>
      </w:pPr>
      <w:bookmarkStart w:id="129" w:name="_Toc11532_WPSOffice_Level1"/>
      <w:r>
        <w:rPr>
          <w:rFonts w:hint="eastAsia" w:ascii="宋体" w:hAnsi="宋体" w:eastAsia="宋体" w:cs="宋体"/>
          <w:color w:val="auto"/>
          <w:sz w:val="28"/>
          <w:szCs w:val="28"/>
          <w:highlight w:val="none"/>
        </w:rPr>
        <w:t>项目编号：（项目编号）</w:t>
      </w:r>
      <w:bookmarkEnd w:id="129"/>
    </w:p>
    <w:p>
      <w:pPr>
        <w:rPr>
          <w:rFonts w:ascii="宋体" w:hAnsi="宋体" w:eastAsia="宋体" w:cs="宋体"/>
          <w:color w:val="auto"/>
          <w:sz w:val="28"/>
          <w:szCs w:val="28"/>
          <w:highlight w:val="none"/>
        </w:rPr>
      </w:pPr>
      <w:bookmarkStart w:id="130" w:name="_Toc6521_WPSOffice_Level1"/>
      <w:r>
        <w:rPr>
          <w:rFonts w:hint="eastAsia" w:ascii="宋体" w:hAnsi="宋体" w:eastAsia="宋体" w:cs="宋体"/>
          <w:color w:val="auto"/>
          <w:sz w:val="28"/>
          <w:szCs w:val="28"/>
          <w:highlight w:val="none"/>
        </w:rPr>
        <w:t>投标人名称：（盖单位章）</w:t>
      </w:r>
      <w:bookmarkEnd w:id="130"/>
    </w:p>
    <w:p>
      <w:pPr>
        <w:rPr>
          <w:rFonts w:ascii="宋体" w:hAnsi="宋体" w:eastAsia="宋体" w:cs="宋体"/>
          <w:color w:val="auto"/>
          <w:sz w:val="24"/>
          <w:highlight w:val="none"/>
        </w:rPr>
      </w:pPr>
      <w:bookmarkStart w:id="131" w:name="_Toc26721_WPSOffice_Level1"/>
      <w:r>
        <w:rPr>
          <w:rFonts w:hint="eastAsia" w:ascii="宋体" w:hAnsi="宋体" w:eastAsia="宋体" w:cs="宋体"/>
          <w:color w:val="auto"/>
          <w:sz w:val="28"/>
          <w:szCs w:val="28"/>
          <w:highlight w:val="none"/>
        </w:rPr>
        <w:t>投标人地址：</w:t>
      </w: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4"/>
          <w:highlight w:val="none"/>
        </w:rPr>
        <w:t>格式3.目录（参考）</w:t>
      </w:r>
      <w:bookmarkEnd w:id="131"/>
    </w:p>
    <w:p>
      <w:pPr>
        <w:jc w:val="center"/>
        <w:rPr>
          <w:rFonts w:ascii="宋体" w:hAnsi="宋体" w:eastAsia="宋体" w:cs="宋体"/>
          <w:b/>
          <w:bCs/>
          <w:color w:val="auto"/>
          <w:sz w:val="32"/>
          <w:szCs w:val="32"/>
          <w:highlight w:val="none"/>
        </w:rPr>
      </w:pPr>
      <w:bookmarkStart w:id="132" w:name="_Toc2304_WPSOffice_Level2"/>
      <w:bookmarkStart w:id="133" w:name="_Toc19148_WPSOffice_Level1"/>
      <w:bookmarkStart w:id="134" w:name="_Toc21414_WPSOffice_Level2"/>
      <w:r>
        <w:rPr>
          <w:rFonts w:hint="eastAsia" w:ascii="宋体" w:hAnsi="宋体" w:eastAsia="宋体" w:cs="宋体"/>
          <w:b/>
          <w:bCs/>
          <w:color w:val="auto"/>
          <w:sz w:val="32"/>
          <w:szCs w:val="32"/>
          <w:highlight w:val="none"/>
        </w:rPr>
        <w:t>目录</w:t>
      </w:r>
      <w:bookmarkEnd w:id="132"/>
      <w:bookmarkEnd w:id="133"/>
      <w:bookmarkEnd w:id="134"/>
    </w:p>
    <w:tbl>
      <w:tblPr>
        <w:tblStyle w:val="33"/>
        <w:tblW w:w="8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2"/>
        <w:gridCol w:w="618"/>
        <w:gridCol w:w="4579"/>
        <w:gridCol w:w="746"/>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类型名称</w:t>
            </w:r>
          </w:p>
        </w:tc>
        <w:tc>
          <w:tcPr>
            <w:tcW w:w="61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序号</w:t>
            </w:r>
          </w:p>
        </w:tc>
        <w:tc>
          <w:tcPr>
            <w:tcW w:w="4579" w:type="dxa"/>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文件名称</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页码</w:t>
            </w: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vMerge w:val="restart"/>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索引</w:t>
            </w:r>
          </w:p>
        </w:tc>
        <w:tc>
          <w:tcPr>
            <w:tcW w:w="618" w:type="dxa"/>
            <w:tcBorders>
              <w:left w:val="single" w:color="auto" w:sz="4" w:space="0"/>
            </w:tcBorders>
            <w:vAlign w:val="center"/>
          </w:tcPr>
          <w:p>
            <w:pPr>
              <w:widowControl/>
              <w:numPr>
                <w:ilvl w:val="0"/>
                <w:numId w:val="10"/>
              </w:numPr>
              <w:spacing w:line="300" w:lineRule="exact"/>
              <w:jc w:val="center"/>
              <w:rPr>
                <w:rFonts w:ascii="宋体" w:hAnsi="宋体" w:eastAsia="宋体" w:cs="宋体"/>
                <w:b/>
                <w:bCs/>
                <w:color w:val="auto"/>
                <w:szCs w:val="21"/>
                <w:highlight w:val="none"/>
              </w:rPr>
            </w:pPr>
          </w:p>
        </w:tc>
        <w:tc>
          <w:tcPr>
            <w:tcW w:w="4579" w:type="dxa"/>
            <w:vAlign w:val="center"/>
          </w:tcPr>
          <w:p>
            <w:pPr>
              <w:widowControl/>
              <w:spacing w:line="3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资格、符合性审查自查表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0"/>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szCs w:val="21"/>
                <w:highlight w:val="none"/>
              </w:rPr>
              <w:t>评审要素投标资料索引表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资格审查文件</w:t>
            </w:r>
          </w:p>
        </w:tc>
        <w:tc>
          <w:tcPr>
            <w:tcW w:w="618" w:type="dxa"/>
            <w:tcBorders>
              <w:left w:val="single" w:color="auto" w:sz="4" w:space="0"/>
            </w:tcBorders>
            <w:vAlign w:val="center"/>
          </w:tcPr>
          <w:p>
            <w:pPr>
              <w:widowControl/>
              <w:numPr>
                <w:ilvl w:val="0"/>
                <w:numId w:val="11"/>
              </w:numPr>
              <w:spacing w:line="300" w:lineRule="exact"/>
              <w:jc w:val="center"/>
              <w:rPr>
                <w:rFonts w:ascii="宋体" w:hAnsi="宋体" w:eastAsia="宋体" w:cs="宋体"/>
                <w:b/>
                <w:bCs/>
                <w:color w:val="auto"/>
                <w:highlight w:val="none"/>
              </w:rPr>
            </w:pPr>
          </w:p>
        </w:tc>
        <w:tc>
          <w:tcPr>
            <w:tcW w:w="4579" w:type="dxa"/>
            <w:vAlign w:val="center"/>
          </w:tcPr>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供应商具备《政府采购法》第二十二条所规定的条件：</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1.1</w:t>
            </w:r>
          </w:p>
        </w:tc>
        <w:tc>
          <w:tcPr>
            <w:tcW w:w="4579" w:type="dxa"/>
            <w:vAlign w:val="center"/>
          </w:tcPr>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w:t>
            </w:r>
            <w:r>
              <w:rPr>
                <w:rFonts w:hint="eastAsia" w:ascii="宋体" w:hAnsi="宋体" w:eastAsia="宋体" w:cs="宋体"/>
                <w:b/>
                <w:bCs/>
                <w:color w:val="auto"/>
                <w:highlight w:val="none"/>
              </w:rPr>
              <w:t>按规定格式盖章签署，否则将导致不能通过资格审查</w:t>
            </w:r>
            <w:r>
              <w:rPr>
                <w:rFonts w:hint="eastAsia" w:ascii="宋体" w:hAnsi="宋体" w:eastAsia="宋体" w:cs="宋体"/>
                <w:b/>
                <w:color w:val="auto"/>
                <w:szCs w:val="21"/>
                <w:highlight w:val="none"/>
              </w:rPr>
              <w:t>）</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附件1</w:t>
            </w:r>
          </w:p>
        </w:tc>
        <w:tc>
          <w:tcPr>
            <w:tcW w:w="4579"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提供最新的投标人营业执照（或事业单位法人证书，或社会团体法人登记证书，或执业许可证）副本复印件；如投标人为自然人的需提供自然人身份证明。</w:t>
            </w:r>
          </w:p>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若以不具有独立承担民事责任能力的分支机构投标，须取得具有法人资格的总公司的授权书，并提供总公司营业执照副本复印件；</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1"/>
              </w:numPr>
              <w:spacing w:line="300" w:lineRule="exact"/>
              <w:jc w:val="center"/>
              <w:rPr>
                <w:rFonts w:ascii="宋体" w:hAnsi="宋体" w:eastAsia="宋体" w:cs="宋体"/>
                <w:b/>
                <w:bCs/>
                <w:color w:val="auto"/>
                <w:highlight w:val="none"/>
              </w:rPr>
            </w:pPr>
          </w:p>
        </w:tc>
        <w:tc>
          <w:tcPr>
            <w:tcW w:w="4579" w:type="dxa"/>
          </w:tcPr>
          <w:p>
            <w:pPr>
              <w:tabs>
                <w:tab w:val="left" w:pos="709"/>
              </w:tabs>
              <w:spacing w:line="440" w:lineRule="exact"/>
              <w:rPr>
                <w:rFonts w:ascii="宋体" w:hAnsi="宋体" w:eastAsia="宋体" w:cs="宋体"/>
                <w:color w:val="auto"/>
                <w:highlight w:val="none"/>
              </w:rPr>
            </w:pPr>
            <w:r>
              <w:rPr>
                <w:rFonts w:hint="eastAsia" w:ascii="宋体" w:hAnsi="宋体" w:eastAsia="宋体" w:cs="宋体"/>
                <w:b/>
                <w:color w:val="auto"/>
                <w:szCs w:val="21"/>
                <w:highlight w:val="none"/>
              </w:rPr>
              <w:t>落实政府采购政策需满足的资格要求：</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1"/>
              </w:numPr>
              <w:spacing w:line="300" w:lineRule="exact"/>
              <w:jc w:val="center"/>
              <w:rPr>
                <w:rFonts w:ascii="宋体" w:hAnsi="宋体" w:eastAsia="宋体" w:cs="宋体"/>
                <w:b/>
                <w:bCs/>
                <w:color w:val="auto"/>
                <w:highlight w:val="none"/>
              </w:rPr>
            </w:pPr>
          </w:p>
        </w:tc>
        <w:tc>
          <w:tcPr>
            <w:tcW w:w="4579" w:type="dxa"/>
            <w:vAlign w:val="center"/>
          </w:tcPr>
          <w:p>
            <w:pPr>
              <w:tabs>
                <w:tab w:val="left" w:pos="709"/>
              </w:tabs>
              <w:rPr>
                <w:rFonts w:ascii="宋体" w:hAnsi="宋体" w:eastAsia="宋体" w:cs="宋体"/>
                <w:color w:val="auto"/>
                <w:szCs w:val="21"/>
                <w:highlight w:val="none"/>
              </w:rPr>
            </w:pPr>
            <w:r>
              <w:rPr>
                <w:rFonts w:hint="eastAsia" w:ascii="宋体" w:hAnsi="宋体" w:eastAsia="宋体" w:cs="宋体"/>
                <w:color w:val="auto"/>
                <w:szCs w:val="21"/>
                <w:highlight w:val="none"/>
              </w:rPr>
              <w:t>（根据项目属性提出的特定要求）</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1"/>
              </w:numPr>
              <w:spacing w:line="300" w:lineRule="exact"/>
              <w:jc w:val="center"/>
              <w:rPr>
                <w:rFonts w:ascii="宋体" w:hAnsi="宋体" w:eastAsia="宋体" w:cs="宋体"/>
                <w:b/>
                <w:bCs/>
                <w:color w:val="auto"/>
                <w:highlight w:val="none"/>
              </w:rPr>
            </w:pPr>
          </w:p>
        </w:tc>
        <w:tc>
          <w:tcPr>
            <w:tcW w:w="4579" w:type="dxa"/>
            <w:vAlign w:val="center"/>
          </w:tcPr>
          <w:p>
            <w:pPr>
              <w:tabs>
                <w:tab w:val="left" w:pos="709"/>
              </w:tabs>
              <w:rPr>
                <w:rFonts w:ascii="宋体" w:hAnsi="宋体" w:eastAsia="宋体" w:cs="宋体"/>
                <w:color w:val="auto"/>
                <w:szCs w:val="21"/>
                <w:highlight w:val="none"/>
              </w:rPr>
            </w:pPr>
            <w:r>
              <w:rPr>
                <w:rFonts w:hint="eastAsia" w:ascii="宋体" w:hAnsi="宋体" w:eastAsia="宋体" w:cs="宋体"/>
                <w:b/>
                <w:bCs/>
                <w:color w:val="auto"/>
                <w:highlight w:val="none"/>
              </w:rPr>
              <w:t>投标人认为必要的其他文件。</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right w:val="single" w:color="auto" w:sz="4" w:space="0"/>
            </w:tcBorders>
            <w:vAlign w:val="center"/>
          </w:tcPr>
          <w:p>
            <w:pPr>
              <w:widowControl/>
              <w:spacing w:line="240" w:lineRule="atLeast"/>
              <w:jc w:val="center"/>
              <w:rPr>
                <w:rFonts w:ascii="宋体" w:hAnsi="宋体" w:eastAsia="宋体" w:cs="宋体"/>
                <w:b/>
                <w:bCs/>
                <w:color w:val="auto"/>
                <w:highlight w:val="none"/>
              </w:rPr>
            </w:pPr>
            <w:r>
              <w:rPr>
                <w:rFonts w:hint="eastAsia" w:ascii="宋体" w:hAnsi="宋体" w:eastAsia="宋体" w:cs="宋体"/>
                <w:b/>
                <w:bCs/>
                <w:color w:val="auto"/>
                <w:highlight w:val="none"/>
              </w:rPr>
              <w:t>商务部分</w:t>
            </w: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投标函（按规定格式盖章签署，否则将导致投标无效）</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法定代表人证明书及法定代表人授权委托书（如适用）</w:t>
            </w:r>
          </w:p>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开标一览表</w:t>
            </w:r>
          </w:p>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政策适用性说明</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color w:val="auto"/>
                <w:szCs w:val="21"/>
                <w:highlight w:val="none"/>
              </w:rPr>
              <w:t>中小企业声明函（可选）</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szCs w:val="21"/>
                <w:highlight w:val="none"/>
              </w:rPr>
            </w:pPr>
          </w:p>
        </w:tc>
        <w:tc>
          <w:tcPr>
            <w:tcW w:w="4579" w:type="dxa"/>
            <w:vAlign w:val="center"/>
          </w:tcPr>
          <w:p>
            <w:pPr>
              <w:widowControl/>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残疾人福利性单位声明函（可选）</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szCs w:val="21"/>
                <w:highlight w:val="none"/>
              </w:rPr>
            </w:pPr>
          </w:p>
        </w:tc>
        <w:tc>
          <w:tcPr>
            <w:tcW w:w="4579" w:type="dxa"/>
            <w:vAlign w:val="center"/>
          </w:tcPr>
          <w:p>
            <w:pPr>
              <w:widowControl/>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监狱企业相关证明（可选）</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实质性响应条款一览表</w:t>
            </w:r>
          </w:p>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投标响应与招标文件差异一览表</w:t>
            </w:r>
          </w:p>
          <w:p>
            <w:pPr>
              <w:widowControl/>
              <w:spacing w:line="300" w:lineRule="exact"/>
              <w:rPr>
                <w:rFonts w:ascii="宋体" w:hAnsi="宋体" w:eastAsia="宋体" w:cs="宋体"/>
                <w:b/>
                <w:bCs/>
                <w:color w:val="auto"/>
                <w:highlight w:val="none"/>
              </w:rPr>
            </w:pPr>
            <w:r>
              <w:rPr>
                <w:rFonts w:hint="eastAsia" w:ascii="宋体" w:hAnsi="宋体" w:eastAsia="宋体" w:cs="宋体"/>
                <w:b/>
                <w:bCs/>
                <w:color w:val="auto"/>
                <w:highlight w:val="none"/>
              </w:rPr>
              <w:t>（按规定格式盖章签署，否则将导致投标无效）</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投标人基本情况表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项目运营管理服务人员简历表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配置的人员情况表/人员清单一览表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类似项目业绩一览表</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投标保证金退还说明</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投标人认为必要的其他商务资料</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银行保函</w:t>
            </w:r>
            <w:r>
              <w:rPr>
                <w:rFonts w:hint="eastAsia" w:ascii="宋体" w:hAnsi="宋体" w:eastAsia="宋体" w:cs="宋体"/>
                <w:color w:val="auto"/>
                <w:highlight w:val="none"/>
              </w:rPr>
              <w:t>（已通过其他方式提交投标保证金的，无须提供）</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color w:val="auto"/>
                <w:highlight w:val="none"/>
              </w:rPr>
              <w:t>政府采购投标担保函（已通过其他方式提交投标保证金的，无须提供）</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联合体共同投标协议书（如项目允许联合体投标，联合体各方需签订）</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widowControl/>
              <w:spacing w:line="300" w:lineRule="exact"/>
              <w:rPr>
                <w:rFonts w:ascii="宋体" w:hAnsi="宋体" w:eastAsia="宋体" w:cs="宋体"/>
                <w:bCs/>
                <w:color w:val="auto"/>
                <w:highlight w:val="none"/>
              </w:rPr>
            </w:pPr>
            <w:r>
              <w:rPr>
                <w:rFonts w:hint="eastAsia" w:ascii="宋体" w:hAnsi="宋体" w:eastAsia="宋体" w:cs="宋体"/>
                <w:bCs/>
                <w:color w:val="auto"/>
                <w:highlight w:val="none"/>
              </w:rPr>
              <w:t>分包意向协议书（如项目允许分包，拟分包的各方需签订）</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restart"/>
            <w:tcBorders>
              <w:top w:val="single" w:color="auto" w:sz="4" w:space="0"/>
              <w:right w:val="single" w:color="auto" w:sz="4" w:space="0"/>
            </w:tcBorders>
            <w:vAlign w:val="center"/>
          </w:tcPr>
          <w:p>
            <w:pPr>
              <w:widowControl/>
              <w:spacing w:line="240" w:lineRule="atLeast"/>
              <w:jc w:val="center"/>
              <w:rPr>
                <w:rFonts w:ascii="宋体" w:hAnsi="宋体" w:eastAsia="宋体" w:cs="宋体"/>
                <w:b/>
                <w:bCs/>
                <w:color w:val="auto"/>
                <w:highlight w:val="none"/>
              </w:rPr>
            </w:pPr>
            <w:r>
              <w:rPr>
                <w:rFonts w:hint="eastAsia" w:ascii="宋体" w:hAnsi="宋体" w:eastAsia="宋体" w:cs="宋体"/>
                <w:b/>
                <w:bCs/>
                <w:color w:val="auto"/>
                <w:highlight w:val="none"/>
              </w:rPr>
              <w:t>服务部分</w:t>
            </w:r>
          </w:p>
        </w:tc>
        <w:tc>
          <w:tcPr>
            <w:tcW w:w="618" w:type="dxa"/>
            <w:tcBorders>
              <w:top w:val="single" w:color="auto" w:sz="4" w:space="0"/>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tcBorders>
              <w:top w:val="single" w:color="auto" w:sz="4" w:space="0"/>
            </w:tcBorders>
            <w:vAlign w:val="center"/>
          </w:tcPr>
          <w:p>
            <w:pPr>
              <w:autoSpaceDE w:val="0"/>
              <w:autoSpaceDN w:val="0"/>
              <w:adjustRightInd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详见《第四章投标文件</w:t>
            </w:r>
            <w:r>
              <w:rPr>
                <w:rFonts w:hint="eastAsia" w:ascii="宋体" w:hAnsi="宋体" w:eastAsia="宋体" w:cs="宋体"/>
                <w:b/>
                <w:bCs/>
                <w:color w:val="auto"/>
                <w:highlight w:val="none"/>
              </w:rPr>
              <w:t>服务</w:t>
            </w:r>
            <w:r>
              <w:rPr>
                <w:rFonts w:hint="eastAsia" w:ascii="宋体" w:hAnsi="宋体" w:eastAsia="宋体" w:cs="宋体"/>
                <w:b/>
                <w:bCs/>
                <w:color w:val="auto"/>
                <w:szCs w:val="21"/>
                <w:highlight w:val="none"/>
              </w:rPr>
              <w:t>部分》</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32" w:type="dxa"/>
            <w:vMerge w:val="continue"/>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618" w:type="dxa"/>
            <w:tcBorders>
              <w:left w:val="single" w:color="auto" w:sz="4" w:space="0"/>
            </w:tcBorders>
            <w:vAlign w:val="center"/>
          </w:tcPr>
          <w:p>
            <w:pPr>
              <w:widowControl/>
              <w:numPr>
                <w:ilvl w:val="0"/>
                <w:numId w:val="12"/>
              </w:numPr>
              <w:spacing w:line="300" w:lineRule="exact"/>
              <w:jc w:val="center"/>
              <w:rPr>
                <w:rFonts w:ascii="宋体" w:hAnsi="宋体" w:eastAsia="宋体" w:cs="宋体"/>
                <w:b/>
                <w:bCs/>
                <w:color w:val="auto"/>
                <w:highlight w:val="none"/>
              </w:rPr>
            </w:pPr>
          </w:p>
        </w:tc>
        <w:tc>
          <w:tcPr>
            <w:tcW w:w="4579" w:type="dxa"/>
            <w:vAlign w:val="center"/>
          </w:tcPr>
          <w:p>
            <w:pPr>
              <w:pStyle w:val="17"/>
              <w:spacing w:line="240" w:lineRule="exact"/>
              <w:rPr>
                <w:rFonts w:hAnsi="宋体" w:eastAsia="宋体" w:cs="宋体"/>
                <w:b/>
                <w:bCs/>
                <w:color w:val="auto"/>
                <w:highlight w:val="none"/>
              </w:rPr>
            </w:pPr>
            <w:r>
              <w:rPr>
                <w:rFonts w:hint="eastAsia" w:hAnsi="宋体" w:eastAsia="宋体" w:cs="宋体"/>
                <w:b/>
                <w:bCs/>
                <w:color w:val="auto"/>
                <w:highlight w:val="none"/>
              </w:rPr>
              <w:t>投标人认为必要的其他服务资料</w:t>
            </w:r>
          </w:p>
        </w:tc>
        <w:tc>
          <w:tcPr>
            <w:tcW w:w="746" w:type="dxa"/>
            <w:tcBorders>
              <w:right w:val="single" w:color="auto" w:sz="4" w:space="0"/>
            </w:tcBorders>
            <w:vAlign w:val="center"/>
          </w:tcPr>
          <w:p>
            <w:pPr>
              <w:widowControl/>
              <w:spacing w:line="300" w:lineRule="exact"/>
              <w:jc w:val="center"/>
              <w:rPr>
                <w:rFonts w:ascii="宋体" w:hAnsi="宋体" w:eastAsia="宋体" w:cs="宋体"/>
                <w:b/>
                <w:bCs/>
                <w:color w:val="auto"/>
                <w:highlight w:val="none"/>
              </w:rPr>
            </w:pPr>
          </w:p>
        </w:tc>
        <w:tc>
          <w:tcPr>
            <w:tcW w:w="1238" w:type="dxa"/>
            <w:tcBorders>
              <w:left w:val="single" w:color="auto" w:sz="4" w:space="0"/>
            </w:tcBorders>
            <w:vAlign w:val="center"/>
          </w:tcPr>
          <w:p>
            <w:pPr>
              <w:widowControl/>
              <w:spacing w:line="300" w:lineRule="exact"/>
              <w:jc w:val="center"/>
              <w:rPr>
                <w:rFonts w:ascii="宋体" w:hAnsi="宋体" w:eastAsia="宋体" w:cs="宋体"/>
                <w:b/>
                <w:bCs/>
                <w:color w:val="auto"/>
                <w:highlight w:val="none"/>
              </w:rPr>
            </w:pPr>
          </w:p>
        </w:tc>
      </w:tr>
    </w:tbl>
    <w:p>
      <w:pPr>
        <w:pStyle w:val="5"/>
        <w:rPr>
          <w:rFonts w:ascii="宋体" w:hAnsi="宋体" w:eastAsia="宋体" w:cs="宋体"/>
          <w:color w:val="auto"/>
          <w:highlight w:val="none"/>
        </w:rPr>
      </w:pPr>
      <w:r>
        <w:rPr>
          <w:rFonts w:hint="eastAsia" w:ascii="宋体" w:hAnsi="宋体" w:eastAsia="宋体" w:cs="宋体"/>
          <w:color w:val="auto"/>
          <w:highlight w:val="none"/>
        </w:rPr>
        <w:br w:type="page"/>
      </w:r>
      <w:bookmarkStart w:id="135" w:name="_Toc96523896"/>
      <w:bookmarkStart w:id="136" w:name="_Toc21269_WPSOffice_Level1"/>
      <w:r>
        <w:rPr>
          <w:rFonts w:hint="eastAsia" w:ascii="宋体" w:hAnsi="宋体" w:eastAsia="宋体" w:cs="宋体"/>
          <w:color w:val="auto"/>
          <w:highlight w:val="none"/>
        </w:rPr>
        <w:t>第一章索引</w:t>
      </w:r>
      <w:bookmarkEnd w:id="135"/>
      <w:bookmarkEnd w:id="136"/>
    </w:p>
    <w:p>
      <w:pPr>
        <w:pStyle w:val="8"/>
        <w:rPr>
          <w:rFonts w:ascii="宋体" w:hAnsi="宋体" w:eastAsia="宋体" w:cs="宋体"/>
          <w:color w:val="auto"/>
          <w:highlight w:val="none"/>
        </w:rPr>
      </w:pPr>
      <w:r>
        <w:rPr>
          <w:rFonts w:hint="eastAsia" w:ascii="宋体" w:hAnsi="宋体" w:eastAsia="宋体" w:cs="宋体"/>
          <w:color w:val="auto"/>
          <w:highlight w:val="none"/>
        </w:rPr>
        <w:t>1.资格性自查表</w:t>
      </w:r>
    </w:p>
    <w:p>
      <w:pPr>
        <w:autoSpaceDE w:val="0"/>
        <w:autoSpaceDN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资格性自查表</w:t>
      </w: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采购项目名称：(项目名称)</w:t>
      </w: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采购包号：</w:t>
      </w:r>
    </w:p>
    <w:tbl>
      <w:tblPr>
        <w:tblStyle w:val="3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4618"/>
        <w:gridCol w:w="1463"/>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621" w:type="dxa"/>
            <w:vAlign w:val="center"/>
          </w:tcPr>
          <w:p>
            <w:pPr>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w:t>
            </w:r>
          </w:p>
          <w:p>
            <w:pPr>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c>
          <w:tcPr>
            <w:tcW w:w="4618" w:type="dxa"/>
            <w:vAlign w:val="center"/>
          </w:tcPr>
          <w:p>
            <w:pPr>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1463" w:type="dxa"/>
            <w:vAlign w:val="center"/>
          </w:tcPr>
          <w:p>
            <w:pPr>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1625" w:type="dxa"/>
            <w:vAlign w:val="center"/>
          </w:tcPr>
          <w:p>
            <w:pPr>
              <w:ind w:left="-171"/>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证</w:t>
            </w:r>
            <w:r>
              <w:rPr>
                <w:rFonts w:hint="eastAsia" w:ascii="宋体" w:hAnsi="宋体" w:eastAsia="宋体" w:cs="宋体"/>
                <w:b/>
                <w:bCs/>
                <w:color w:val="auto"/>
                <w:szCs w:val="21"/>
                <w:highlight w:val="none"/>
              </w:rPr>
              <w:t>明资料</w:t>
            </w:r>
          </w:p>
          <w:p>
            <w:pPr>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所在页码范围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621" w:type="dxa"/>
            <w:vMerge w:val="restart"/>
            <w:vAlign w:val="center"/>
          </w:tcPr>
          <w:p>
            <w:pPr>
              <w:ind w:left="113" w:right="113"/>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资格检查</w:t>
            </w:r>
          </w:p>
        </w:tc>
        <w:tc>
          <w:tcPr>
            <w:tcW w:w="4618" w:type="dxa"/>
            <w:vAlign w:val="center"/>
          </w:tcPr>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1.供应商具备《政府采购法》第二十二条所规定的条件：</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提供最新的投标人营业执照（或事业单位法人证书，或社会团体法人登记证书，或执业许可证）副本复印件；如投标人为自然人的需提供自然人身份证明。</w:t>
            </w:r>
          </w:p>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若以不具有独立承担民事责任能力的分支机构投标，须取得具有法人资格的总公司的授权书，并提供总公司营业执照副本复印件；</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具有良好的商业信誉和健全的财务会计制度：</w:t>
            </w:r>
            <w:r>
              <w:rPr>
                <w:rFonts w:hint="eastAsia" w:ascii="宋体" w:hAnsi="宋体" w:eastAsia="宋体" w:cs="宋体"/>
                <w:color w:val="auto"/>
                <w:kern w:val="0"/>
                <w:szCs w:val="21"/>
                <w:highlight w:val="none"/>
              </w:rPr>
              <w:t>提供以下①或②证明材料：①经会计师事务所审计的202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年度财务状况报告；②同时提供a.基本开户行出具的资信证明，b.《基本存款账号信息》或《开户许可证》</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有依法缴纳税收和社会保障资金的良好记录：</w:t>
            </w:r>
            <w:r>
              <w:rPr>
                <w:rFonts w:hint="default" w:ascii="宋体" w:hAnsi="宋体" w:eastAsia="宋体" w:cs="宋体"/>
                <w:color w:val="auto"/>
                <w:kern w:val="0"/>
                <w:szCs w:val="21"/>
                <w:highlight w:val="none"/>
                <w:lang w:val="en-US" w:eastAsia="zh-CN"/>
              </w:rPr>
              <w:t>提供投标截止日前6个月内任意1个月依法缴纳税收和社会保障资金的相关材料。如依法免税或不需要缴纳社会保障资金的,提供相应证明材料</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具有履行合同所必须的设备和专业技术能力：</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kern w:val="0"/>
                <w:szCs w:val="21"/>
                <w:highlight w:val="none"/>
              </w:rPr>
              <w:t>设备及专业技术能力情况</w:t>
            </w:r>
            <w:r>
              <w:rPr>
                <w:rFonts w:hint="eastAsia" w:ascii="宋体" w:hAnsi="宋体" w:eastAsia="宋体" w:cs="宋体"/>
                <w:color w:val="auto"/>
                <w:kern w:val="0"/>
                <w:szCs w:val="21"/>
                <w:highlight w:val="none"/>
                <w:lang w:val="en-US" w:eastAsia="zh-CN"/>
              </w:rPr>
              <w:t>证明材料</w:t>
            </w:r>
            <w:r>
              <w:rPr>
                <w:rFonts w:hint="eastAsia" w:ascii="宋体" w:hAnsi="宋体" w:eastAsia="宋体" w:cs="宋体"/>
                <w:color w:val="auto"/>
                <w:kern w:val="0"/>
                <w:szCs w:val="21"/>
                <w:highlight w:val="none"/>
              </w:rPr>
              <w:t>或提供按照招标文件的格式签署盖章的《资格声明函》。</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参加采购活动前三年内，在经营活动中没有重大违法记录：提供按照招标文件的格式签署盖章的《资格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符合法律、行政法规规定的其他条件：单位负责人为同一人或者存在直接控股、管理关系的不同供应商，</w:t>
            </w:r>
            <w:r>
              <w:rPr>
                <w:rFonts w:hint="eastAsia" w:ascii="宋体" w:hAnsi="宋体" w:eastAsia="宋体" w:cs="宋体"/>
                <w:color w:val="auto"/>
                <w:kern w:val="0"/>
                <w:szCs w:val="21"/>
                <w:highlight w:val="none"/>
              </w:rPr>
              <w:t>不得同时参加本采购项目（或同一合同项下）</w:t>
            </w:r>
            <w:r>
              <w:rPr>
                <w:rFonts w:hint="eastAsia" w:ascii="宋体" w:hAnsi="宋体" w:eastAsia="宋体" w:cs="宋体"/>
                <w:color w:val="auto"/>
                <w:szCs w:val="21"/>
                <w:highlight w:val="none"/>
              </w:rPr>
              <w:t>投标。为本项目提供整体设计、规范编制或者项目管理、监理、检测等服务的投标人，不得再参与本项目投标。（提供按照招标文件的格式签署盖章的《资格声明函》）。</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本项目不属于专门面向中小企业采购的项目，本项目属于服务标。</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3.投标人未被列入“信用中国网站(www.creditchina.gov.cn)”</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未被列入“中国执行信息公开网（http://zxgk.court.gov.cn/）”失信被执行人记录名单；未被列入“中国政府采购网(http://www.ccgp.gov.cn/)”政府采购严重违法失信行为记录名单中的禁止参加政府采购活动期间，若投标人具有分公司的，其所属分公司有上述不良信用记录的，视同该投标人存在不良信用记录。若投标人为分公司的，其所属总公司（总所）存在上述不良信用记录的，视同该分公司存在不良信用记录。（以采购代理机构于评标当天在“信用中国网站(www.creditchina.gov.cn)、中国执行信息公开网（http://zxgk.court.gov.cn/）及中国政府采购网（http://www.ccgp.gov.cn/）查询结果为准，如相关失信记录已失效，投标人需提供相关证明资料）。</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7"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vAlign w:val="center"/>
          </w:tcPr>
          <w:p>
            <w:pPr>
              <w:adjustRightInd w:val="0"/>
              <w:snapToGrid w:val="0"/>
              <w:spacing w:line="360" w:lineRule="auto"/>
              <w:jc w:val="both"/>
              <w:rPr>
                <w:rFonts w:hint="eastAsia" w:ascii="宋体" w:hAnsi="宋体" w:eastAsia="宋体" w:cs="宋体"/>
                <w:color w:val="auto"/>
                <w:szCs w:val="21"/>
                <w:highlight w:val="none"/>
              </w:rPr>
            </w:pPr>
            <w:r>
              <w:rPr>
                <w:rFonts w:hint="default" w:ascii="宋体" w:hAnsi="宋体" w:eastAsia="宋体" w:cs="宋体"/>
                <w:iCs/>
                <w:color w:val="auto"/>
                <w:szCs w:val="21"/>
                <w:highlight w:val="none"/>
                <w:lang w:val="en-US" w:eastAsia="zh-CN"/>
              </w:rPr>
              <w:t>4</w:t>
            </w:r>
            <w:r>
              <w:rPr>
                <w:rFonts w:hint="eastAsia" w:ascii="宋体" w:hAnsi="宋体" w:eastAsia="宋体" w:cs="宋体"/>
                <w:iCs/>
                <w:color w:val="auto"/>
                <w:szCs w:val="21"/>
                <w:highlight w:val="none"/>
                <w:lang w:val="en-US" w:eastAsia="zh-CN"/>
              </w:rPr>
              <w:t>.</w:t>
            </w:r>
            <w:r>
              <w:rPr>
                <w:rFonts w:hint="eastAsia" w:ascii="宋体" w:hAnsi="宋体" w:eastAsia="宋体" w:cs="宋体"/>
                <w:iCs/>
                <w:color w:val="auto"/>
                <w:szCs w:val="21"/>
                <w:highlight w:val="none"/>
              </w:rPr>
              <w:t>投标人已按招标公告及招标文件的规定获取了招标文件。</w:t>
            </w:r>
          </w:p>
        </w:tc>
        <w:tc>
          <w:tcPr>
            <w:tcW w:w="146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□通过□不通过</w:t>
            </w:r>
          </w:p>
        </w:tc>
        <w:tc>
          <w:tcPr>
            <w:tcW w:w="1625"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621" w:type="dxa"/>
            <w:vMerge w:val="continue"/>
            <w:vAlign w:val="center"/>
          </w:tcPr>
          <w:p>
            <w:pPr>
              <w:jc w:val="center"/>
              <w:rPr>
                <w:rFonts w:ascii="宋体" w:hAnsi="宋体" w:eastAsia="宋体" w:cs="宋体"/>
                <w:color w:val="auto"/>
                <w:szCs w:val="21"/>
                <w:highlight w:val="none"/>
              </w:rPr>
            </w:pPr>
          </w:p>
        </w:tc>
        <w:tc>
          <w:tcPr>
            <w:tcW w:w="4618" w:type="dxa"/>
            <w:vAlign w:val="center"/>
          </w:tcPr>
          <w:p>
            <w:pPr>
              <w:adjustRightInd w:val="0"/>
              <w:snapToGrid w:val="0"/>
              <w:spacing w:line="360" w:lineRule="auto"/>
              <w:rPr>
                <w:rFonts w:ascii="宋体" w:hAnsi="宋体" w:eastAsia="宋体" w:cs="宋体"/>
                <w:color w:val="auto"/>
                <w:szCs w:val="21"/>
                <w:highlight w:val="none"/>
              </w:rPr>
            </w:pPr>
            <w:r>
              <w:rPr>
                <w:rFonts w:hint="default"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.本项目不接受联合体投标。不接受备选投标方案。</w:t>
            </w:r>
          </w:p>
        </w:tc>
        <w:tc>
          <w:tcPr>
            <w:tcW w:w="146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16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bl>
    <w:p>
      <w:pPr>
        <w:pStyle w:val="6"/>
        <w:rPr>
          <w:rFonts w:ascii="宋体" w:hAnsi="宋体" w:eastAsia="宋体" w:cs="宋体"/>
          <w:color w:val="auto"/>
          <w:highlight w:val="none"/>
        </w:rPr>
      </w:pPr>
    </w:p>
    <w:p>
      <w:pPr>
        <w:autoSpaceDE w:val="0"/>
        <w:autoSpaceDN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1.以上材料将作为投标人资格性审核的重要内容之一，投标人应当严格按照其内容及序列要求在投标文件中对应如实提供，对资格证明文件的任何缺漏和不符合项将会直接导致无效投标！</w:t>
      </w:r>
    </w:p>
    <w:p>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2.请根据自身响应情况勾选（在□内打√）“自查结论”栏目相应结论。</w:t>
      </w:r>
    </w:p>
    <w:p>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3.供应商资格条件详见招标公告及本文件《招标公告》“二、申请人的资格要求”，</w:t>
      </w:r>
      <w:r>
        <w:rPr>
          <w:rFonts w:hint="eastAsia" w:ascii="宋体" w:hAnsi="宋体" w:eastAsia="宋体" w:cs="宋体"/>
          <w:b/>
          <w:color w:val="auto"/>
          <w:szCs w:val="21"/>
          <w:highlight w:val="none"/>
        </w:rPr>
        <w:t>有关证明材料按投标文件格式第4.条的说明提供。</w:t>
      </w:r>
    </w:p>
    <w:p>
      <w:pPr>
        <w:pStyle w:val="6"/>
        <w:rPr>
          <w:rFonts w:ascii="宋体" w:hAnsi="宋体" w:eastAsia="宋体" w:cs="宋体"/>
          <w:color w:val="auto"/>
          <w:highlight w:val="none"/>
        </w:rPr>
      </w:pPr>
    </w:p>
    <w:p>
      <w:pPr>
        <w:pStyle w:val="8"/>
        <w:tabs>
          <w:tab w:val="left" w:pos="945"/>
        </w:tabs>
        <w:rPr>
          <w:rFonts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Cs w:val="24"/>
          <w:highlight w:val="none"/>
        </w:rPr>
        <w:t>2.符合性自查表</w:t>
      </w:r>
    </w:p>
    <w:p>
      <w:pPr>
        <w:autoSpaceDE w:val="0"/>
        <w:autoSpaceDN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符合性审查自查表</w:t>
      </w: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采购项目名称：(项目名称)</w:t>
      </w:r>
    </w:p>
    <w:p>
      <w:pPr>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采购包号：</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665"/>
        <w:gridCol w:w="3402"/>
        <w:gridCol w:w="1843"/>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2405" w:type="dxa"/>
            <w:gridSpan w:val="2"/>
            <w:vAlign w:val="center"/>
          </w:tcPr>
          <w:p>
            <w:pPr>
              <w:spacing w:line="320" w:lineRule="atLeast"/>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3402" w:type="dxa"/>
            <w:vAlign w:val="center"/>
          </w:tcPr>
          <w:p>
            <w:pPr>
              <w:spacing w:line="320" w:lineRule="atLeast"/>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1843" w:type="dxa"/>
            <w:vAlign w:val="center"/>
          </w:tcPr>
          <w:p>
            <w:pPr>
              <w:spacing w:line="320" w:lineRule="atLeast"/>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2026" w:type="dxa"/>
            <w:vAlign w:val="center"/>
          </w:tcPr>
          <w:p>
            <w:pPr>
              <w:spacing w:line="320" w:lineRule="atLeast"/>
              <w:ind w:left="-171"/>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740" w:type="dxa"/>
            <w:vMerge w:val="restart"/>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1665"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见投标须知前附表</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投标函（自投标截止之日起90日历天）</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restart"/>
            <w:vAlign w:val="center"/>
          </w:tcPr>
          <w:p>
            <w:pPr>
              <w:spacing w:line="320" w:lineRule="atLeast"/>
              <w:ind w:left="124" w:leftChars="59" w:right="124" w:rightChars="59"/>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投标文件照招标文件规定要求签署、盖章合格</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投标函</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continue"/>
            <w:vAlign w:val="center"/>
          </w:tcPr>
          <w:p>
            <w:pPr>
              <w:spacing w:line="320" w:lineRule="atLeast"/>
              <w:jc w:val="center"/>
              <w:rPr>
                <w:rFonts w:ascii="宋体" w:hAnsi="宋体" w:eastAsia="宋体" w:cs="宋体"/>
                <w:color w:val="auto"/>
                <w:szCs w:val="21"/>
                <w:highlight w:val="none"/>
              </w:rPr>
            </w:pP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法定代表人证明书及法定代表人授权委托书</w:t>
            </w:r>
            <w:r>
              <w:rPr>
                <w:rFonts w:hint="eastAsia" w:ascii="宋体" w:hAnsi="宋体" w:eastAsia="宋体" w:cs="宋体"/>
                <w:bCs/>
                <w:color w:val="auto"/>
                <w:highlight w:val="none"/>
              </w:rPr>
              <w:t>（如适用）</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continue"/>
            <w:vAlign w:val="center"/>
          </w:tcPr>
          <w:p>
            <w:pPr>
              <w:spacing w:line="320" w:lineRule="atLeast"/>
              <w:jc w:val="center"/>
              <w:rPr>
                <w:rFonts w:ascii="宋体" w:hAnsi="宋体" w:eastAsia="宋体" w:cs="宋体"/>
                <w:color w:val="auto"/>
                <w:szCs w:val="21"/>
                <w:highlight w:val="none"/>
              </w:rPr>
            </w:pP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continue"/>
            <w:vAlign w:val="center"/>
          </w:tcPr>
          <w:p>
            <w:pPr>
              <w:spacing w:line="320" w:lineRule="atLeast"/>
              <w:jc w:val="center"/>
              <w:rPr>
                <w:rFonts w:ascii="宋体" w:hAnsi="宋体" w:eastAsia="宋体" w:cs="宋体"/>
                <w:color w:val="auto"/>
                <w:szCs w:val="21"/>
                <w:highlight w:val="none"/>
              </w:rPr>
            </w:pP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实质性响应条款一览表</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continue"/>
            <w:vAlign w:val="center"/>
          </w:tcPr>
          <w:p>
            <w:pPr>
              <w:spacing w:line="320" w:lineRule="atLeast"/>
              <w:jc w:val="center"/>
              <w:rPr>
                <w:rFonts w:ascii="宋体" w:hAnsi="宋体" w:eastAsia="宋体" w:cs="宋体"/>
                <w:color w:val="auto"/>
                <w:szCs w:val="21"/>
                <w:highlight w:val="none"/>
              </w:rPr>
            </w:pP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投标响应与招标文件差异一览表</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Merge w:val="continue"/>
            <w:vAlign w:val="center"/>
          </w:tcPr>
          <w:p>
            <w:pPr>
              <w:spacing w:line="320" w:lineRule="atLeast"/>
              <w:jc w:val="center"/>
              <w:rPr>
                <w:rFonts w:ascii="宋体" w:hAnsi="宋体" w:eastAsia="宋体" w:cs="宋体"/>
                <w:color w:val="auto"/>
                <w:szCs w:val="21"/>
                <w:highlight w:val="none"/>
              </w:rPr>
            </w:pP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投标文件有修改的地方已签署或盖章</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投标报价满足招标文件的报价要求</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招标文件中标注“★”的条款</w:t>
            </w:r>
          </w:p>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（如果有）</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满足招标文件中标注“★”的条款</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eastAsia="宋体" w:cs="宋体"/>
                <w:color w:val="auto"/>
                <w:szCs w:val="21"/>
                <w:highlight w:val="none"/>
              </w:rPr>
            </w:pPr>
          </w:p>
        </w:tc>
        <w:tc>
          <w:tcPr>
            <w:tcW w:w="1665"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3402" w:type="dxa"/>
            <w:vAlign w:val="center"/>
          </w:tcPr>
          <w:p>
            <w:pPr>
              <w:spacing w:line="320" w:lineRule="atLeast"/>
              <w:ind w:left="124" w:leftChars="59" w:right="124" w:rightChars="59"/>
              <w:rPr>
                <w:rFonts w:ascii="宋体" w:hAnsi="宋体" w:eastAsia="宋体" w:cs="宋体"/>
                <w:color w:val="auto"/>
                <w:szCs w:val="21"/>
                <w:highlight w:val="none"/>
              </w:rPr>
            </w:pPr>
            <w:r>
              <w:rPr>
                <w:rFonts w:hint="eastAsia" w:ascii="宋体" w:hAnsi="宋体" w:eastAsia="宋体" w:cs="宋体"/>
                <w:color w:val="auto"/>
                <w:szCs w:val="21"/>
                <w:highlight w:val="none"/>
              </w:rPr>
              <w:t>未出现有关法律、法规、规章或招标文件规定的属于投标无效的情形</w:t>
            </w:r>
          </w:p>
        </w:tc>
        <w:tc>
          <w:tcPr>
            <w:tcW w:w="1843"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□通过□不通过</w:t>
            </w:r>
          </w:p>
        </w:tc>
        <w:tc>
          <w:tcPr>
            <w:tcW w:w="2026" w:type="dxa"/>
            <w:vAlign w:val="center"/>
          </w:tcPr>
          <w:p>
            <w:pPr>
              <w:spacing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bl>
    <w:p>
      <w:pPr>
        <w:autoSpaceDE w:val="0"/>
        <w:autoSpaceDN w:val="0"/>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1.以上材料将作为投标人有效性审核的重要内容之一，投标人应当严格按照其内容及序列要求在投标文件中对应如实提供，对符合性证明文件的任何缺漏和不符合项将会直接导致无效投标！</w:t>
      </w:r>
    </w:p>
    <w:p>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2.请根据自身响应情况勾选（在□内打√）“自查结论”栏目相应结论。</w:t>
      </w:r>
    </w:p>
    <w:p>
      <w:pPr>
        <w:pStyle w:val="8"/>
        <w:tabs>
          <w:tab w:val="left" w:pos="945"/>
        </w:tabs>
        <w:spacing w:line="360" w:lineRule="auto"/>
        <w:rPr>
          <w:rFonts w:ascii="宋体" w:hAnsi="宋体" w:eastAsia="宋体" w:cs="宋体"/>
          <w:color w:val="auto"/>
          <w:highlight w:val="none"/>
        </w:rPr>
      </w:pPr>
      <w:bookmarkStart w:id="137" w:name="_Toc22806194"/>
      <w:r>
        <w:rPr>
          <w:rFonts w:hint="eastAsia" w:ascii="宋体" w:hAnsi="宋体" w:eastAsia="宋体" w:cs="宋体"/>
          <w:color w:val="auto"/>
          <w:szCs w:val="24"/>
          <w:highlight w:val="none"/>
        </w:rPr>
        <w:br w:type="page"/>
      </w:r>
      <w:bookmarkEnd w:id="137"/>
      <w:bookmarkStart w:id="138" w:name="_Toc1498"/>
      <w:r>
        <w:rPr>
          <w:rFonts w:hint="eastAsia" w:ascii="宋体" w:hAnsi="宋体" w:eastAsia="宋体" w:cs="宋体"/>
          <w:color w:val="auto"/>
          <w:highlight w:val="none"/>
        </w:rPr>
        <w:t>3.评审要素投标资料表</w:t>
      </w:r>
      <w:bookmarkEnd w:id="138"/>
    </w:p>
    <w:p>
      <w:pPr>
        <w:pStyle w:val="6"/>
        <w:ind w:firstLine="0"/>
        <w:rPr>
          <w:rFonts w:ascii="宋体" w:hAnsi="宋体" w:eastAsia="宋体" w:cs="宋体"/>
          <w:color w:val="auto"/>
          <w:highlight w:val="none"/>
        </w:rPr>
      </w:pPr>
    </w:p>
    <w:p>
      <w:pPr>
        <w:jc w:val="center"/>
        <w:rPr>
          <w:rFonts w:ascii="宋体" w:hAnsi="宋体" w:eastAsia="宋体" w:cs="宋体"/>
          <w:b/>
          <w:bCs/>
          <w:color w:val="auto"/>
          <w:highlight w:val="none"/>
        </w:rPr>
      </w:pPr>
      <w:bookmarkStart w:id="139" w:name="_Toc5327_WPSOffice_Level1"/>
      <w:r>
        <w:rPr>
          <w:rFonts w:hint="eastAsia" w:ascii="宋体" w:hAnsi="宋体" w:eastAsia="宋体" w:cs="宋体"/>
          <w:b/>
          <w:color w:val="auto"/>
          <w:highlight w:val="none"/>
        </w:rPr>
        <w:t>评审要素投标资料表</w:t>
      </w:r>
      <w:bookmarkEnd w:id="139"/>
    </w:p>
    <w:tbl>
      <w:tblPr>
        <w:tblStyle w:val="3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6"/>
              <w:keepNext w:val="0"/>
              <w:adjustRightInd/>
              <w:spacing w:before="0" w:after="0" w:line="360" w:lineRule="auto"/>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商务评审分项</w:t>
            </w:r>
          </w:p>
        </w:tc>
        <w:tc>
          <w:tcPr>
            <w:tcW w:w="5580" w:type="dxa"/>
            <w:vAlign w:val="center"/>
          </w:tcPr>
          <w:p>
            <w:pPr>
              <w:pStyle w:val="66"/>
              <w:keepNext w:val="0"/>
              <w:adjustRightInd/>
              <w:spacing w:before="0" w:after="0" w:line="360" w:lineRule="auto"/>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商务评审细则</w:t>
            </w:r>
          </w:p>
        </w:tc>
        <w:tc>
          <w:tcPr>
            <w:tcW w:w="2160" w:type="dxa"/>
            <w:vAlign w:val="center"/>
          </w:tcPr>
          <w:p>
            <w:pPr>
              <w:pStyle w:val="66"/>
              <w:keepNext w:val="0"/>
              <w:adjustRightInd/>
              <w:spacing w:before="0" w:after="0" w:line="360" w:lineRule="auto"/>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pStyle w:val="71"/>
              <w:spacing w:before="0" w:after="0" w:line="360" w:lineRule="auto"/>
              <w:rPr>
                <w:rFonts w:ascii="宋体" w:hAnsi="宋体" w:cs="宋体"/>
                <w:color w:val="auto"/>
                <w:sz w:val="21"/>
                <w:szCs w:val="21"/>
                <w:highlight w:val="none"/>
              </w:rPr>
            </w:pPr>
          </w:p>
        </w:tc>
        <w:tc>
          <w:tcPr>
            <w:tcW w:w="5580" w:type="dxa"/>
            <w:vAlign w:val="center"/>
          </w:tcPr>
          <w:p>
            <w:pPr>
              <w:pStyle w:val="23"/>
              <w:spacing w:line="360" w:lineRule="auto"/>
              <w:ind w:left="10" w:leftChars="5"/>
              <w:rPr>
                <w:rFonts w:ascii="宋体" w:hAnsi="宋体" w:cs="宋体"/>
                <w:bCs/>
                <w:iCs/>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bCs/>
                <w:iCs/>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color w:val="auto"/>
                <w:szCs w:val="21"/>
                <w:highlight w:val="none"/>
              </w:rPr>
            </w:pP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580" w:type="dxa"/>
            <w:vAlign w:val="center"/>
          </w:tcPr>
          <w:p>
            <w:pPr>
              <w:pStyle w:val="23"/>
              <w:spacing w:line="360" w:lineRule="auto"/>
              <w:ind w:left="10" w:leftChars="5"/>
              <w:rPr>
                <w:rFonts w:ascii="宋体" w:hAnsi="宋体" w:cs="宋体"/>
                <w:color w:val="auto"/>
                <w:szCs w:val="21"/>
                <w:highlight w:val="none"/>
              </w:rPr>
            </w:pPr>
            <w:r>
              <w:rPr>
                <w:rFonts w:hint="eastAsia" w:ascii="宋体" w:hAnsi="宋体" w:cs="宋体"/>
                <w:color w:val="auto"/>
                <w:szCs w:val="21"/>
                <w:highlight w:val="none"/>
              </w:rPr>
              <w:t>……</w:t>
            </w:r>
          </w:p>
        </w:tc>
        <w:tc>
          <w:tcPr>
            <w:tcW w:w="2160" w:type="dxa"/>
            <w:vAlign w:val="center"/>
          </w:tcPr>
          <w:p>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pStyle w:val="66"/>
              <w:keepNext w:val="0"/>
              <w:adjustRightInd/>
              <w:spacing w:before="0" w:after="0" w:line="360" w:lineRule="auto"/>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服务评审分项</w:t>
            </w:r>
          </w:p>
        </w:tc>
        <w:tc>
          <w:tcPr>
            <w:tcW w:w="5580" w:type="dxa"/>
            <w:vAlign w:val="center"/>
          </w:tcPr>
          <w:p>
            <w:pPr>
              <w:pStyle w:val="66"/>
              <w:keepNext w:val="0"/>
              <w:adjustRightInd/>
              <w:spacing w:before="0" w:after="0" w:line="360" w:lineRule="auto"/>
              <w:ind w:left="10" w:leftChars="5"/>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服务评审细则</w:t>
            </w:r>
          </w:p>
        </w:tc>
        <w:tc>
          <w:tcPr>
            <w:tcW w:w="2160" w:type="dxa"/>
            <w:vAlign w:val="center"/>
          </w:tcPr>
          <w:p>
            <w:pPr>
              <w:pStyle w:val="66"/>
              <w:keepNext w:val="0"/>
              <w:adjustRightInd/>
              <w:spacing w:before="0" w:after="0" w:line="360" w:lineRule="auto"/>
              <w:textAlignment w:val="auto"/>
              <w:rPr>
                <w:rFonts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pStyle w:val="23"/>
              <w:spacing w:line="360" w:lineRule="auto"/>
              <w:ind w:left="10" w:leftChars="5"/>
              <w:rPr>
                <w:rFonts w:ascii="宋体" w:hAnsi="宋体" w:cs="宋体"/>
                <w:color w:val="auto"/>
                <w:szCs w:val="21"/>
                <w:highlight w:val="none"/>
              </w:rPr>
            </w:pPr>
          </w:p>
        </w:tc>
        <w:tc>
          <w:tcPr>
            <w:tcW w:w="2160" w:type="dxa"/>
            <w:vAlign w:val="center"/>
          </w:tcPr>
          <w:p>
            <w:pPr>
              <w:pStyle w:val="23"/>
              <w:spacing w:line="360" w:lineRule="auto"/>
              <w:ind w:left="-34" w:leftChars="-16"/>
              <w:rPr>
                <w:rFonts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rPr>
                <w:rFonts w:ascii="宋体" w:hAnsi="宋体" w:eastAsia="宋体" w:cs="宋体"/>
                <w:color w:val="auto"/>
                <w:szCs w:val="21"/>
                <w:highlight w:val="none"/>
              </w:rPr>
            </w:pPr>
          </w:p>
        </w:tc>
        <w:tc>
          <w:tcPr>
            <w:tcW w:w="5580" w:type="dxa"/>
            <w:vAlign w:val="center"/>
          </w:tcPr>
          <w:p>
            <w:pPr>
              <w:spacing w:line="360" w:lineRule="auto"/>
              <w:ind w:left="10" w:leftChars="5"/>
              <w:rPr>
                <w:rFonts w:ascii="宋体" w:hAnsi="宋体" w:eastAsia="宋体" w:cs="宋体"/>
                <w:color w:val="auto"/>
                <w:szCs w:val="21"/>
                <w:highlight w:val="none"/>
              </w:rPr>
            </w:pPr>
          </w:p>
        </w:tc>
        <w:tc>
          <w:tcPr>
            <w:tcW w:w="2160" w:type="dxa"/>
            <w:vAlign w:val="center"/>
          </w:tcPr>
          <w:p>
            <w:pPr>
              <w:spacing w:line="360" w:lineRule="auto"/>
              <w:ind w:left="-34" w:leftChars="-16"/>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pStyle w:val="23"/>
              <w:spacing w:line="360" w:lineRule="auto"/>
              <w:jc w:val="left"/>
              <w:rPr>
                <w:rFonts w:ascii="宋体" w:hAnsi="宋体" w:cs="宋体"/>
                <w:color w:val="auto"/>
                <w:szCs w:val="21"/>
                <w:highlight w:val="none"/>
              </w:rPr>
            </w:pPr>
          </w:p>
        </w:tc>
        <w:tc>
          <w:tcPr>
            <w:tcW w:w="5580" w:type="dxa"/>
            <w:vAlign w:val="center"/>
          </w:tcPr>
          <w:p>
            <w:pPr>
              <w:spacing w:line="360" w:lineRule="auto"/>
              <w:ind w:left="10" w:leftChars="5"/>
              <w:rPr>
                <w:rFonts w:ascii="宋体" w:hAnsi="宋体" w:eastAsia="宋体" w:cs="宋体"/>
                <w:color w:val="auto"/>
                <w:szCs w:val="21"/>
                <w:highlight w:val="none"/>
              </w:rPr>
            </w:pPr>
          </w:p>
        </w:tc>
        <w:tc>
          <w:tcPr>
            <w:tcW w:w="2160" w:type="dxa"/>
            <w:vAlign w:val="center"/>
          </w:tcPr>
          <w:p>
            <w:pPr>
              <w:spacing w:line="360" w:lineRule="auto"/>
              <w:ind w:left="-34" w:leftChars="-16"/>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jc w:val="left"/>
              <w:rPr>
                <w:rFonts w:ascii="宋体" w:hAnsi="宋体" w:eastAsia="宋体" w:cs="宋体"/>
                <w:color w:val="auto"/>
                <w:szCs w:val="21"/>
                <w:highlight w:val="none"/>
              </w:rPr>
            </w:pPr>
          </w:p>
        </w:tc>
        <w:tc>
          <w:tcPr>
            <w:tcW w:w="5580" w:type="dxa"/>
            <w:vAlign w:val="center"/>
          </w:tcPr>
          <w:p>
            <w:pPr>
              <w:spacing w:line="360" w:lineRule="auto"/>
              <w:ind w:left="10" w:leftChars="5"/>
              <w:rPr>
                <w:rFonts w:ascii="宋体" w:hAnsi="宋体" w:eastAsia="宋体" w:cs="宋体"/>
                <w:color w:val="auto"/>
                <w:szCs w:val="21"/>
                <w:highlight w:val="none"/>
              </w:rPr>
            </w:pPr>
          </w:p>
        </w:tc>
        <w:tc>
          <w:tcPr>
            <w:tcW w:w="2160" w:type="dxa"/>
            <w:vAlign w:val="center"/>
          </w:tcPr>
          <w:p>
            <w:pPr>
              <w:spacing w:line="360" w:lineRule="auto"/>
              <w:ind w:left="-34" w:leftChars="-16"/>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jc w:val="left"/>
              <w:rPr>
                <w:rFonts w:ascii="宋体" w:hAnsi="宋体" w:eastAsia="宋体" w:cs="宋体"/>
                <w:color w:val="auto"/>
                <w:szCs w:val="21"/>
                <w:highlight w:val="none"/>
              </w:rPr>
            </w:pPr>
          </w:p>
        </w:tc>
        <w:tc>
          <w:tcPr>
            <w:tcW w:w="5580" w:type="dxa"/>
            <w:vAlign w:val="center"/>
          </w:tcPr>
          <w:p>
            <w:pPr>
              <w:spacing w:line="360" w:lineRule="auto"/>
              <w:ind w:left="10" w:leftChars="5"/>
              <w:rPr>
                <w:rFonts w:ascii="宋体" w:hAnsi="宋体" w:eastAsia="宋体" w:cs="宋体"/>
                <w:color w:val="auto"/>
                <w:szCs w:val="21"/>
                <w:highlight w:val="none"/>
              </w:rPr>
            </w:pPr>
          </w:p>
        </w:tc>
        <w:tc>
          <w:tcPr>
            <w:tcW w:w="2160" w:type="dxa"/>
            <w:vAlign w:val="center"/>
          </w:tcPr>
          <w:p>
            <w:pPr>
              <w:spacing w:line="360" w:lineRule="auto"/>
              <w:ind w:left="-34" w:leftChars="-16"/>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jc w:val="left"/>
              <w:rPr>
                <w:rFonts w:ascii="宋体" w:hAnsi="宋体" w:eastAsia="宋体" w:cs="宋体"/>
                <w:color w:val="auto"/>
                <w:szCs w:val="21"/>
                <w:highlight w:val="none"/>
              </w:rPr>
            </w:pPr>
          </w:p>
        </w:tc>
        <w:tc>
          <w:tcPr>
            <w:tcW w:w="5580" w:type="dxa"/>
            <w:vAlign w:val="center"/>
          </w:tcPr>
          <w:p>
            <w:pPr>
              <w:spacing w:line="360" w:lineRule="auto"/>
              <w:ind w:left="10" w:leftChars="5"/>
              <w:rPr>
                <w:rFonts w:ascii="宋体" w:hAnsi="宋体" w:eastAsia="宋体" w:cs="宋体"/>
                <w:color w:val="auto"/>
                <w:szCs w:val="21"/>
                <w:highlight w:val="none"/>
              </w:rPr>
            </w:pPr>
          </w:p>
        </w:tc>
        <w:tc>
          <w:tcPr>
            <w:tcW w:w="2160" w:type="dxa"/>
            <w:vAlign w:val="center"/>
          </w:tcPr>
          <w:p>
            <w:pPr>
              <w:spacing w:line="360" w:lineRule="auto"/>
              <w:ind w:left="-34" w:leftChars="-16"/>
              <w:rPr>
                <w:rFonts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8"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580" w:type="dxa"/>
            <w:vAlign w:val="center"/>
          </w:tcPr>
          <w:p>
            <w:pPr>
              <w:pStyle w:val="23"/>
              <w:spacing w:line="360" w:lineRule="auto"/>
              <w:ind w:left="10" w:leftChars="5"/>
              <w:rPr>
                <w:rFonts w:ascii="宋体" w:hAnsi="宋体" w:cs="宋体"/>
                <w:color w:val="auto"/>
                <w:szCs w:val="21"/>
                <w:highlight w:val="none"/>
              </w:rPr>
            </w:pPr>
            <w:r>
              <w:rPr>
                <w:rFonts w:hint="eastAsia" w:ascii="宋体" w:hAnsi="宋体" w:cs="宋体"/>
                <w:color w:val="auto"/>
                <w:szCs w:val="21"/>
                <w:highlight w:val="none"/>
              </w:rPr>
              <w:t>……</w:t>
            </w:r>
          </w:p>
        </w:tc>
        <w:tc>
          <w:tcPr>
            <w:tcW w:w="2160" w:type="dxa"/>
            <w:vAlign w:val="center"/>
          </w:tcPr>
          <w:p>
            <w:pPr>
              <w:pStyle w:val="23"/>
              <w:spacing w:line="360" w:lineRule="auto"/>
              <w:ind w:left="-34" w:leftChars="-16"/>
              <w:rPr>
                <w:rFonts w:ascii="宋体" w:hAnsi="宋体" w:cs="宋体"/>
                <w:color w:val="auto"/>
                <w:szCs w:val="21"/>
                <w:highlight w:val="none"/>
              </w:rPr>
            </w:pPr>
            <w:r>
              <w:rPr>
                <w:rFonts w:hint="eastAsia" w:ascii="宋体" w:hAnsi="宋体" w:cs="宋体"/>
                <w:color w:val="auto"/>
                <w:szCs w:val="21"/>
                <w:highlight w:val="none"/>
              </w:rPr>
              <w:t>见投标文件第（）页</w:t>
            </w:r>
          </w:p>
        </w:tc>
      </w:tr>
    </w:tbl>
    <w:p>
      <w:pPr>
        <w:adjustRightInd w:val="0"/>
        <w:snapToGrid w:val="0"/>
        <w:spacing w:line="360" w:lineRule="auto"/>
        <w:rPr>
          <w:rFonts w:ascii="宋体" w:hAnsi="宋体" w:eastAsia="宋体" w:cs="宋体"/>
          <w:color w:val="auto"/>
          <w:szCs w:val="21"/>
          <w:highlight w:val="none"/>
        </w:rPr>
      </w:pP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注：1.投标供应商应根据《</w:t>
      </w:r>
      <w:r>
        <w:rPr>
          <w:rFonts w:hint="eastAsia" w:ascii="宋体" w:hAnsi="宋体" w:eastAsia="宋体" w:cs="宋体"/>
          <w:snapToGrid w:val="0"/>
          <w:color w:val="auto"/>
          <w:szCs w:val="21"/>
          <w:highlight w:val="none"/>
        </w:rPr>
        <w:t>服务</w:t>
      </w:r>
      <w:r>
        <w:rPr>
          <w:rFonts w:hint="eastAsia" w:ascii="宋体" w:hAnsi="宋体" w:eastAsia="宋体" w:cs="宋体"/>
          <w:color w:val="auto"/>
          <w:szCs w:val="21"/>
          <w:highlight w:val="none"/>
        </w:rPr>
        <w:t>评审表》和《商务评审表》的各项内容填写此表，表格可延长。</w:t>
      </w:r>
    </w:p>
    <w:p>
      <w:pPr>
        <w:adjustRightInd w:val="0"/>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2.按评审项的顺序填写。</w:t>
      </w:r>
    </w:p>
    <w:p>
      <w:pPr>
        <w:pStyle w:val="6"/>
        <w:ind w:firstLine="0"/>
        <w:rPr>
          <w:rFonts w:ascii="宋体" w:hAnsi="宋体" w:eastAsia="宋体" w:cs="宋体"/>
          <w:color w:val="auto"/>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br w:type="page"/>
      </w:r>
      <w:bookmarkStart w:id="140" w:name="_Toc96523897"/>
      <w:bookmarkStart w:id="141" w:name="_Toc17487_WPSOffice_Level1"/>
      <w:r>
        <w:rPr>
          <w:rFonts w:hint="eastAsia" w:ascii="宋体" w:hAnsi="宋体" w:eastAsia="宋体" w:cs="宋体"/>
          <w:color w:val="auto"/>
          <w:highlight w:val="none"/>
        </w:rPr>
        <w:t>第二章资格审查文件</w:t>
      </w:r>
      <w:bookmarkEnd w:id="140"/>
      <w:bookmarkEnd w:id="141"/>
    </w:p>
    <w:p>
      <w:pPr>
        <w:pStyle w:val="7"/>
        <w:rPr>
          <w:rFonts w:ascii="宋体" w:hAnsi="宋体" w:eastAsia="宋体" w:cs="宋体"/>
          <w:color w:val="auto"/>
          <w:sz w:val="24"/>
          <w:szCs w:val="24"/>
          <w:highlight w:val="none"/>
        </w:rPr>
      </w:pPr>
      <w:bookmarkStart w:id="142" w:name="_Toc96523898"/>
      <w:r>
        <w:rPr>
          <w:rFonts w:hint="eastAsia" w:ascii="宋体" w:hAnsi="宋体" w:eastAsia="宋体" w:cs="宋体"/>
          <w:color w:val="auto"/>
          <w:sz w:val="24"/>
          <w:szCs w:val="24"/>
          <w:highlight w:val="none"/>
        </w:rPr>
        <w:t>格式4.资格声明函</w:t>
      </w:r>
      <w:bookmarkEnd w:id="142"/>
    </w:p>
    <w:p>
      <w:pPr>
        <w:pStyle w:val="17"/>
        <w:spacing w:line="360" w:lineRule="auto"/>
        <w:jc w:val="center"/>
        <w:rPr>
          <w:rFonts w:hAnsi="宋体" w:eastAsia="宋体" w:cs="宋体"/>
          <w:b/>
          <w:color w:val="auto"/>
          <w:sz w:val="32"/>
          <w:szCs w:val="32"/>
          <w:highlight w:val="none"/>
        </w:rPr>
      </w:pPr>
      <w:bookmarkStart w:id="143" w:name="_Toc2680_WPSOffice_Level1"/>
      <w:r>
        <w:rPr>
          <w:rFonts w:hint="eastAsia" w:hAnsi="宋体" w:eastAsia="宋体" w:cs="宋体"/>
          <w:b/>
          <w:color w:val="auto"/>
          <w:sz w:val="32"/>
          <w:szCs w:val="32"/>
          <w:highlight w:val="none"/>
        </w:rPr>
        <w:t>资格声明函</w:t>
      </w:r>
      <w:bookmarkEnd w:id="143"/>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（采购代理机构名称）：</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关于贵方发布</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rPr>
        <w:t>的招标公告，本单位愿意参加上述项目/采购包号</w:t>
      </w:r>
      <w:r>
        <w:rPr>
          <w:rFonts w:hint="eastAsia" w:ascii="宋体" w:hAnsi="宋体" w:eastAsia="宋体" w:cs="宋体"/>
          <w:i/>
          <w:color w:val="auto"/>
          <w:szCs w:val="21"/>
          <w:highlight w:val="none"/>
          <w:u w:val="single"/>
        </w:rPr>
        <w:t>（如有，填写投标采购包号）</w:t>
      </w:r>
      <w:r>
        <w:rPr>
          <w:rFonts w:hint="eastAsia" w:ascii="宋体" w:hAnsi="宋体" w:eastAsia="宋体" w:cs="宋体"/>
          <w:color w:val="auto"/>
          <w:szCs w:val="21"/>
          <w:highlight w:val="none"/>
        </w:rPr>
        <w:t>投标，并已清楚招标文件的要求及有关文件规定，声明如下：</w:t>
      </w:r>
    </w:p>
    <w:p>
      <w:pPr>
        <w:pStyle w:val="46"/>
        <w:tabs>
          <w:tab w:val="left" w:pos="993"/>
        </w:tabs>
        <w:snapToGrid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（一）我方具备《中华人民共和国政府采购法》第二十二条所规定的条件：</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）具有履行合同所必需的设备和专业技术能力；</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）我方（如前三年内有名称变更的，含变更前名称）参加本项目政府采购活动前三年内在经营活动中没有重大违法记录；</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）我方符合法律、行政法规规定的其他条件，不存在以下不得参加本项目（同一采购包）投标的情形之一：</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①不同供应商的单位负责人为同一人或者存在直接控股、管理关系；</w:t>
      </w:r>
    </w:p>
    <w:p>
      <w:pPr>
        <w:pStyle w:val="46"/>
        <w:tabs>
          <w:tab w:val="left" w:pos="99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②供应商为采购项目提供整体设计、规范编制或者项目管理、监理、检测等服务。</w:t>
      </w:r>
    </w:p>
    <w:p>
      <w:pPr>
        <w:pStyle w:val="46"/>
        <w:tabs>
          <w:tab w:val="left" w:pos="993"/>
        </w:tabs>
        <w:snapToGrid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（二）我方已按招标公告及招标文件的规定获取了招标文件。</w:t>
      </w:r>
    </w:p>
    <w:p>
      <w:pPr>
        <w:pStyle w:val="46"/>
        <w:tabs>
          <w:tab w:val="left" w:pos="993"/>
        </w:tabs>
        <w:snapToGrid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（三）若本项目不接受联合体报价的，我方承诺以独立供应商名义即非联合体方式参加本项目的投标。</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我方郑重承诺公平竞争：我方保证所提交的相关资质文件和证明材料的真实性，有良好的历史诚信记录，并将依法参与本项目（采购包）的公平竞争，不以任何不正当行为谋取不当利益，否则承担相应的法律责任。</w:t>
      </w: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以上内容如有虚假或与事实不符的，评标委员会可将我方做无效投标处理。我方承诺在本次采购活动中，如有违法、违规、弄虚作假行为，所造成的损失、不良后果及法律责任，一律由我方承担。</w:t>
      </w:r>
    </w:p>
    <w:p>
      <w:pPr>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snapToGrid w:val="0"/>
        <w:spacing w:line="360" w:lineRule="auto"/>
        <w:rPr>
          <w:rFonts w:ascii="宋体" w:hAnsi="宋体" w:eastAsia="宋体" w:cs="宋体"/>
          <w:b/>
          <w:color w:val="auto"/>
          <w:szCs w:val="21"/>
          <w:highlight w:val="none"/>
        </w:rPr>
      </w:pPr>
    </w:p>
    <w:p>
      <w:pPr>
        <w:pStyle w:val="6"/>
        <w:spacing w:line="360" w:lineRule="auto"/>
        <w:rPr>
          <w:rFonts w:ascii="宋体" w:hAnsi="宋体" w:eastAsia="宋体" w:cs="宋体"/>
          <w:color w:val="auto"/>
          <w:highlight w:val="none"/>
        </w:rPr>
      </w:pPr>
    </w:p>
    <w:p>
      <w:pPr>
        <w:pStyle w:val="6"/>
        <w:spacing w:line="360" w:lineRule="auto"/>
        <w:rPr>
          <w:rFonts w:ascii="宋体" w:hAnsi="宋体" w:eastAsia="宋体" w:cs="宋体"/>
          <w:color w:val="auto"/>
          <w:highlight w:val="none"/>
        </w:rPr>
      </w:pP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投标人法定代表人或授权代表（签字或盖章）：</w:t>
      </w:r>
    </w:p>
    <w:p>
      <w:pPr>
        <w:snapToGrid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pPr>
        <w:snapToGrid w:val="0"/>
        <w:spacing w:line="360" w:lineRule="auto"/>
        <w:rPr>
          <w:rFonts w:ascii="宋体" w:hAnsi="宋体" w:eastAsia="宋体" w:cs="宋体"/>
          <w:b/>
          <w:color w:val="auto"/>
          <w:szCs w:val="21"/>
          <w:highlight w:val="none"/>
        </w:rPr>
      </w:pPr>
    </w:p>
    <w:p>
      <w:pPr>
        <w:pStyle w:val="6"/>
        <w:spacing w:line="360" w:lineRule="auto"/>
        <w:rPr>
          <w:rFonts w:ascii="宋体" w:hAnsi="宋体" w:eastAsia="宋体" w:cs="宋体"/>
          <w:color w:val="auto"/>
          <w:highlight w:val="none"/>
        </w:rPr>
      </w:pPr>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numPr>
          <w:ilvl w:val="0"/>
          <w:numId w:val="13"/>
        </w:numPr>
        <w:autoSpaceDE w:val="0"/>
        <w:autoSpaceDN w:val="0"/>
        <w:adjustRightInd w:val="0"/>
        <w:snapToGrid w:val="0"/>
        <w:spacing w:line="360" w:lineRule="auto"/>
        <w:ind w:left="0" w:firstLine="420" w:firstLineChars="200"/>
        <w:jc w:val="left"/>
        <w:rPr>
          <w:rFonts w:ascii="宋体" w:hAnsi="宋体" w:eastAsia="宋体" w:cs="宋体"/>
          <w:color w:val="auto"/>
          <w:szCs w:val="21"/>
          <w:highlight w:val="none"/>
        </w:rPr>
      </w:pPr>
      <w:bookmarkStart w:id="144" w:name="_Toc25074_WPSOffice_Level1"/>
      <w:r>
        <w:rPr>
          <w:rFonts w:hint="eastAsia" w:ascii="宋体" w:hAnsi="宋体" w:eastAsia="宋体" w:cs="宋体"/>
          <w:color w:val="auto"/>
          <w:szCs w:val="21"/>
          <w:highlight w:val="none"/>
        </w:rPr>
        <w:t>本声明函必须提供且内容不得擅自删改，否则视为</w:t>
      </w:r>
      <w:r>
        <w:rPr>
          <w:rFonts w:hint="eastAsia" w:ascii="宋体" w:hAnsi="宋体" w:eastAsia="宋体" w:cs="宋体"/>
          <w:b/>
          <w:bCs/>
          <w:color w:val="auto"/>
          <w:szCs w:val="21"/>
          <w:highlight w:val="none"/>
        </w:rPr>
        <w:t>无效投标</w:t>
      </w:r>
      <w:r>
        <w:rPr>
          <w:rFonts w:hint="eastAsia" w:ascii="宋体" w:hAnsi="宋体" w:eastAsia="宋体" w:cs="宋体"/>
          <w:color w:val="auto"/>
          <w:szCs w:val="21"/>
          <w:highlight w:val="none"/>
        </w:rPr>
        <w:t>。</w:t>
      </w:r>
      <w:bookmarkEnd w:id="144"/>
    </w:p>
    <w:p>
      <w:pPr>
        <w:numPr>
          <w:ilvl w:val="0"/>
          <w:numId w:val="13"/>
        </w:numPr>
        <w:autoSpaceDE w:val="0"/>
        <w:autoSpaceDN w:val="0"/>
        <w:adjustRightInd w:val="0"/>
        <w:snapToGrid w:val="0"/>
        <w:spacing w:line="360" w:lineRule="auto"/>
        <w:ind w:left="0" w:firstLine="420" w:firstLineChars="200"/>
        <w:jc w:val="left"/>
        <w:rPr>
          <w:rFonts w:ascii="宋体" w:hAnsi="宋体" w:eastAsia="宋体" w:cs="宋体"/>
          <w:color w:val="auto"/>
          <w:szCs w:val="21"/>
          <w:highlight w:val="none"/>
        </w:rPr>
      </w:pPr>
      <w:bookmarkStart w:id="145" w:name="_Toc9685_WPSOffice_Level1"/>
      <w:r>
        <w:rPr>
          <w:rFonts w:hint="eastAsia" w:ascii="宋体" w:hAnsi="宋体" w:eastAsia="宋体" w:cs="宋体"/>
          <w:color w:val="auto"/>
          <w:szCs w:val="21"/>
          <w:highlight w:val="none"/>
        </w:rPr>
        <w:t>本声明函如有虚假或与事实不符的，作</w:t>
      </w:r>
      <w:r>
        <w:rPr>
          <w:rFonts w:hint="eastAsia" w:ascii="宋体" w:hAnsi="宋体" w:eastAsia="宋体" w:cs="宋体"/>
          <w:b/>
          <w:color w:val="auto"/>
          <w:szCs w:val="21"/>
          <w:highlight w:val="none"/>
        </w:rPr>
        <w:t>无效投标</w:t>
      </w:r>
      <w:r>
        <w:rPr>
          <w:rFonts w:hint="eastAsia" w:ascii="宋体" w:hAnsi="宋体" w:eastAsia="宋体" w:cs="宋体"/>
          <w:color w:val="auto"/>
          <w:szCs w:val="21"/>
          <w:highlight w:val="none"/>
        </w:rPr>
        <w:t>处理。</w:t>
      </w:r>
      <w:bookmarkEnd w:id="145"/>
    </w:p>
    <w:p>
      <w:pPr>
        <w:pStyle w:val="6"/>
        <w:ind w:firstLine="0"/>
        <w:rPr>
          <w:rFonts w:ascii="宋体" w:hAnsi="宋体" w:eastAsia="宋体" w:cs="宋体"/>
          <w:color w:val="auto"/>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p>
    <w:p>
      <w:pPr>
        <w:tabs>
          <w:tab w:val="left" w:pos="567"/>
        </w:tabs>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tabs>
          <w:tab w:val="left" w:pos="567"/>
        </w:tabs>
        <w:adjustRightInd w:val="0"/>
        <w:snapToGrid w:val="0"/>
        <w:spacing w:line="360" w:lineRule="auto"/>
        <w:rPr>
          <w:rFonts w:ascii="宋体" w:hAnsi="宋体" w:eastAsia="宋体" w:cs="宋体"/>
          <w:b/>
          <w:color w:val="auto"/>
          <w:szCs w:val="21"/>
          <w:highlight w:val="none"/>
        </w:rPr>
      </w:pPr>
      <w:bookmarkStart w:id="146" w:name="_Toc25252_WPSOffice_Level1"/>
      <w:r>
        <w:rPr>
          <w:rFonts w:hint="eastAsia" w:ascii="宋体" w:hAnsi="宋体" w:eastAsia="宋体" w:cs="宋体"/>
          <w:b/>
          <w:color w:val="auto"/>
          <w:szCs w:val="21"/>
          <w:highlight w:val="none"/>
        </w:rPr>
        <w:t>附件1：</w:t>
      </w:r>
      <w:bookmarkEnd w:id="146"/>
    </w:p>
    <w:p>
      <w:pPr>
        <w:widowControl/>
        <w:shd w:val="clear" w:color="auto" w:fill="FFFFFF"/>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pStyle w:val="6"/>
        <w:ind w:firstLine="0"/>
        <w:rPr>
          <w:rFonts w:ascii="宋体" w:hAnsi="宋体" w:eastAsia="宋体" w:cs="宋体"/>
          <w:color w:val="auto"/>
          <w:highlight w:val="none"/>
        </w:rPr>
      </w:pPr>
    </w:p>
    <w:p>
      <w:pPr>
        <w:tabs>
          <w:tab w:val="left" w:pos="567"/>
        </w:tabs>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Start w:id="147" w:name="_Toc7298_WPSOffice_Level1"/>
      <w:r>
        <w:rPr>
          <w:rFonts w:hint="eastAsia" w:ascii="宋体" w:hAnsi="宋体" w:eastAsia="宋体" w:cs="宋体"/>
          <w:b/>
          <w:color w:val="auto"/>
          <w:szCs w:val="21"/>
          <w:highlight w:val="none"/>
        </w:rPr>
        <w:t>附件2：</w:t>
      </w:r>
      <w:bookmarkEnd w:id="147"/>
    </w:p>
    <w:p>
      <w:pPr>
        <w:jc w:val="center"/>
        <w:rPr>
          <w:rFonts w:ascii="宋体" w:hAnsi="宋体" w:eastAsia="宋体" w:cs="宋体"/>
          <w:color w:val="auto"/>
          <w:szCs w:val="21"/>
          <w:highlight w:val="none"/>
        </w:rPr>
      </w:pPr>
      <w:bookmarkStart w:id="148" w:name="_Toc16628_WPSOffice_Level1"/>
      <w:r>
        <w:rPr>
          <w:rFonts w:hint="eastAsia" w:ascii="宋体" w:hAnsi="宋体" w:eastAsia="宋体" w:cs="宋体"/>
          <w:b/>
          <w:bCs/>
          <w:color w:val="auto"/>
          <w:szCs w:val="21"/>
          <w:highlight w:val="none"/>
        </w:rPr>
        <w:t>与供应商存在关联关系的单位名称说明</w:t>
      </w:r>
      <w:bookmarkEnd w:id="148"/>
    </w:p>
    <w:p>
      <w:pPr>
        <w:ind w:firstLine="42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一、与我方的法定代表人（单位负责人）为同一人的单位名称如下：</w:t>
      </w:r>
    </w:p>
    <w:p>
      <w:pPr>
        <w:spacing w:line="360" w:lineRule="auto"/>
        <w:ind w:firstLine="420" w:firstLineChars="200"/>
        <w:rPr>
          <w:rFonts w:ascii="宋体" w:hAnsi="宋体" w:eastAsia="宋体" w:cs="宋体"/>
          <w:color w:val="auto"/>
          <w:szCs w:val="21"/>
          <w:highlight w:val="none"/>
          <w:u w:val="singl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二、我方的控股股东名称如下（我方的母公司、对我方直接或间接持股50％及以上的投资单位）：</w:t>
      </w:r>
    </w:p>
    <w:p>
      <w:pPr>
        <w:spacing w:line="360" w:lineRule="auto"/>
        <w:ind w:firstLine="420" w:firstLineChars="200"/>
        <w:rPr>
          <w:rFonts w:ascii="宋体" w:hAnsi="宋体" w:eastAsia="宋体" w:cs="宋体"/>
          <w:color w:val="auto"/>
          <w:szCs w:val="21"/>
          <w:highlight w:val="none"/>
          <w:u w:val="singl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三、我方直接控股的单位名称如下（直接或间接持股50％及以上的被投资单位）：</w:t>
      </w:r>
    </w:p>
    <w:p>
      <w:pPr>
        <w:spacing w:line="360" w:lineRule="auto"/>
        <w:ind w:firstLine="420" w:firstLineChars="200"/>
        <w:rPr>
          <w:rFonts w:ascii="宋体" w:hAnsi="宋体" w:eastAsia="宋体" w:cs="宋体"/>
          <w:color w:val="auto"/>
          <w:szCs w:val="21"/>
          <w:highlight w:val="none"/>
          <w:u w:val="singl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四、与我方存在管理、被管理关系的单位名称如下：</w:t>
      </w:r>
    </w:p>
    <w:p>
      <w:pPr>
        <w:spacing w:line="360" w:lineRule="auto"/>
        <w:rPr>
          <w:rFonts w:ascii="宋体" w:hAnsi="宋体" w:eastAsia="宋体" w:cs="宋体"/>
          <w:color w:val="auto"/>
          <w:szCs w:val="21"/>
          <w:highlight w:val="none"/>
          <w:u w:val="singl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我方承诺上述有关联关系的单位不参与本项目的投标，如有参与投标，我方投标文件为无效投标文件。</w:t>
      </w:r>
    </w:p>
    <w:p>
      <w:pPr>
        <w:spacing w:line="360" w:lineRule="auto"/>
        <w:ind w:firstLine="420" w:firstLineChars="200"/>
        <w:rPr>
          <w:rFonts w:ascii="宋体" w:hAnsi="宋体" w:eastAsia="宋体" w:cs="宋体"/>
          <w:color w:val="auto"/>
          <w:szCs w:val="21"/>
          <w:highlight w:val="none"/>
        </w:rPr>
      </w:pPr>
    </w:p>
    <w:p>
      <w:pPr>
        <w:tabs>
          <w:tab w:val="left" w:pos="2268"/>
        </w:tabs>
        <w:spacing w:line="420" w:lineRule="exact"/>
        <w:ind w:firstLine="420" w:firstLineChars="200"/>
        <w:rPr>
          <w:rFonts w:ascii="宋体" w:hAnsi="宋体" w:eastAsia="宋体" w:cs="宋体"/>
          <w:color w:val="auto"/>
          <w:szCs w:val="21"/>
          <w:highlight w:val="none"/>
        </w:rPr>
      </w:pPr>
    </w:p>
    <w:p>
      <w:pPr>
        <w:tabs>
          <w:tab w:val="left" w:pos="2268"/>
        </w:tabs>
        <w:spacing w:line="420" w:lineRule="exact"/>
        <w:ind w:firstLine="420" w:firstLineChars="200"/>
        <w:rPr>
          <w:rFonts w:ascii="宋体" w:hAnsi="宋体" w:eastAsia="宋体" w:cs="宋体"/>
          <w:color w:val="auto"/>
          <w:szCs w:val="21"/>
          <w:highlight w:val="none"/>
        </w:rPr>
      </w:pPr>
    </w:p>
    <w:p>
      <w:pPr>
        <w:tabs>
          <w:tab w:val="left" w:pos="2268"/>
        </w:tabs>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2268"/>
        </w:tabs>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tabs>
          <w:tab w:val="left" w:pos="2268"/>
        </w:tabs>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日期：年月日</w:t>
      </w:r>
    </w:p>
    <w:p>
      <w:pPr>
        <w:spacing w:line="360" w:lineRule="auto"/>
        <w:rPr>
          <w:rFonts w:ascii="宋体" w:hAnsi="宋体" w:eastAsia="宋体" w:cs="宋体"/>
          <w:color w:val="auto"/>
          <w:szCs w:val="21"/>
          <w:highlight w:val="none"/>
        </w:rPr>
      </w:pPr>
    </w:p>
    <w:p>
      <w:pPr>
        <w:snapToGrid w:val="0"/>
        <w:spacing w:line="360" w:lineRule="auto"/>
        <w:ind w:firstLine="480" w:firstLineChars="229"/>
        <w:rPr>
          <w:rFonts w:ascii="宋体" w:hAnsi="宋体" w:eastAsia="宋体" w:cs="宋体"/>
          <w:color w:val="auto"/>
          <w:szCs w:val="21"/>
          <w:highlight w:val="none"/>
        </w:rPr>
      </w:pPr>
      <w:r>
        <w:rPr>
          <w:rFonts w:hint="eastAsia" w:ascii="宋体" w:hAnsi="宋体" w:eastAsia="宋体" w:cs="宋体"/>
          <w:color w:val="auto"/>
          <w:szCs w:val="21"/>
          <w:highlight w:val="none"/>
        </w:rPr>
        <w:t>注：有以上情况的单位名称请应列尽列，若无相关情况请填写“无”。</w:t>
      </w:r>
    </w:p>
    <w:p>
      <w:pPr>
        <w:pStyle w:val="6"/>
        <w:ind w:firstLine="0"/>
        <w:rPr>
          <w:rFonts w:ascii="宋体" w:hAnsi="宋体" w:eastAsia="宋体" w:cs="宋体"/>
          <w:color w:val="auto"/>
          <w:highlight w:val="none"/>
        </w:rPr>
      </w:pPr>
    </w:p>
    <w:p>
      <w:pPr>
        <w:spacing w:before="319" w:beforeLines="100" w:after="319" w:afterLines="100" w:line="480" w:lineRule="exact"/>
        <w:ind w:right="630" w:rightChars="300"/>
        <w:jc w:val="center"/>
        <w:rPr>
          <w:rFonts w:ascii="宋体" w:hAnsi="宋体" w:eastAsia="宋体" w:cs="宋体"/>
          <w:b/>
          <w:color w:val="auto"/>
          <w:sz w:val="28"/>
          <w:szCs w:val="28"/>
          <w:highlight w:val="none"/>
        </w:rPr>
      </w:pPr>
    </w:p>
    <w:p>
      <w:pPr>
        <w:pStyle w:val="7"/>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49" w:name="_Toc96523899"/>
      <w:r>
        <w:rPr>
          <w:rFonts w:hint="eastAsia" w:ascii="宋体" w:hAnsi="宋体" w:eastAsia="宋体" w:cs="宋体"/>
          <w:color w:val="auto"/>
          <w:sz w:val="24"/>
          <w:szCs w:val="24"/>
          <w:highlight w:val="none"/>
        </w:rPr>
        <w:t>格式5.符合“供应商资格”要求的其他证明文件</w:t>
      </w:r>
      <w:bookmarkEnd w:id="149"/>
    </w:p>
    <w:p>
      <w:pPr>
        <w:pStyle w:val="65"/>
        <w:spacing w:line="360" w:lineRule="auto"/>
        <w:rPr>
          <w:rFonts w:ascii="宋体" w:hAnsi="宋体" w:cs="宋体"/>
          <w:color w:val="auto"/>
          <w:highlight w:val="none"/>
        </w:rPr>
      </w:pPr>
    </w:p>
    <w:p>
      <w:pPr>
        <w:pStyle w:val="65"/>
        <w:spacing w:line="360" w:lineRule="auto"/>
        <w:rPr>
          <w:rFonts w:ascii="宋体" w:hAnsi="宋体" w:cs="宋体"/>
          <w:color w:val="auto"/>
          <w:highlight w:val="none"/>
        </w:rPr>
      </w:pPr>
      <w:r>
        <w:rPr>
          <w:rFonts w:hint="eastAsia" w:ascii="宋体" w:hAnsi="宋体" w:cs="宋体"/>
          <w:color w:val="auto"/>
          <w:highlight w:val="none"/>
        </w:rPr>
        <w:t>附件1：供应商认为必要的其他材料，如已经成功领取采购文件的证明材料（含采购代理机构邮件发送采购文件电子版的截图或者采购代理机构开具的本次采购文件获取的发票或者采购代理机构成功领取采购文件的登记截图）</w:t>
      </w:r>
    </w:p>
    <w:p>
      <w:pPr>
        <w:rPr>
          <w:rFonts w:ascii="宋体" w:hAnsi="宋体" w:eastAsia="宋体" w:cs="宋体"/>
          <w:color w:val="auto"/>
          <w:highlight w:val="none"/>
        </w:rPr>
      </w:pPr>
    </w:p>
    <w:p>
      <w:pPr>
        <w:spacing w:before="319" w:beforeLines="100" w:after="319" w:afterLines="100" w:line="480" w:lineRule="exact"/>
        <w:ind w:right="630" w:rightChars="300"/>
        <w:jc w:val="center"/>
        <w:rPr>
          <w:rFonts w:ascii="宋体" w:hAnsi="宋体" w:eastAsia="宋体" w:cs="宋体"/>
          <w:color w:val="auto"/>
          <w:szCs w:val="21"/>
          <w:highlight w:val="none"/>
        </w:rPr>
      </w:pPr>
    </w:p>
    <w:p>
      <w:pPr>
        <w:pStyle w:val="5"/>
        <w:rPr>
          <w:rFonts w:ascii="宋体" w:hAnsi="宋体" w:eastAsia="宋体" w:cs="宋体"/>
          <w:color w:val="auto"/>
          <w:szCs w:val="28"/>
          <w:highlight w:val="none"/>
        </w:rPr>
      </w:pPr>
      <w:r>
        <w:rPr>
          <w:rFonts w:hint="eastAsia" w:ascii="宋体" w:hAnsi="宋体" w:eastAsia="宋体" w:cs="宋体"/>
          <w:color w:val="auto"/>
          <w:szCs w:val="21"/>
          <w:highlight w:val="none"/>
        </w:rPr>
        <w:br w:type="page"/>
      </w:r>
      <w:bookmarkStart w:id="150" w:name="_Toc96523900"/>
      <w:bookmarkStart w:id="151" w:name="_Toc13483_WPSOffice_Level1"/>
      <w:r>
        <w:rPr>
          <w:rFonts w:hint="eastAsia" w:ascii="宋体" w:hAnsi="宋体" w:eastAsia="宋体" w:cs="宋体"/>
          <w:color w:val="auto"/>
          <w:highlight w:val="none"/>
        </w:rPr>
        <w:t>第三章投标文件商务部分</w:t>
      </w:r>
      <w:bookmarkEnd w:id="150"/>
      <w:bookmarkEnd w:id="151"/>
    </w:p>
    <w:p>
      <w:pPr>
        <w:pStyle w:val="65"/>
        <w:rPr>
          <w:rFonts w:ascii="宋体" w:hAnsi="宋体" w:cs="宋体"/>
          <w:color w:val="auto"/>
          <w:highlight w:val="none"/>
        </w:rPr>
      </w:pPr>
    </w:p>
    <w:p>
      <w:pPr>
        <w:pStyle w:val="7"/>
        <w:rPr>
          <w:rFonts w:ascii="宋体" w:hAnsi="宋体" w:eastAsia="宋体" w:cs="宋体"/>
          <w:color w:val="auto"/>
          <w:sz w:val="24"/>
          <w:szCs w:val="24"/>
          <w:highlight w:val="none"/>
        </w:rPr>
      </w:pPr>
      <w:bookmarkStart w:id="152" w:name="_Toc96523901"/>
      <w:r>
        <w:rPr>
          <w:rFonts w:hint="eastAsia" w:ascii="宋体" w:hAnsi="宋体" w:eastAsia="宋体" w:cs="宋体"/>
          <w:color w:val="auto"/>
          <w:sz w:val="24"/>
          <w:szCs w:val="24"/>
          <w:highlight w:val="none"/>
        </w:rPr>
        <w:t>格式6.投标函</w:t>
      </w:r>
      <w:bookmarkEnd w:id="152"/>
    </w:p>
    <w:p>
      <w:pPr>
        <w:spacing w:before="319" w:beforeLines="100" w:after="319" w:afterLines="100" w:line="480" w:lineRule="exact"/>
        <w:ind w:right="-21" w:rightChars="-10"/>
        <w:jc w:val="center"/>
        <w:rPr>
          <w:rFonts w:ascii="宋体" w:hAnsi="宋体" w:eastAsia="宋体" w:cs="宋体"/>
          <w:b/>
          <w:color w:val="auto"/>
          <w:sz w:val="32"/>
          <w:szCs w:val="32"/>
          <w:highlight w:val="none"/>
        </w:rPr>
      </w:pPr>
      <w:bookmarkStart w:id="153" w:name="_Toc28883_WPSOffice_Level1"/>
      <w:bookmarkStart w:id="154" w:name="_Toc14782_WPSOffice_Level2"/>
      <w:bookmarkStart w:id="155" w:name="_Toc24841_WPSOffice_Level2"/>
      <w:r>
        <w:rPr>
          <w:rFonts w:hint="eastAsia" w:ascii="宋体" w:hAnsi="宋体" w:eastAsia="宋体" w:cs="宋体"/>
          <w:b/>
          <w:color w:val="auto"/>
          <w:sz w:val="32"/>
          <w:szCs w:val="32"/>
          <w:highlight w:val="none"/>
        </w:rPr>
        <w:t>投标函</w:t>
      </w:r>
      <w:bookmarkEnd w:id="153"/>
      <w:bookmarkEnd w:id="154"/>
      <w:bookmarkEnd w:id="155"/>
    </w:p>
    <w:p>
      <w:pPr>
        <w:adjustRightInd w:val="0"/>
        <w:snapToGrid w:val="0"/>
        <w:spacing w:line="360" w:lineRule="auto"/>
        <w:ind w:right="630" w:rightChars="300"/>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w:t>
      </w:r>
    </w:p>
    <w:p>
      <w:pPr>
        <w:spacing w:line="440" w:lineRule="exact"/>
        <w:ind w:left="158" w:leftChars="75" w:firstLine="500" w:firstLineChars="200"/>
        <w:rPr>
          <w:rFonts w:ascii="宋体" w:hAnsi="宋体" w:eastAsia="宋体" w:cs="宋体"/>
          <w:color w:val="auto"/>
          <w:szCs w:val="21"/>
          <w:highlight w:val="none"/>
        </w:rPr>
      </w:pPr>
      <w:r>
        <w:rPr>
          <w:rFonts w:hint="eastAsia" w:ascii="宋体" w:hAnsi="宋体" w:eastAsia="宋体" w:cs="宋体"/>
          <w:color w:val="auto"/>
          <w:spacing w:val="20"/>
          <w:szCs w:val="21"/>
          <w:highlight w:val="none"/>
        </w:rPr>
        <w:t>我方收到贵方关于</w:t>
      </w:r>
      <w:r>
        <w:rPr>
          <w:rFonts w:hint="eastAsia" w:ascii="宋体" w:hAnsi="宋体" w:eastAsia="宋体" w:cs="宋体"/>
          <w:color w:val="auto"/>
          <w:szCs w:val="21"/>
          <w:highlight w:val="none"/>
          <w:u w:val="single"/>
        </w:rPr>
        <w:t>（项目名称）</w:t>
      </w:r>
      <w:r>
        <w:rPr>
          <w:rFonts w:hint="eastAsia" w:ascii="宋体" w:hAnsi="宋体" w:eastAsia="宋体" w:cs="宋体"/>
          <w:color w:val="auto"/>
          <w:spacing w:val="20"/>
          <w:szCs w:val="21"/>
          <w:highlight w:val="none"/>
        </w:rPr>
        <w:t>（项目编号：</w:t>
      </w:r>
      <w:r>
        <w:rPr>
          <w:rFonts w:hint="eastAsia" w:ascii="宋体" w:hAnsi="宋体" w:eastAsia="宋体" w:cs="宋体"/>
          <w:color w:val="auto"/>
          <w:szCs w:val="21"/>
          <w:highlight w:val="none"/>
          <w:u w:val="single"/>
        </w:rPr>
        <w:t>（项目编号）</w:t>
      </w:r>
      <w:r>
        <w:rPr>
          <w:rFonts w:hint="eastAsia" w:ascii="宋体" w:hAnsi="宋体" w:eastAsia="宋体" w:cs="宋体"/>
          <w:color w:val="auto"/>
          <w:spacing w:val="20"/>
          <w:szCs w:val="21"/>
          <w:highlight w:val="none"/>
        </w:rPr>
        <w:t>）的招标文件，</w:t>
      </w:r>
      <w:r>
        <w:rPr>
          <w:rFonts w:hint="eastAsia" w:ascii="宋体" w:hAnsi="宋体" w:eastAsia="宋体" w:cs="宋体"/>
          <w:color w:val="auto"/>
          <w:szCs w:val="21"/>
          <w:highlight w:val="none"/>
        </w:rPr>
        <w:t>我方完全理解招标文件的所有内容，现决定投标本项目，据此我方承诺如下：</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1.我方的投标文件在投标截止日后90天（日历天）内保持有效，如中标，有效期将延至本项目《采购合同》执行期满日为止。</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2.我方在参与投标前已仔细研究了招标文件和所有相关资料，我方完全明白并认为此招标文件没有倾向性，也没有存在排斥潜在投标人的内容，我方同意招标文件的相关条款，放弃对招标文件提出询问和质疑的一切权利。</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3.我方作为在法律、财务和运作上独立于采购方、采购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4.我方理解贵方不一定接受最低报价的投标。</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5.我方同意如在本项目开标后、投标有效期之内撤回投标的，贵方将不退还投标保证金（如有）。</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6.我方如果中标，保证履行投标文件中承诺的全部责任和义务，切实履行《采购合同》中的全部条款并按照《招标文件》的要求向贵司足额交纳招标代理服务费。</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7.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tabs>
          <w:tab w:val="left" w:pos="420"/>
          <w:tab w:val="left" w:pos="510"/>
        </w:tabs>
        <w:spacing w:line="440" w:lineRule="exact"/>
        <w:ind w:left="510"/>
        <w:rPr>
          <w:rFonts w:ascii="宋体" w:hAnsi="宋体" w:eastAsia="宋体" w:cs="宋体"/>
          <w:color w:val="auto"/>
          <w:szCs w:val="21"/>
          <w:highlight w:val="none"/>
        </w:rPr>
      </w:pPr>
      <w:r>
        <w:rPr>
          <w:rFonts w:hint="eastAsia" w:ascii="宋体" w:hAnsi="宋体" w:eastAsia="宋体" w:cs="宋体"/>
          <w:color w:val="auto"/>
          <w:szCs w:val="21"/>
          <w:highlight w:val="none"/>
        </w:rPr>
        <w:t>8.与本投标有关的一切正式往来通讯请寄：</w:t>
      </w:r>
    </w:p>
    <w:p>
      <w:pPr>
        <w:tabs>
          <w:tab w:val="left" w:pos="900"/>
          <w:tab w:val="left" w:pos="5529"/>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p>
    <w:p>
      <w:pPr>
        <w:tabs>
          <w:tab w:val="left" w:pos="900"/>
          <w:tab w:val="left" w:pos="5529"/>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传真：</w:t>
      </w:r>
    </w:p>
    <w:p>
      <w:pPr>
        <w:tabs>
          <w:tab w:val="left" w:pos="900"/>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投标人代表姓名、职务（印刷体）：电话：</w:t>
      </w:r>
    </w:p>
    <w:p>
      <w:pPr>
        <w:tabs>
          <w:tab w:val="left" w:pos="900"/>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900"/>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投标人法定代表人或其委托人签字或盖章：</w:t>
      </w:r>
    </w:p>
    <w:p>
      <w:pPr>
        <w:tabs>
          <w:tab w:val="left" w:pos="900"/>
        </w:tabs>
        <w:spacing w:line="440" w:lineRule="exact"/>
        <w:ind w:left="540"/>
        <w:rPr>
          <w:rFonts w:ascii="宋体" w:hAnsi="宋体" w:eastAsia="宋体" w:cs="宋体"/>
          <w:color w:val="auto"/>
          <w:szCs w:val="21"/>
          <w:highlight w:val="none"/>
        </w:rPr>
      </w:pPr>
      <w:r>
        <w:rPr>
          <w:rFonts w:hint="eastAsia" w:ascii="宋体" w:hAnsi="宋体" w:eastAsia="宋体" w:cs="宋体"/>
          <w:color w:val="auto"/>
          <w:szCs w:val="21"/>
          <w:highlight w:val="none"/>
        </w:rPr>
        <w:t>日期：年月日</w:t>
      </w:r>
    </w:p>
    <w:p>
      <w:pPr>
        <w:tabs>
          <w:tab w:val="left" w:pos="900"/>
        </w:tabs>
        <w:spacing w:line="440" w:lineRule="exact"/>
        <w:ind w:left="540"/>
        <w:rPr>
          <w:rFonts w:ascii="宋体" w:hAnsi="宋体" w:eastAsia="宋体" w:cs="宋体"/>
          <w:color w:val="auto"/>
          <w:szCs w:val="21"/>
          <w:highlight w:val="none"/>
        </w:rPr>
      </w:pPr>
      <w:r>
        <w:rPr>
          <w:rFonts w:hint="eastAsia" w:ascii="宋体" w:hAnsi="宋体" w:eastAsia="宋体" w:cs="宋体"/>
          <w:b/>
          <w:color w:val="auto"/>
          <w:szCs w:val="21"/>
          <w:highlight w:val="none"/>
        </w:rPr>
        <w:t>注：法定代表人委托全权代表人，需附法定代表人签字或印鉴的授权书。</w:t>
      </w:r>
    </w:p>
    <w:p>
      <w:pPr>
        <w:pStyle w:val="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56" w:name="_Toc96523902"/>
      <w:r>
        <w:rPr>
          <w:rFonts w:hint="eastAsia" w:ascii="宋体" w:hAnsi="宋体" w:eastAsia="宋体" w:cs="宋体"/>
          <w:color w:val="auto"/>
          <w:sz w:val="24"/>
          <w:szCs w:val="24"/>
          <w:highlight w:val="none"/>
        </w:rPr>
        <w:t>格式7.</w:t>
      </w:r>
      <w:bookmarkStart w:id="157" w:name="_Toc2734"/>
      <w:r>
        <w:rPr>
          <w:rFonts w:hint="eastAsia" w:ascii="宋体" w:hAnsi="宋体" w:eastAsia="宋体" w:cs="宋体"/>
          <w:color w:val="auto"/>
          <w:sz w:val="24"/>
          <w:szCs w:val="24"/>
          <w:highlight w:val="none"/>
        </w:rPr>
        <w:t>法定代表人证明书</w:t>
      </w:r>
      <w:bookmarkEnd w:id="156"/>
      <w:bookmarkEnd w:id="157"/>
    </w:p>
    <w:p>
      <w:pPr>
        <w:jc w:val="center"/>
        <w:rPr>
          <w:rFonts w:ascii="宋体" w:hAnsi="宋体" w:eastAsia="宋体" w:cs="宋体"/>
          <w:b/>
          <w:bCs/>
          <w:color w:val="auto"/>
          <w:sz w:val="32"/>
          <w:szCs w:val="32"/>
          <w:highlight w:val="none"/>
        </w:rPr>
      </w:pPr>
      <w:bookmarkStart w:id="158" w:name="_Toc3401_WPSOffice_Level2"/>
      <w:bookmarkStart w:id="159" w:name="_Toc16924_WPSOffice_Level2"/>
    </w:p>
    <w:bookmarkEnd w:id="158"/>
    <w:bookmarkEnd w:id="159"/>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法定代表人证明书和法定代表人授权书按以下格式填写，如由法定代表人投标并签署投标文件，需提供法定代表人证明书，否则需提供法定代表人证明书和法定代表人授权书。</w:t>
      </w:r>
    </w:p>
    <w:p>
      <w:pPr>
        <w:pStyle w:val="6"/>
        <w:jc w:val="center"/>
        <w:rPr>
          <w:rFonts w:ascii="宋体" w:hAnsi="宋体" w:eastAsia="宋体" w:cs="宋体"/>
          <w:b/>
          <w:color w:val="auto"/>
          <w:szCs w:val="21"/>
          <w:highlight w:val="none"/>
        </w:rPr>
      </w:pPr>
    </w:p>
    <w:p>
      <w:pPr>
        <w:pStyle w:val="6"/>
        <w:jc w:val="center"/>
        <w:rPr>
          <w:rFonts w:ascii="宋体" w:hAnsi="宋体" w:eastAsia="宋体" w:cs="宋体"/>
          <w:b/>
          <w:color w:val="auto"/>
          <w:szCs w:val="21"/>
          <w:highlight w:val="none"/>
        </w:rPr>
      </w:pPr>
      <w:bookmarkStart w:id="160" w:name="_Toc1829_WPSOffice_Level1"/>
      <w:r>
        <w:rPr>
          <w:rFonts w:hint="eastAsia" w:ascii="宋体" w:hAnsi="宋体" w:eastAsia="宋体" w:cs="宋体"/>
          <w:b/>
          <w:color w:val="auto"/>
          <w:szCs w:val="21"/>
          <w:highlight w:val="none"/>
        </w:rPr>
        <w:t>法定代表人证明书</w:t>
      </w:r>
      <w:bookmarkEnd w:id="160"/>
    </w:p>
    <w:p>
      <w:pPr>
        <w:spacing w:line="360" w:lineRule="auto"/>
        <w:rPr>
          <w:rFonts w:ascii="宋体" w:hAnsi="宋体" w:eastAsia="宋体" w:cs="宋体"/>
          <w:b/>
          <w:bCs/>
          <w:color w:val="auto"/>
          <w:szCs w:val="21"/>
          <w:highlight w:val="none"/>
        </w:rPr>
      </w:pPr>
    </w:p>
    <w:p>
      <w:pPr>
        <w:spacing w:line="360" w:lineRule="auto"/>
        <w:ind w:left="640" w:leftChars="305"/>
        <w:rPr>
          <w:rFonts w:ascii="宋体" w:hAnsi="宋体" w:eastAsia="宋体" w:cs="宋体"/>
          <w:color w:val="auto"/>
          <w:szCs w:val="21"/>
          <w:highlight w:val="none"/>
        </w:rPr>
      </w:pPr>
      <w:r>
        <w:rPr>
          <w:rFonts w:hint="eastAsia" w:ascii="宋体" w:hAnsi="宋体" w:eastAsia="宋体" w:cs="宋体"/>
          <w:color w:val="auto"/>
          <w:szCs w:val="21"/>
          <w:highlight w:val="none"/>
        </w:rPr>
        <w:t>同志，现任我单位职务，为法定代表人，特此证明。</w:t>
      </w:r>
    </w:p>
    <w:p>
      <w:pPr>
        <w:spacing w:line="360" w:lineRule="auto"/>
        <w:ind w:left="712" w:leftChars="119" w:hanging="462" w:hangingChars="220"/>
        <w:jc w:val="right"/>
        <w:rPr>
          <w:rFonts w:ascii="宋体" w:hAnsi="宋体" w:eastAsia="宋体" w:cs="宋体"/>
          <w:color w:val="auto"/>
          <w:szCs w:val="21"/>
          <w:highlight w:val="none"/>
        </w:rPr>
      </w:pPr>
      <w:r>
        <w:rPr>
          <w:rFonts w:hint="eastAsia" w:ascii="宋体" w:hAnsi="宋体" w:eastAsia="宋体" w:cs="宋体"/>
          <w:color w:val="auto"/>
          <w:szCs w:val="21"/>
          <w:highlight w:val="none"/>
        </w:rPr>
        <w:t>签发日期：年月日</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附：</w:t>
      </w:r>
    </w:p>
    <w:p>
      <w:pPr>
        <w:spacing w:line="360" w:lineRule="auto"/>
        <w:ind w:left="748" w:hanging="56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营业执照/登记证书（注册号或登记号）：</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经济性质：</w:t>
      </w:r>
    </w:p>
    <w:p>
      <w:pPr>
        <w:spacing w:line="360" w:lineRule="auto"/>
        <w:ind w:left="748" w:hanging="567"/>
        <w:jc w:val="left"/>
        <w:rPr>
          <w:rFonts w:ascii="宋体" w:hAnsi="宋体" w:eastAsia="宋体" w:cs="宋体"/>
          <w:color w:val="auto"/>
          <w:szCs w:val="21"/>
          <w:highlight w:val="none"/>
        </w:rPr>
      </w:pPr>
      <w:r>
        <w:rPr>
          <w:rFonts w:hint="eastAsia" w:ascii="宋体" w:hAnsi="宋体" w:eastAsia="宋体" w:cs="宋体"/>
          <w:color w:val="auto"/>
          <w:szCs w:val="21"/>
          <w:highlight w:val="none"/>
        </w:rPr>
        <w:t>主营（产）：</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兼营（产）：</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spacing w:line="400" w:lineRule="exact"/>
        <w:ind w:left="748" w:hanging="567"/>
        <w:rPr>
          <w:rFonts w:ascii="宋体" w:hAnsi="宋体" w:eastAsia="宋体" w:cs="宋体"/>
          <w:color w:val="auto"/>
          <w:szCs w:val="21"/>
          <w:highlight w:val="none"/>
        </w:rPr>
      </w:pPr>
    </w:p>
    <w:p>
      <w:pPr>
        <w:pStyle w:val="6"/>
        <w:rPr>
          <w:rFonts w:ascii="宋体" w:hAnsi="宋体" w:eastAsia="宋体" w:cs="宋体"/>
          <w:b/>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2846705</wp:posOffset>
                </wp:positionH>
                <wp:positionV relativeFrom="paragraph">
                  <wp:posOffset>355600</wp:posOffset>
                </wp:positionV>
                <wp:extent cx="2491740" cy="1596390"/>
                <wp:effectExtent l="4445" t="4445" r="5715" b="12065"/>
                <wp:wrapNone/>
                <wp:docPr id="8" name="矩形 1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6" o:spid="_x0000_s1026" o:spt="1" style="position:absolute;left:0pt;margin-left:224.15pt;margin-top:28pt;height:125.7pt;width:196.2pt;z-index:251661312;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HSPisI/AgAAigQAAA4AAABkcnMvZTJvRG9jLnhtbK1U&#10;wY7TMBC9I/EPlu9smtJ2adR0tWq1CGmBlRY+wHWcxsL2mLHbtPwMEjc+gs9B/AYTpy3dhcMeyCHy&#10;ZMbPb97zZHa1s4ZtFQYNruT5xYAz5SRU2q1L/vHDzYtXnIUoXCUMOFXyvQr8av782az1hRpCA6ZS&#10;yAjEhaL1JW9i9EWWBdkoK8IFeOUoWQNaESnEdVahaAndmmw4GEyyFrDyCFKFQF+XfZIfEPEpgFDX&#10;WqolyI1VLvaoqIyI1FJotA98ntjWtZLxfV0HFZkpOXUa05sOofWqe2fzmSjWKHyj5YGCeAqFRz1Z&#10;oR0deoJaiijYBvVfUFZLhAB1vJBgs76RpAh1kQ8eaXPfCK9SLyR18CfRw/+Dle+2d8h0VXKy3QlL&#10;hv/6+v3nj28sn3TitD4UVHPv77BrL/hbkJ8Cc7BohFura0RoGyUqopR39dmDDV0QaCtbtW+hImyx&#10;iZB02tVoO0BSgO2SHfuTHWoXmaSPw9E0vxyRU5Jy+Xg6eTlNhmWiOG73GOJrBZZ1i5Ij+Z3gxfY2&#10;xI6OKI4liT4YXd1oY1KA69XCINsKuhs36UkdUJfnZcaxtuTT8XCckB/kwjnEID3/grA60sgYbUnl&#10;8yLjOh4qXdMD36NivfJxt9odTFhBtSchEforTANMiwbwC2ctXd+Sh88bgYoz88aRGdN81CkXUzAa&#10;Xw4pwPPM6jwjnCSokkfO+uUi9jOy8ajXDZ2Up+YdXJOBtU7SdlR7Vgfb6YomxQ/j1M3AeZyq/vxC&#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wp+NkAAAAKAQAADwAAAAAAAAABACAAAAAiAAAA&#10;ZHJzL2Rvd25yZXYueG1sUEsBAhQAFAAAAAgAh07iQHSPisI/AgAAigQAAA4AAAAAAAAAAQAgAAAA&#10;KAEAAGRycy9lMm9Eb2MueG1sUEsFBgAAAAAGAAYAWQEAANkFAAAAAA==&#10;">
                <v:fill on="t" focussize="0,0"/>
                <v:stroke color="#000000" miterlimit="8" joinstyle="miter"/>
                <v:imagedata o:title=""/>
                <o:lock v:ext="edit" aspectratio="f"/>
                <v:textbo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355600</wp:posOffset>
                </wp:positionV>
                <wp:extent cx="2479675" cy="1596390"/>
                <wp:effectExtent l="5080" t="4445" r="4445" b="12065"/>
                <wp:wrapNone/>
                <wp:docPr id="7" name="矩形 1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13.25pt;margin-top:28pt;height:125.7pt;width:195.25pt;z-index:251660288;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ko/1gUICAACKBAAADgAAAGRycy9lMm9Eb2MueG1srVRL&#10;btswEN0X6B0I7mtZrj+xEDkIErgokLYB0h6ApiiLKMlhh7Rl9zIFusshepyi1+iIslMn7SKLaiFw&#10;NMPH994MdX6xs4ZtFQYNruT5YMiZchIq7dYl//Rx+eqMsxCFq4QBp0q+V4FfLF6+OG99oUbQgKkU&#10;MgJxoWh9yZsYfZFlQTbKijAArxwla0ArIoW4zioULaFbk42Gw2nWAlYeQaoQ6Ot1n+QHRHwOINS1&#10;luoa5MYqF3tUVEZEkhQa7QNfJLZ1rWT8UNdBRWZKTkpjetMhtF5172xxLoo1Ct9oeaAgnkPhiSYr&#10;tKNDH6CuRRRsg/ovKKslQoA6DiTYrBeSHCEV+fCJN3eN8CppIauDfzA9/D9Y+X57i0xXJZ9x5oSl&#10;hv/6dv/zx3eWTzpzWh8Kqrnzt9jJC/4G5OfAHFw1wq3VJSK0jRIVUcq7+uzRhi4ItJWt2ndQEbbY&#10;REg+7Wq0HSA5wHapHfuHdqhdZJI+jsaz+XQ24UxSLp/Mp6/nqWGZKI7bPYb4RoFl3aLkSP1O8GJ7&#10;E2JHRxTHkkQfjK6W2pgU4Hp1ZZBtBc3GMj1JAak8LTOOtSWfT0aThPwoF04hhun5F4TVka6M0bbk&#10;Z6dFxnU8VBrTA9+jY73zcbfaHZqwgmpPRiL0I0wXmBYN4FfOWhrfkocvG4GKM/PWUTPm+XjczXsK&#10;xpPZiAI8zaxOM8JJgip55KxfXsX+jmw86nVDJ+VJvINLamCtk7Ud1Z7Voe00osnxw3Xq7sBpnKr+&#10;/EI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RX9ca2AAAAAkBAAAPAAAAAAAAAAEAIAAAACIA&#10;AABkcnMvZG93bnJldi54bWxQSwECFAAUAAAACACHTuJAko/1gUICAACKBAAADgAAAAAAAAABACAA&#10;AAAnAQAAZHJzL2Uyb0RvYy54bWxQSwUGAAAAAAYABgBZAQAA2wUAAAAA&#10;">
                <v:fill on="t" focussize="0,0"/>
                <v:stroke color="#000000" miterlimit="8" joinstyle="miter"/>
                <v:imagedata o:title=""/>
                <o:lock v:ext="edit" aspectratio="f"/>
                <v:textbox>
                  <w:txbxContent>
                    <w:p>
                      <w:pPr>
                        <w:jc w:val="center"/>
                      </w:pPr>
                    </w:p>
                    <w:p>
                      <w:pPr>
                        <w:jc w:val="center"/>
                        <w:rPr>
                          <w:szCs w:val="21"/>
                        </w:rPr>
                      </w:pPr>
                      <w:r>
                        <w:rPr>
                          <w:rFonts w:hint="eastAsia"/>
                          <w:szCs w:val="21"/>
                        </w:rPr>
                        <w:t>法定代表人</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v:textbox>
              </v:rect>
            </w:pict>
          </mc:Fallback>
        </mc:AlternateContent>
      </w:r>
    </w:p>
    <w:p>
      <w:pPr>
        <w:pStyle w:val="6"/>
        <w:rPr>
          <w:rFonts w:ascii="宋体" w:hAnsi="宋体" w:eastAsia="宋体" w:cs="宋体"/>
          <w:b/>
          <w:color w:val="auto"/>
          <w:szCs w:val="21"/>
          <w:highlight w:val="none"/>
        </w:rPr>
      </w:pPr>
    </w:p>
    <w:p>
      <w:pPr>
        <w:pStyle w:val="6"/>
        <w:rPr>
          <w:rFonts w:ascii="宋体" w:hAnsi="宋体" w:eastAsia="宋体" w:cs="宋体"/>
          <w:b/>
          <w:color w:val="auto"/>
          <w:szCs w:val="21"/>
          <w:highlight w:val="none"/>
        </w:rPr>
      </w:pPr>
    </w:p>
    <w:p>
      <w:pPr>
        <w:pStyle w:val="6"/>
        <w:rPr>
          <w:rFonts w:ascii="宋体" w:hAnsi="宋体" w:eastAsia="宋体" w:cs="宋体"/>
          <w:b/>
          <w:color w:val="auto"/>
          <w:szCs w:val="21"/>
          <w:highlight w:val="none"/>
        </w:rPr>
      </w:pPr>
    </w:p>
    <w:p>
      <w:pPr>
        <w:pStyle w:val="6"/>
        <w:rPr>
          <w:rFonts w:ascii="宋体" w:hAnsi="宋体" w:eastAsia="宋体" w:cs="宋体"/>
          <w:b/>
          <w:color w:val="auto"/>
          <w:szCs w:val="21"/>
          <w:highlight w:val="none"/>
        </w:rPr>
      </w:pPr>
    </w:p>
    <w:p>
      <w:pPr>
        <w:pStyle w:val="6"/>
        <w:spacing w:line="480" w:lineRule="auto"/>
        <w:ind w:firstLine="0"/>
        <w:rPr>
          <w:rFonts w:ascii="宋体" w:hAnsi="宋体" w:eastAsia="宋体" w:cs="宋体"/>
          <w:b/>
          <w:color w:val="auto"/>
          <w:szCs w:val="21"/>
          <w:highlight w:val="none"/>
        </w:rPr>
      </w:pPr>
    </w:p>
    <w:p>
      <w:pPr>
        <w:pStyle w:val="7"/>
        <w:rPr>
          <w:rFonts w:ascii="宋体" w:hAnsi="宋体" w:eastAsia="宋体" w:cs="宋体"/>
          <w:color w:val="auto"/>
          <w:sz w:val="24"/>
          <w:szCs w:val="24"/>
          <w:highlight w:val="none"/>
        </w:rPr>
      </w:pPr>
      <w:r>
        <w:rPr>
          <w:rFonts w:hint="eastAsia" w:ascii="宋体" w:hAnsi="宋体" w:eastAsia="宋体" w:cs="宋体"/>
          <w:b w:val="0"/>
          <w:color w:val="auto"/>
          <w:szCs w:val="21"/>
          <w:highlight w:val="none"/>
        </w:rPr>
        <w:br w:type="page"/>
      </w:r>
      <w:bookmarkStart w:id="161" w:name="_Toc96523903"/>
      <w:r>
        <w:rPr>
          <w:rFonts w:hint="eastAsia" w:ascii="宋体" w:hAnsi="宋体" w:eastAsia="宋体" w:cs="宋体"/>
          <w:color w:val="auto"/>
          <w:sz w:val="24"/>
          <w:szCs w:val="24"/>
          <w:highlight w:val="none"/>
        </w:rPr>
        <w:t>格式8.法定代表人授权书</w:t>
      </w:r>
      <w:bookmarkEnd w:id="161"/>
    </w:p>
    <w:p>
      <w:pPr>
        <w:spacing w:line="360" w:lineRule="auto"/>
        <w:ind w:left="748" w:hanging="567"/>
        <w:jc w:val="center"/>
        <w:rPr>
          <w:rFonts w:ascii="宋体" w:hAnsi="宋体" w:eastAsia="宋体" w:cs="宋体"/>
          <w:b/>
          <w:color w:val="auto"/>
          <w:szCs w:val="21"/>
          <w:highlight w:val="none"/>
        </w:rPr>
      </w:pPr>
    </w:p>
    <w:p>
      <w:pPr>
        <w:pStyle w:val="6"/>
        <w:jc w:val="center"/>
        <w:rPr>
          <w:rFonts w:ascii="宋体" w:hAnsi="宋体" w:eastAsia="宋体" w:cs="宋体"/>
          <w:b/>
          <w:color w:val="auto"/>
          <w:szCs w:val="21"/>
          <w:highlight w:val="none"/>
        </w:rPr>
      </w:pPr>
      <w:bookmarkStart w:id="162" w:name="_Toc29120_WPSOffice_Level1"/>
      <w:r>
        <w:rPr>
          <w:rFonts w:hint="eastAsia" w:ascii="宋体" w:hAnsi="宋体" w:eastAsia="宋体" w:cs="宋体"/>
          <w:b/>
          <w:color w:val="auto"/>
          <w:szCs w:val="21"/>
          <w:highlight w:val="none"/>
        </w:rPr>
        <w:t>法定代表人授权书</w:t>
      </w:r>
      <w:bookmarkEnd w:id="162"/>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致：（采购代理机构名称）</w:t>
      </w:r>
    </w:p>
    <w:p>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在下面签字（或盖印鉴）的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代表本单位授权在下面签字（或盖印鉴）的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为本单位的合法代表人，就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（项目编号：）的投标活动，作为投标人代表以我方的名义处理有关事务。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年月日</w:t>
      </w:r>
      <w:r>
        <w:rPr>
          <w:rFonts w:hint="eastAsia" w:ascii="宋体" w:hAnsi="宋体" w:eastAsia="宋体" w:cs="宋体"/>
          <w:color w:val="auto"/>
          <w:szCs w:val="21"/>
          <w:highlight w:val="none"/>
        </w:rPr>
        <w:t>签字（或盖印鉴）生效，特此声明。</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法定代表人（签字或印鉴）：</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被授权人（签字或印鉴）：</w:t>
      </w: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2999105</wp:posOffset>
                </wp:positionH>
                <wp:positionV relativeFrom="paragraph">
                  <wp:posOffset>220345</wp:posOffset>
                </wp:positionV>
                <wp:extent cx="2491740" cy="1596390"/>
                <wp:effectExtent l="4445" t="4445" r="5715" b="12065"/>
                <wp:wrapNone/>
                <wp:docPr id="6" name="矩形 18"/>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236.15pt;margin-top:17.35pt;height:125.7pt;width:196.2pt;z-index:251663360;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LOV6QNAAgAAigQAAA4AAABkcnMvZTJvRG9jLnhtbK1U&#10;QW7bMBC8F+gfCN4bWa7txILlILCRokDaBkj7AJqiLKIkl13Slt3PFOgtj+hzin6jK8pxnbSHHKqD&#10;wNUuhzOzXM0ud9awrcKgwZU8PxtwppyESrt1yT99vH51wVmIwlXCgFMl36vAL+cvX8xaX6ghNGAq&#10;hYxAXChaX/ImRl9kWZCNsiKcgVeOkjWgFZFCXGcVipbQrcmGg8EkawErjyBVCPR12Sf5ARGfAwh1&#10;raVagtxY5WKPisqISJJCo33g88S2rpWMH+o6qMhMyUlpTG86hNar7p3NZ6JYo/CNlgcK4jkUnmiy&#10;Qjs69Ai1FFGwDeq/oKyWCAHqeCbBZr2Q5AipyAdPvLlrhFdJC1kd/NH08P9g5fvtLTJdlXzCmROW&#10;Gv7r2/3PH99ZftGZ0/pQUM2dv8VOXvA3ID8H5mDRCLdWV4jQNkpURCnv6rNHG7og0Fa2at9BRdhi&#10;EyH5tKvRdoDkANulduyP7VC7yCR9HI6m+fmIOiUpl4+nk9fT1LBMFA/bPYb4RoFl3aLkSP1O8GJ7&#10;E2JHRxQPJYk+GF1da2NSgOvVwiDbCrob1+lJCkjlaZlxrC35dDwcJ+RHuXAKMUjPvyCsjjQyRtuS&#10;X5wWGdfxUOmaHvg+ONY7H3er3aEJK6j2ZCRCf4VpgGnRAH7lrKXrW/LwZSNQcWbeOmrGNB91zsUU&#10;jMbnQwrwNLM6zQgnCarkkbN+uYj9jGw86nVDJ+VJvIMramCtk7Ud1Z7Voe10RZPjh3HqZuA0TlV/&#10;fiH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yEjrZAAAACgEAAA8AAAAAAAAAAQAgAAAAIgAA&#10;AGRycy9kb3ducmV2LnhtbFBLAQIUABQAAAAIAIdO4kCzlekDQAIAAIoEAAAOAAAAAAAAAAEAIAAA&#10;ACgBAABkcnMvZTJvRG9jLnhtbFBLBQYAAAAABgAGAFkBAADaBQAAAAA=&#10;">
                <v:fill on="t" focussize="0,0"/>
                <v:stroke color="#000000" miterlimit="8" joinstyle="miter"/>
                <v:imagedata o:title=""/>
                <o:lock v:ext="edit"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居民身份证复印件（反面）粘贴处</w:t>
                      </w:r>
                    </w:p>
                    <w:p>
                      <w:pPr>
                        <w:jc w:val="center"/>
                        <w:rPr>
                          <w:szCs w:val="21"/>
                        </w:rPr>
                      </w:pP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4445" b="12065"/>
                <wp:wrapNone/>
                <wp:docPr id="5" name="矩形 17"/>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25.25pt;margin-top:17.35pt;height:125.7pt;width:195.25pt;z-index:251662336;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04o4rEECAACKBAAADgAAAGRycy9lMm9Eb2MueG1srVRL&#10;btswEN0X6B0I7mtZrj+xEDkIErgokLYB0h6ApiiLKMlhh7Rl9zIFusshepyi1+iIslMn7SKLaiFw&#10;NMPH994MdX6xs4ZtFQYNruT5YMiZchIq7dYl//Rx+eqMsxCFq4QBp0q+V4FfLF6+OG99oUbQgKkU&#10;MgJxoWh9yZsYfZFlQTbKijAArxwla0ArIoW4zioULaFbk42Gw2nWAlYeQaoQ6Ot1n+QHRHwOINS1&#10;luoa5MYqF3tUVEZEkhQa7QNfJLZ1rWT8UNdBRWZKTkpjetMhtF5172xxLoo1Ct9oeaAgnkPhiSYr&#10;tKNDH6CuRRRsg/ovKKslQoA6DiTYrBeSHCEV+fCJN3eN8CppIauDfzA9/D9Y+X57i0xXJZ9w5oSl&#10;hv/6dv/zx3eWzzpzWh8Kqrnzt9jJC/4G5OfAHFw1wq3VJSK0jRIVUcq7+uzRhi4ItJWt2ndQEbbY&#10;REg+7Wq0HSA5wHapHfuHdqhdZJI+jsaz+XRGvCTl8sl8+nqeGpaJ4rjdY4hvFFjWLUqO1O8EL7Y3&#10;IXZ0RHEsSfTB6GqpjUkBrldXBtlW0Gws05MUkMrTMuNYW/L5ZDRJyI9y4RRimJ5/QVgd6coYbUt+&#10;dlpkXMdDpTE98D061jsfd6vdoQkrqPZkJEI/wnSBadEAfuWspfEtefiyEag4M28dNWOej8fdvKdg&#10;PJmNKMDTzOo0I5wkqJJHzvrlVezvyMajXjd0Up7EO7ikBtY6WdtR7Vkd2k4jmhw/XKfuDpzGqerP&#10;L2T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b5rbnYAAAACQEAAA8AAAAAAAAAAQAgAAAAIgAA&#10;AGRycy9kb3ducmV2LnhtbFBLAQIUABQAAAAIAIdO4kDTijisQQIAAIoEAAAOAAAAAAAAAAEAIAAA&#10;ACcBAABkcnMvZTJvRG9jLnhtbFBLBQYAAAAABgAGAFkBAADaBQAAAAA=&#10;">
                <v:fill on="t" focussize="0,0"/>
                <v:stroke color="#000000" miterlimit="8" joinstyle="miter"/>
                <v:imagedata o:title=""/>
                <o:lock v:ext="edit"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b/>
                          <w:szCs w:val="21"/>
                          <w:u w:val="single"/>
                        </w:rPr>
                        <w:t>有效期内的</w:t>
                      </w:r>
                      <w:r>
                        <w:rPr>
                          <w:rFonts w:hint="eastAsia"/>
                          <w:szCs w:val="21"/>
                        </w:rPr>
                        <w:t>居民身份证复印件（正面）粘贴处</w:t>
                      </w:r>
                    </w:p>
                    <w:p>
                      <w:pPr>
                        <w:jc w:val="center"/>
                        <w:rPr>
                          <w:szCs w:val="21"/>
                        </w:rPr>
                      </w:pPr>
                    </w:p>
                  </w:txbxContent>
                </v:textbox>
              </v:rect>
            </w:pict>
          </mc:Fallback>
        </mc:AlternateConten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spacing w:line="400" w:lineRule="exact"/>
        <w:ind w:left="748" w:hanging="567"/>
        <w:rPr>
          <w:rFonts w:ascii="宋体" w:hAnsi="宋体" w:eastAsia="宋体" w:cs="宋体"/>
          <w:color w:val="auto"/>
          <w:szCs w:val="21"/>
          <w:highlight w:val="none"/>
        </w:rPr>
      </w:pPr>
    </w:p>
    <w:p>
      <w:pPr>
        <w:pStyle w:val="7"/>
        <w:rPr>
          <w:rFonts w:ascii="宋体" w:hAnsi="宋体" w:eastAsia="宋体" w:cs="宋体"/>
          <w:color w:val="auto"/>
          <w:sz w:val="24"/>
          <w:szCs w:val="24"/>
          <w:highlight w:val="none"/>
        </w:rPr>
      </w:pPr>
      <w:r>
        <w:rPr>
          <w:rFonts w:hint="eastAsia" w:ascii="宋体" w:hAnsi="宋体" w:eastAsia="宋体" w:cs="宋体"/>
          <w:color w:val="auto"/>
          <w:szCs w:val="21"/>
          <w:highlight w:val="none"/>
          <w:u w:val="single"/>
        </w:rPr>
        <w:br w:type="page"/>
      </w:r>
      <w:bookmarkStart w:id="163" w:name="_Toc96523904"/>
      <w:r>
        <w:rPr>
          <w:rFonts w:hint="eastAsia" w:ascii="宋体" w:hAnsi="宋体" w:eastAsia="宋体" w:cs="宋体"/>
          <w:color w:val="auto"/>
          <w:sz w:val="24"/>
          <w:szCs w:val="24"/>
          <w:highlight w:val="none"/>
        </w:rPr>
        <w:t>格式9.开标一览表</w:t>
      </w:r>
      <w:bookmarkEnd w:id="163"/>
    </w:p>
    <w:p>
      <w:pPr>
        <w:adjustRightInd w:val="0"/>
        <w:snapToGrid w:val="0"/>
        <w:spacing w:line="360" w:lineRule="auto"/>
        <w:ind w:right="105" w:rightChars="50"/>
        <w:jc w:val="center"/>
        <w:rPr>
          <w:rFonts w:ascii="宋体" w:hAnsi="宋体" w:eastAsia="宋体" w:cs="宋体"/>
          <w:b/>
          <w:bCs/>
          <w:color w:val="auto"/>
          <w:szCs w:val="21"/>
          <w:highlight w:val="none"/>
        </w:rPr>
      </w:pPr>
      <w:bookmarkStart w:id="164" w:name="_Toc11267_WPSOffice_Level2"/>
      <w:bookmarkStart w:id="165" w:name="_Toc2673_WPSOffice_Level2"/>
      <w:r>
        <w:rPr>
          <w:rFonts w:hint="eastAsia" w:ascii="宋体" w:hAnsi="宋体" w:eastAsia="宋体" w:cs="宋体"/>
          <w:b/>
          <w:bCs/>
          <w:color w:val="auto"/>
          <w:sz w:val="24"/>
          <w:highlight w:val="none"/>
          <w:lang w:val="en-US" w:eastAsia="zh-CN"/>
        </w:rPr>
        <w:t>9.1</w:t>
      </w:r>
      <w:r>
        <w:rPr>
          <w:rFonts w:hint="eastAsia" w:ascii="宋体" w:hAnsi="宋体" w:eastAsia="宋体" w:cs="宋体"/>
          <w:b/>
          <w:bCs/>
          <w:color w:val="auto"/>
          <w:sz w:val="24"/>
          <w:highlight w:val="none"/>
        </w:rPr>
        <w:t>开标一览表</w:t>
      </w:r>
      <w:bookmarkEnd w:id="164"/>
      <w:bookmarkEnd w:id="165"/>
    </w:p>
    <w:p>
      <w:pPr>
        <w:adjustRightInd w:val="0"/>
        <w:snapToGrid w:val="0"/>
        <w:spacing w:line="360" w:lineRule="auto"/>
        <w:ind w:right="105" w:rightChars="5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项目编号：</w:t>
      </w:r>
    </w:p>
    <w:p>
      <w:pPr>
        <w:adjustRightInd w:val="0"/>
        <w:snapToGrid w:val="0"/>
        <w:spacing w:line="360" w:lineRule="auto"/>
        <w:ind w:right="105" w:rightChars="5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包号（如有）：报价单位：</w:t>
      </w:r>
      <w:r>
        <w:rPr>
          <w:rFonts w:hint="eastAsia" w:ascii="宋体" w:hAnsi="宋体" w:eastAsia="宋体" w:cs="宋体"/>
          <w:b/>
          <w:bCs/>
          <w:color w:val="auto"/>
          <w:szCs w:val="21"/>
          <w:highlight w:val="none"/>
          <w:lang w:val="en-US" w:eastAsia="zh-CN"/>
        </w:rPr>
        <w:t>元</w:t>
      </w:r>
    </w:p>
    <w:p>
      <w:pPr>
        <w:pStyle w:val="6"/>
        <w:rPr>
          <w:rFonts w:ascii="宋体" w:hAnsi="宋体" w:eastAsia="宋体" w:cs="宋体"/>
          <w:color w:val="auto"/>
          <w:highlight w:val="none"/>
        </w:rPr>
      </w:pPr>
    </w:p>
    <w:tbl>
      <w:tblPr>
        <w:tblStyle w:val="34"/>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4078"/>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81" w:type="dxa"/>
            <w:vAlign w:val="center"/>
          </w:tcPr>
          <w:p>
            <w:pPr>
              <w:pStyle w:val="6"/>
              <w:ind w:firstLine="0"/>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报价项目</w:t>
            </w:r>
          </w:p>
        </w:tc>
        <w:tc>
          <w:tcPr>
            <w:tcW w:w="4078" w:type="dxa"/>
            <w:vAlign w:val="center"/>
          </w:tcPr>
          <w:p>
            <w:pPr>
              <w:pStyle w:val="6"/>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rPr>
              <w:t>投标</w:t>
            </w:r>
            <w:r>
              <w:rPr>
                <w:rFonts w:hint="eastAsia" w:ascii="宋体" w:hAnsi="宋体" w:eastAsia="宋体" w:cs="宋体"/>
                <w:bCs/>
                <w:color w:val="auto"/>
                <w:szCs w:val="21"/>
                <w:highlight w:val="none"/>
                <w:lang w:val="en-US" w:eastAsia="zh-CN"/>
              </w:rPr>
              <w:t>报价</w:t>
            </w:r>
          </w:p>
        </w:tc>
        <w:tc>
          <w:tcPr>
            <w:tcW w:w="1631" w:type="dxa"/>
            <w:vAlign w:val="center"/>
          </w:tcPr>
          <w:p>
            <w:pPr>
              <w:pStyle w:val="6"/>
              <w:ind w:firstLine="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581" w:type="dxa"/>
            <w:vAlign w:val="center"/>
          </w:tcPr>
          <w:p>
            <w:pPr>
              <w:pStyle w:val="46"/>
              <w:spacing w:line="360" w:lineRule="auto"/>
              <w:ind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国家税务总局阳江市税务局网络电路租赁服务项目</w:t>
            </w:r>
          </w:p>
        </w:tc>
        <w:tc>
          <w:tcPr>
            <w:tcW w:w="4078" w:type="dxa"/>
            <w:vAlign w:val="center"/>
          </w:tcPr>
          <w:p>
            <w:pPr>
              <w:snapToGrid w:val="0"/>
              <w:ind w:firstLine="2730" w:firstLineChars="1300"/>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元</w:t>
            </w:r>
          </w:p>
        </w:tc>
        <w:tc>
          <w:tcPr>
            <w:tcW w:w="1631" w:type="dxa"/>
          </w:tcPr>
          <w:p>
            <w:pPr>
              <w:pStyle w:val="6"/>
              <w:ind w:firstLine="0"/>
              <w:rPr>
                <w:rFonts w:ascii="宋体" w:hAnsi="宋体" w:eastAsia="宋体" w:cs="宋体"/>
                <w:color w:val="auto"/>
                <w:szCs w:val="21"/>
                <w:highlight w:val="none"/>
              </w:rPr>
            </w:pPr>
          </w:p>
        </w:tc>
      </w:tr>
    </w:tbl>
    <w:p>
      <w:pPr>
        <w:widowControl/>
        <w:jc w:val="left"/>
        <w:rPr>
          <w:rFonts w:ascii="宋体" w:hAnsi="宋体" w:eastAsia="宋体" w:cs="宋体"/>
          <w:color w:val="auto"/>
          <w:szCs w:val="21"/>
          <w:highlight w:val="none"/>
        </w:rPr>
      </w:pPr>
      <w:r>
        <w:rPr>
          <w:rFonts w:hint="eastAsia" w:ascii="宋体" w:hAnsi="宋体" w:eastAsia="宋体" w:cs="宋体"/>
          <w:b/>
          <w:color w:val="auto"/>
          <w:szCs w:val="21"/>
          <w:highlight w:val="none"/>
        </w:rPr>
        <w:t>备注：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1.报价精确到小数点后两位。</w:t>
      </w:r>
    </w:p>
    <w:p>
      <w:pPr>
        <w:spacing w:line="360" w:lineRule="auto"/>
        <w:ind w:firstLine="424" w:firstLineChars="202"/>
        <w:rPr>
          <w:rFonts w:ascii="宋体" w:hAnsi="宋体" w:eastAsia="宋体" w:cs="宋体"/>
          <w:color w:val="auto"/>
          <w:szCs w:val="21"/>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投标人法定代表人或授权代表（签字或盖章）：</w:t>
      </w:r>
    </w:p>
    <w:p>
      <w:pPr>
        <w:autoSpaceDE w:val="0"/>
        <w:autoSpaceDN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日期：年月日</w:t>
      </w:r>
    </w:p>
    <w:p>
      <w:pPr>
        <w:pStyle w:val="6"/>
        <w:rPr>
          <w:rFonts w:ascii="宋体" w:hAnsi="宋体" w:eastAsia="宋体" w:cs="宋体"/>
          <w:color w:val="auto"/>
          <w:highlight w:val="none"/>
        </w:rPr>
      </w:pPr>
    </w:p>
    <w:p>
      <w:pPr>
        <w:rPr>
          <w:rFonts w:ascii="宋体" w:hAnsi="宋体" w:eastAsia="宋体" w:cs="宋体"/>
          <w:color w:val="auto"/>
          <w:highlight w:val="none"/>
        </w:rPr>
      </w:pPr>
      <w:r>
        <w:rPr>
          <w:rFonts w:ascii="宋体" w:hAnsi="宋体" w:eastAsia="宋体" w:cs="宋体"/>
          <w:color w:val="auto"/>
          <w:highlight w:val="none"/>
        </w:rPr>
        <w:br w:type="page"/>
      </w:r>
    </w:p>
    <w:p>
      <w:pPr>
        <w:pStyle w:val="7"/>
        <w:rPr>
          <w:rFonts w:ascii="宋体" w:hAnsi="宋体" w:eastAsia="宋体" w:cs="宋体"/>
          <w:color w:val="auto"/>
          <w:highlight w:val="none"/>
        </w:rPr>
      </w:pPr>
      <w:bookmarkStart w:id="166" w:name="_Toc96523906"/>
      <w:r>
        <w:rPr>
          <w:rFonts w:hint="eastAsia" w:ascii="宋体" w:hAnsi="宋体" w:eastAsia="宋体" w:cs="宋体"/>
          <w:color w:val="auto"/>
          <w:sz w:val="24"/>
          <w:szCs w:val="24"/>
          <w:highlight w:val="none"/>
        </w:rPr>
        <w:t>格式10</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政策功能情况（如有）</w:t>
      </w:r>
      <w:bookmarkEnd w:id="166"/>
    </w:p>
    <w:p>
      <w:pPr>
        <w:spacing w:line="360" w:lineRule="auto"/>
        <w:ind w:left="710" w:hanging="710" w:hangingChars="337"/>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（一）节能产品、环境标志产品（如适用）</w:t>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661"/>
        <w:gridCol w:w="1426"/>
        <w:gridCol w:w="1489"/>
        <w:gridCol w:w="876"/>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节能产品</w:t>
            </w: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489"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强制/优先采购品目</w:t>
            </w:r>
          </w:p>
        </w:tc>
        <w:tc>
          <w:tcPr>
            <w:tcW w:w="87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强制品目</w:t>
            </w:r>
          </w:p>
        </w:tc>
        <w:tc>
          <w:tcPr>
            <w:tcW w:w="87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优先品目</w:t>
            </w:r>
          </w:p>
        </w:tc>
        <w:tc>
          <w:tcPr>
            <w:tcW w:w="87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节能产品金额合计</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比重（优先采购节能产品金额/投标总价）</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8062" w:type="dxa"/>
            <w:gridSpan w:val="5"/>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b/>
                <w:color w:val="auto"/>
                <w:szCs w:val="21"/>
                <w:highlight w:val="none"/>
                <w:lang w:val="en-GB"/>
              </w:rPr>
            </w:pPr>
            <w:r>
              <w:rPr>
                <w:rFonts w:hint="eastAsia" w:ascii="宋体" w:hAnsi="宋体" w:cs="宋体"/>
                <w:color w:val="auto"/>
                <w:szCs w:val="21"/>
                <w:highlight w:val="none"/>
                <w:lang w:val="en-GB"/>
              </w:rPr>
              <w:t>节能产品</w:t>
            </w:r>
            <w:r>
              <w:rPr>
                <w:rFonts w:hint="eastAsia" w:ascii="宋体" w:hAnsi="宋体" w:cs="宋体"/>
                <w:color w:val="auto"/>
                <w:szCs w:val="21"/>
                <w:highlight w:val="none"/>
              </w:rPr>
              <w:t>证明材料见第至页。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环境标志产品</w:t>
            </w: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2365" w:type="dxa"/>
            <w:gridSpan w:val="2"/>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40" w:after="40"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2365" w:type="dxa"/>
            <w:gridSpan w:val="2"/>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2365" w:type="dxa"/>
            <w:gridSpan w:val="2"/>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环境标志产品金额合计</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比重（环境标志产品金额/投标总价）</w:t>
            </w:r>
          </w:p>
        </w:tc>
        <w:tc>
          <w:tcPr>
            <w:tcW w:w="1610" w:type="dxa"/>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Cs w:val="21"/>
                <w:highlight w:val="none"/>
                <w:lang w:val="en-GB"/>
              </w:rPr>
            </w:pPr>
          </w:p>
        </w:tc>
        <w:tc>
          <w:tcPr>
            <w:tcW w:w="8062" w:type="dxa"/>
            <w:gridSpan w:val="5"/>
            <w:tcBorders>
              <w:top w:val="single" w:color="auto" w:sz="4" w:space="0"/>
              <w:left w:val="single" w:color="auto" w:sz="4" w:space="0"/>
              <w:bottom w:val="single" w:color="auto" w:sz="4" w:space="0"/>
              <w:right w:val="single" w:color="auto" w:sz="4" w:space="0"/>
            </w:tcBorders>
            <w:vAlign w:val="center"/>
          </w:tcPr>
          <w:p>
            <w:pPr>
              <w:pStyle w:val="65"/>
              <w:tabs>
                <w:tab w:val="left" w:pos="1260"/>
              </w:tabs>
              <w:spacing w:before="156" w:after="156" w:line="300" w:lineRule="exact"/>
              <w:jc w:val="center"/>
              <w:rPr>
                <w:rFonts w:ascii="宋体" w:hAnsi="宋体" w:cs="宋体"/>
                <w:b/>
                <w:color w:val="auto"/>
                <w:szCs w:val="21"/>
                <w:highlight w:val="none"/>
                <w:lang w:val="en-GB"/>
              </w:rPr>
            </w:pPr>
            <w:r>
              <w:rPr>
                <w:rFonts w:hint="eastAsia" w:ascii="宋体" w:hAnsi="宋体" w:cs="宋体"/>
                <w:color w:val="auto"/>
                <w:szCs w:val="21"/>
                <w:highlight w:val="none"/>
                <w:lang w:val="en-GB"/>
              </w:rPr>
              <w:t>环境标志产品</w:t>
            </w:r>
            <w:r>
              <w:rPr>
                <w:rFonts w:hint="eastAsia" w:ascii="宋体" w:hAnsi="宋体" w:cs="宋体"/>
                <w:color w:val="auto"/>
                <w:szCs w:val="21"/>
                <w:highlight w:val="none"/>
              </w:rPr>
              <w:t>证明材料见第至页。</w:t>
            </w:r>
          </w:p>
        </w:tc>
      </w:tr>
    </w:tbl>
    <w:p>
      <w:pPr>
        <w:spacing w:line="360" w:lineRule="auto"/>
        <w:jc w:val="left"/>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填报要求：</w:t>
      </w:r>
    </w:p>
    <w:p>
      <w:pPr>
        <w:spacing w:line="360" w:lineRule="auto"/>
        <w:ind w:firstLine="424" w:firstLineChars="202"/>
        <w:jc w:val="left"/>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1.本表的产品名称、规格型号和注册商标、金额应与《</w:t>
      </w:r>
      <w:r>
        <w:rPr>
          <w:rFonts w:hint="eastAsia" w:ascii="宋体" w:hAnsi="宋体" w:eastAsia="宋体" w:cs="宋体"/>
          <w:color w:val="auto"/>
          <w:szCs w:val="21"/>
          <w:highlight w:val="none"/>
        </w:rPr>
        <w:t>分项报价表</w:t>
      </w:r>
      <w:r>
        <w:rPr>
          <w:rFonts w:hint="eastAsia" w:ascii="宋体" w:hAnsi="宋体" w:eastAsia="宋体" w:cs="宋体"/>
          <w:color w:val="auto"/>
          <w:szCs w:val="21"/>
          <w:highlight w:val="none"/>
          <w:lang w:val="en-GB"/>
        </w:rPr>
        <w:t>》一致。</w:t>
      </w:r>
    </w:p>
    <w:p>
      <w:pPr>
        <w:spacing w:line="360" w:lineRule="auto"/>
        <w:ind w:firstLine="424" w:firstLineChars="202"/>
        <w:jc w:val="left"/>
        <w:rPr>
          <w:rFonts w:ascii="宋体" w:hAnsi="宋体" w:eastAsia="宋体" w:cs="宋体"/>
          <w:color w:val="auto"/>
          <w:szCs w:val="21"/>
          <w:highlight w:val="none"/>
          <w:lang w:val="en-GB"/>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GB"/>
        </w:rPr>
        <w:t>.节能产品、环境标志产品必须是《节能产品政府采购品目清单》或《环境产品政府采购品目清单》所列品目范围内，且由国家确定的认证机构出具、处于有效期之内的节能产品、环境标志产品认证证书的产品。（需附上相关认证证书）</w:t>
      </w:r>
    </w:p>
    <w:p>
      <w:pPr>
        <w:spacing w:line="360" w:lineRule="auto"/>
        <w:ind w:firstLine="424" w:firstLineChars="202"/>
        <w:jc w:val="left"/>
        <w:rPr>
          <w:rFonts w:ascii="宋体" w:hAnsi="宋体" w:eastAsia="宋体" w:cs="宋体"/>
          <w:color w:val="auto"/>
          <w:szCs w:val="21"/>
          <w:highlight w:val="none"/>
          <w:lang w:val="en-GB"/>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GB"/>
        </w:rPr>
        <w:t>.请投标人正确填写本表，所填内容将作为评审的依据。其内容或数据应与对应的证明资料相符，如果不一致，可能导致该项无法获得相关政策优惠。</w:t>
      </w:r>
    </w:p>
    <w:p>
      <w:pPr>
        <w:tabs>
          <w:tab w:val="left" w:pos="7088"/>
        </w:tabs>
        <w:spacing w:before="120" w:after="120"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pPr>
        <w:pStyle w:val="7"/>
        <w:rPr>
          <w:rFonts w:ascii="宋体" w:hAnsi="宋体" w:eastAsia="宋体" w:cs="宋体"/>
          <w:color w:val="auto"/>
          <w:sz w:val="24"/>
          <w:szCs w:val="24"/>
          <w:highlight w:val="none"/>
        </w:rPr>
      </w:pPr>
      <w:bookmarkStart w:id="167" w:name="_Toc96523907"/>
      <w:r>
        <w:rPr>
          <w:rFonts w:hint="eastAsia" w:ascii="宋体" w:hAnsi="宋体" w:eastAsia="宋体" w:cs="宋体"/>
          <w:color w:val="auto"/>
          <w:sz w:val="24"/>
          <w:szCs w:val="24"/>
          <w:highlight w:val="none"/>
        </w:rPr>
        <w:t>格式11中小企业声明函</w:t>
      </w:r>
      <w:bookmarkEnd w:id="167"/>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（中小微型企业适用；事业单位、民办非企业单位参与投标的，其本身不作为扶持对象）</w:t>
      </w:r>
      <w:bookmarkStart w:id="168" w:name="_Toc19164_WPSOffice_Level2"/>
      <w:bookmarkStart w:id="169" w:name="_Toc4541_WPSOffice_Level2"/>
    </w:p>
    <w:bookmarkEnd w:id="168"/>
    <w:bookmarkEnd w:id="169"/>
    <w:p>
      <w:pPr>
        <w:autoSpaceDE w:val="0"/>
        <w:autoSpaceDN w:val="0"/>
        <w:adjustRightInd w:val="0"/>
        <w:spacing w:line="360" w:lineRule="auto"/>
        <w:jc w:val="center"/>
        <w:rPr>
          <w:rFonts w:ascii="宋体" w:hAnsi="宋体" w:eastAsia="宋体" w:cs="宋体"/>
          <w:b/>
          <w:color w:val="auto"/>
          <w:kern w:val="0"/>
          <w:szCs w:val="21"/>
          <w:highlight w:val="none"/>
        </w:rPr>
      </w:pPr>
    </w:p>
    <w:p>
      <w:pPr>
        <w:autoSpaceDE w:val="0"/>
        <w:autoSpaceDN w:val="0"/>
        <w:adjustRightInd w:val="0"/>
        <w:spacing w:line="360" w:lineRule="auto"/>
        <w:jc w:val="center"/>
        <w:rPr>
          <w:rFonts w:ascii="宋体" w:hAnsi="宋体" w:eastAsia="宋体" w:cs="宋体"/>
          <w:b/>
          <w:color w:val="auto"/>
          <w:kern w:val="0"/>
          <w:szCs w:val="21"/>
          <w:highlight w:val="none"/>
        </w:rPr>
      </w:pPr>
      <w:bookmarkStart w:id="170" w:name="_Toc16240_WPSOffice_Level1"/>
      <w:r>
        <w:rPr>
          <w:rFonts w:hint="eastAsia" w:ascii="宋体" w:hAnsi="宋体" w:eastAsia="宋体" w:cs="宋体"/>
          <w:b/>
          <w:color w:val="auto"/>
          <w:kern w:val="0"/>
          <w:szCs w:val="21"/>
          <w:highlight w:val="none"/>
        </w:rPr>
        <w:t>中小企业声明函（服务）</w:t>
      </w:r>
      <w:bookmarkEnd w:id="170"/>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采购活动，服务全部由符合政策要求的中小企业承接。相关企业（含联合体中的中小企业、签订分包意向协议的中小企业）的具体情况如下：</w:t>
      </w:r>
    </w:p>
    <w:p>
      <w:pPr>
        <w:numPr>
          <w:ilvl w:val="0"/>
          <w:numId w:val="14"/>
        </w:numPr>
        <w:autoSpaceDE w:val="0"/>
        <w:autoSpaceDN w:val="0"/>
        <w:adjustRightInd w:val="0"/>
        <w:spacing w:line="360" w:lineRule="auto"/>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eastAsia="zh-CN"/>
        </w:rPr>
        <w:t>国家税务总局阳江市税务局网络电路租赁服务项目</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lang w:val="en-US" w:eastAsia="zh-CN"/>
        </w:rPr>
        <w:t>信息传输业</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（中型企业、小型企业、微型企业）；</w:t>
      </w:r>
    </w:p>
    <w:p>
      <w:pPr>
        <w:numPr>
          <w:ilvl w:val="0"/>
          <w:numId w:val="14"/>
        </w:numPr>
        <w:autoSpaceDE w:val="0"/>
        <w:autoSpaceDN w:val="0"/>
        <w:adjustRightInd w:val="0"/>
        <w:spacing w:line="360" w:lineRule="auto"/>
        <w:ind w:firstLine="42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eastAsia="zh-CN"/>
        </w:rPr>
        <w:t>国家税务总局阳江市税务局网络电路租赁服务项目</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lang w:val="en-US" w:eastAsia="zh-CN"/>
        </w:rPr>
        <w:t>信息传输业</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（中型企业、小型企业、微型企业）；</w:t>
      </w:r>
    </w:p>
    <w:p>
      <w:pPr>
        <w:numPr>
          <w:ilvl w:val="0"/>
          <w:numId w:val="0"/>
        </w:num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本企业对上述声明内容的真实性负责。如有虚假，将依法承担相应责任。</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pPr>
        <w:spacing w:before="159" w:beforeLines="50" w:after="159" w:afterLines="50" w:line="360" w:lineRule="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注：1、从业人员、营业收入、资产总额填报上一年度数据，无上一年度数据的新成立企业可不填报。</w:t>
      </w:r>
    </w:p>
    <w:p>
      <w:pPr>
        <w:spacing w:before="159" w:beforeLines="50" w:after="159" w:afterLines="50" w:line="360" w:lineRule="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组成联合体投标，且承担合同总金额30%或以上工作的联合体成员的企业情况，请务必在以上声明函中体现。同时，需与《联合体共同投标协议书》中的相关内容一致。如两份资料内容信息不一致导致评标委员会无法判断的，则不享受政策优惠。</w:t>
      </w:r>
    </w:p>
    <w:p>
      <w:pPr>
        <w:spacing w:line="588"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温馨提醒：</w:t>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1、投标人应查询具体政策规定内容,根据企业实际情况判断,如不属于法规规定的小微企业无需提供中小企业声明函。</w:t>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2、为方便广大中小企业，工业和信息化部组织开发了中小企业规模类型自测小程序（http://202.106.120.146/baosong/appweb/orgScale.html），有需要的投标人可自测。亦可参考小微企业名录(</w:t>
      </w:r>
      <w:r>
        <w:rPr>
          <w:color w:val="auto"/>
          <w:highlight w:val="none"/>
        </w:rPr>
        <w:fldChar w:fldCharType="begin"/>
      </w:r>
      <w:r>
        <w:rPr>
          <w:color w:val="auto"/>
          <w:highlight w:val="none"/>
        </w:rPr>
        <w:instrText xml:space="preserve"> HYPERLINK "http://xwqy.gsxt.gov.cn" </w:instrText>
      </w:r>
      <w:r>
        <w:rPr>
          <w:color w:val="auto"/>
          <w:highlight w:val="none"/>
        </w:rPr>
        <w:fldChar w:fldCharType="separate"/>
      </w:r>
      <w:r>
        <w:rPr>
          <w:rFonts w:hint="eastAsia" w:ascii="宋体" w:hAnsi="宋体" w:eastAsia="宋体" w:cs="宋体"/>
          <w:color w:val="auto"/>
          <w:szCs w:val="21"/>
          <w:highlight w:val="none"/>
        </w:rPr>
        <w:t>http://xwqy.gsxt.gov.cn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)中的相关数据信息。</w:t>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3、供应商提供声明函内容不实的，属于提供虚假材料谋取中标、成交。如被发现提供虚假声明的,采购人将上报财政监管部门,一切法律后果由投标人自行承担。</w:t>
      </w:r>
    </w:p>
    <w:p>
      <w:pPr>
        <w:adjustRightInd w:val="0"/>
        <w:snapToGrid w:val="0"/>
        <w:spacing w:line="360" w:lineRule="auto"/>
        <w:ind w:right="105" w:rightChars="50" w:firstLine="476" w:firstLineChars="227"/>
        <w:jc w:val="left"/>
        <w:rPr>
          <w:rFonts w:ascii="宋体" w:hAnsi="宋体" w:eastAsia="宋体" w:cs="宋体"/>
          <w:color w:val="auto"/>
          <w:szCs w:val="21"/>
          <w:highlight w:val="none"/>
        </w:rPr>
      </w:pPr>
    </w:p>
    <w:p>
      <w:pPr>
        <w:rPr>
          <w:rFonts w:ascii="宋体" w:hAnsi="宋体" w:eastAsia="宋体" w:cs="宋体"/>
          <w:color w:val="auto"/>
          <w:highlight w:val="none"/>
        </w:rPr>
      </w:pPr>
    </w:p>
    <w:p>
      <w:pPr>
        <w:pStyle w:val="7"/>
        <w:rPr>
          <w:rFonts w:ascii="宋体" w:hAnsi="宋体" w:eastAsia="宋体" w:cs="宋体"/>
          <w:color w:val="auto"/>
          <w:sz w:val="24"/>
          <w:szCs w:val="24"/>
          <w:highlight w:val="none"/>
        </w:rPr>
      </w:pPr>
      <w:r>
        <w:rPr>
          <w:rFonts w:hint="eastAsia" w:ascii="宋体" w:hAnsi="宋体" w:eastAsia="宋体" w:cs="宋体"/>
          <w:color w:val="auto"/>
          <w:szCs w:val="21"/>
          <w:highlight w:val="none"/>
          <w:u w:val="single"/>
        </w:rPr>
        <w:br w:type="page"/>
      </w:r>
      <w:bookmarkStart w:id="171" w:name="_Toc96523908"/>
      <w:r>
        <w:rPr>
          <w:rFonts w:hint="eastAsia" w:ascii="宋体" w:hAnsi="宋体" w:eastAsia="宋体" w:cs="宋体"/>
          <w:color w:val="auto"/>
          <w:sz w:val="24"/>
          <w:szCs w:val="24"/>
          <w:highlight w:val="none"/>
        </w:rPr>
        <w:t>格式12.残疾人福利性单位声明函</w:t>
      </w:r>
      <w:bookmarkEnd w:id="171"/>
    </w:p>
    <w:p>
      <w:pPr>
        <w:adjustRightInd w:val="0"/>
        <w:snapToGrid w:val="0"/>
        <w:spacing w:line="360" w:lineRule="auto"/>
        <w:ind w:right="105" w:rightChars="50"/>
        <w:jc w:val="center"/>
        <w:rPr>
          <w:rFonts w:ascii="宋体" w:hAnsi="宋体" w:eastAsia="宋体" w:cs="宋体"/>
          <w:b/>
          <w:bCs/>
          <w:color w:val="auto"/>
          <w:szCs w:val="21"/>
          <w:highlight w:val="none"/>
        </w:rPr>
      </w:pPr>
      <w:bookmarkStart w:id="172" w:name="_Toc13566_WPSOffice_Level2"/>
      <w:bookmarkStart w:id="173" w:name="_Toc29880_WPSOffice_Level2"/>
    </w:p>
    <w:p>
      <w:pPr>
        <w:adjustRightInd w:val="0"/>
        <w:snapToGrid w:val="0"/>
        <w:spacing w:line="360" w:lineRule="auto"/>
        <w:ind w:right="105" w:rightChars="50"/>
        <w:jc w:val="center"/>
        <w:rPr>
          <w:rFonts w:ascii="宋体" w:hAnsi="宋体" w:eastAsia="宋体" w:cs="宋体"/>
          <w:b/>
          <w:bCs/>
          <w:color w:val="auto"/>
          <w:szCs w:val="21"/>
          <w:highlight w:val="none"/>
        </w:rPr>
      </w:pPr>
      <w:bookmarkStart w:id="174" w:name="_Toc11085_WPSOffice_Level1"/>
      <w:r>
        <w:rPr>
          <w:rFonts w:hint="eastAsia" w:ascii="宋体" w:hAnsi="宋体" w:eastAsia="宋体" w:cs="宋体"/>
          <w:b/>
          <w:bCs/>
          <w:color w:val="auto"/>
          <w:szCs w:val="21"/>
          <w:highlight w:val="none"/>
        </w:rPr>
        <w:t>残疾人福利性单位声明函</w:t>
      </w:r>
      <w:bookmarkEnd w:id="172"/>
      <w:bookmarkEnd w:id="173"/>
      <w:bookmarkEnd w:id="174"/>
    </w:p>
    <w:p>
      <w:pPr>
        <w:spacing w:line="588"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pacing w:line="588" w:lineRule="exact"/>
        <w:ind w:firstLine="444" w:firstLineChars="200"/>
        <w:rPr>
          <w:rFonts w:ascii="宋体" w:hAnsi="宋体" w:eastAsia="宋体" w:cs="宋体"/>
          <w:color w:val="auto"/>
          <w:spacing w:val="6"/>
          <w:szCs w:val="21"/>
          <w:highlight w:val="none"/>
        </w:rPr>
      </w:pPr>
    </w:p>
    <w:p>
      <w:pPr>
        <w:tabs>
          <w:tab w:val="left" w:pos="4860"/>
        </w:tabs>
        <w:spacing w:line="588" w:lineRule="exact"/>
        <w:ind w:right="1560" w:firstLine="444" w:firstLineChars="200"/>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单位名称（盖章）：</w:t>
      </w:r>
    </w:p>
    <w:p>
      <w:pPr>
        <w:tabs>
          <w:tab w:val="left" w:pos="4860"/>
        </w:tabs>
        <w:spacing w:line="588" w:lineRule="exact"/>
        <w:ind w:right="1560" w:firstLine="444" w:firstLineChars="200"/>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日期：</w:t>
      </w:r>
    </w:p>
    <w:p>
      <w:pPr>
        <w:spacing w:line="360" w:lineRule="auto"/>
        <w:rPr>
          <w:rFonts w:ascii="宋体" w:hAnsi="宋体" w:eastAsia="宋体" w:cs="宋体"/>
          <w:color w:val="auto"/>
          <w:szCs w:val="21"/>
          <w:highlight w:val="none"/>
        </w:rPr>
      </w:pPr>
    </w:p>
    <w:p>
      <w:pPr>
        <w:spacing w:line="360" w:lineRule="auto"/>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温馨提醒：</w:t>
      </w:r>
    </w:p>
    <w:p>
      <w:pPr>
        <w:spacing w:line="360" w:lineRule="auto"/>
        <w:jc w:val="left"/>
        <w:rPr>
          <w:rFonts w:ascii="宋体" w:hAnsi="宋体" w:eastAsia="宋体" w:cs="宋体"/>
          <w:b/>
          <w:color w:val="auto"/>
          <w:szCs w:val="21"/>
          <w:highlight w:val="none"/>
          <w:u w:val="single"/>
        </w:rPr>
      </w:pPr>
      <w:r>
        <w:rPr>
          <w:rFonts w:hint="eastAsia" w:ascii="宋体" w:hAnsi="宋体" w:eastAsia="宋体" w:cs="宋体"/>
          <w:b/>
          <w:color w:val="auto"/>
          <w:spacing w:val="6"/>
          <w:szCs w:val="21"/>
          <w:highlight w:val="none"/>
          <w:u w:val="single"/>
        </w:rPr>
        <w:t>1.根据《财政部民政部中国残疾人联合会关于促进残疾人就业政府采购政策的通知》（财库〔2017〕141号）的规定，符合条件的残疾人福利性单位在参加政府采购活动时，按以上格式提供《残疾人福利性单位声明函》，视同小型、微型企业，享受评审中价格扣除等促进中小企业发展的政府采购政策，残疾人福利性单位属于小型、微型企业的，不重复享受政策。</w:t>
      </w:r>
    </w:p>
    <w:p>
      <w:pPr>
        <w:spacing w:line="360" w:lineRule="auto"/>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2.投标人应查询具体政策规定内容,根据企业实际情况判断,如不属于法规规定的残疾人福利性单位，无需提供残疾人福利性单位声明函。</w:t>
      </w:r>
    </w:p>
    <w:p>
      <w:pPr>
        <w:spacing w:line="360" w:lineRule="auto"/>
        <w:rPr>
          <w:rFonts w:ascii="宋体" w:hAnsi="宋体" w:eastAsia="宋体" w:cs="宋体"/>
          <w:color w:val="auto"/>
          <w:spacing w:val="6"/>
          <w:szCs w:val="21"/>
          <w:highlight w:val="none"/>
        </w:rPr>
      </w:pPr>
      <w:r>
        <w:rPr>
          <w:rFonts w:hint="eastAsia" w:ascii="宋体" w:hAnsi="宋体" w:eastAsia="宋体" w:cs="宋体"/>
          <w:b/>
          <w:color w:val="auto"/>
          <w:szCs w:val="21"/>
          <w:highlight w:val="none"/>
          <w:u w:val="single"/>
        </w:rPr>
        <w:t>3.如被发现提供虚假声明的,采购人将上报财政监管部门,一切法律后果自行承担。</w:t>
      </w:r>
    </w:p>
    <w:p>
      <w:pPr>
        <w:pStyle w:val="7"/>
        <w:rPr>
          <w:rFonts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格式13.监狱企业相关证明</w:t>
      </w:r>
    </w:p>
    <w:p>
      <w:pPr>
        <w:adjustRightInd w:val="0"/>
        <w:snapToGrid w:val="0"/>
        <w:spacing w:line="360" w:lineRule="auto"/>
        <w:ind w:right="105" w:rightChars="50" w:firstLine="476" w:firstLineChars="227"/>
        <w:jc w:val="left"/>
        <w:rPr>
          <w:rFonts w:ascii="宋体" w:hAnsi="宋体" w:eastAsia="宋体" w:cs="宋体"/>
          <w:color w:val="auto"/>
          <w:szCs w:val="21"/>
          <w:highlight w:val="none"/>
        </w:rPr>
      </w:pPr>
      <w:r>
        <w:rPr>
          <w:rFonts w:hint="eastAsia" w:ascii="宋体" w:hAnsi="宋体" w:eastAsia="宋体" w:cs="宋体"/>
          <w:iCs/>
          <w:color w:val="auto"/>
          <w:szCs w:val="21"/>
          <w:highlight w:val="none"/>
        </w:rPr>
        <w:t>监狱企业须供应商提供由省级以上监狱管理局、戒毒管理局（含新疆生产建设兵团）出具的属于监狱企业的证明文件，否则不予认定。</w:t>
      </w:r>
    </w:p>
    <w:p>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br w:type="page"/>
      </w:r>
    </w:p>
    <w:p>
      <w:pPr>
        <w:pStyle w:val="7"/>
        <w:rPr>
          <w:rFonts w:ascii="宋体" w:hAnsi="宋体" w:eastAsia="宋体" w:cs="宋体"/>
          <w:color w:val="auto"/>
          <w:sz w:val="24"/>
          <w:szCs w:val="24"/>
          <w:highlight w:val="none"/>
        </w:rPr>
      </w:pPr>
      <w:bookmarkStart w:id="175" w:name="_Toc96523909"/>
      <w:r>
        <w:rPr>
          <w:rFonts w:hint="eastAsia" w:ascii="宋体" w:hAnsi="宋体" w:eastAsia="宋体" w:cs="宋体"/>
          <w:color w:val="auto"/>
          <w:sz w:val="24"/>
          <w:szCs w:val="24"/>
          <w:highlight w:val="none"/>
        </w:rPr>
        <w:t>格式14.</w:t>
      </w:r>
      <w:bookmarkEnd w:id="175"/>
      <w:r>
        <w:rPr>
          <w:rFonts w:hint="eastAsia" w:ascii="宋体" w:hAnsi="宋体" w:eastAsia="宋体" w:cs="宋体"/>
          <w:color w:val="auto"/>
          <w:sz w:val="24"/>
          <w:szCs w:val="24"/>
          <w:highlight w:val="none"/>
        </w:rPr>
        <w:t>实质性响应条款一览表</w:t>
      </w:r>
    </w:p>
    <w:p>
      <w:pPr>
        <w:jc w:val="center"/>
        <w:rPr>
          <w:rFonts w:ascii="宋体" w:hAnsi="宋体" w:eastAsia="宋体" w:cs="宋体"/>
          <w:b/>
          <w:color w:val="auto"/>
          <w:highlight w:val="none"/>
        </w:rPr>
      </w:pPr>
      <w:bookmarkStart w:id="176" w:name="_Toc12442_WPSOffice_Level1"/>
      <w:r>
        <w:rPr>
          <w:rFonts w:hint="eastAsia" w:ascii="宋体" w:hAnsi="宋体" w:eastAsia="宋体" w:cs="宋体"/>
          <w:b/>
          <w:color w:val="auto"/>
          <w:highlight w:val="none"/>
          <w:lang w:val="en-US" w:eastAsia="zh-CN"/>
        </w:rPr>
        <w:t>14.1</w:t>
      </w:r>
      <w:r>
        <w:rPr>
          <w:rFonts w:hint="eastAsia" w:ascii="宋体" w:hAnsi="宋体" w:eastAsia="宋体" w:cs="宋体"/>
          <w:b/>
          <w:color w:val="auto"/>
          <w:highlight w:val="none"/>
        </w:rPr>
        <w:t>实质性响应条款一览表</w:t>
      </w:r>
      <w:bookmarkEnd w:id="176"/>
    </w:p>
    <w:p>
      <w:pPr>
        <w:spacing w:before="50" w:after="188" w:line="400" w:lineRule="exact"/>
        <w:ind w:left="473" w:leftChars="225"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项目编号：（项目编号）</w:t>
      </w:r>
    </w:p>
    <w:tbl>
      <w:tblPr>
        <w:tblStyle w:val="33"/>
        <w:tblW w:w="8357" w:type="dxa"/>
        <w:tblInd w:w="0" w:type="dxa"/>
        <w:tblLayout w:type="fixed"/>
        <w:tblCellMar>
          <w:top w:w="0" w:type="dxa"/>
          <w:left w:w="30" w:type="dxa"/>
          <w:bottom w:w="0" w:type="dxa"/>
          <w:right w:w="30" w:type="dxa"/>
        </w:tblCellMar>
      </w:tblPr>
      <w:tblGrid>
        <w:gridCol w:w="584"/>
        <w:gridCol w:w="3962"/>
        <w:gridCol w:w="1361"/>
        <w:gridCol w:w="1241"/>
        <w:gridCol w:w="1209"/>
      </w:tblGrid>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3962"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招标文件要求</w:t>
            </w:r>
          </w:p>
        </w:tc>
        <w:tc>
          <w:tcPr>
            <w:tcW w:w="1361"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投标人响应情况描述</w:t>
            </w:r>
          </w:p>
        </w:tc>
        <w:tc>
          <w:tcPr>
            <w:tcW w:w="1241"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对招标文件的偏离说明（正偏离/完全响应/负偏离）</w:t>
            </w:r>
          </w:p>
        </w:tc>
        <w:tc>
          <w:tcPr>
            <w:tcW w:w="1209"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对应投标文件位置及页码</w:t>
            </w: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5"/>
              </w:numPr>
              <w:spacing w:line="300" w:lineRule="exact"/>
              <w:jc w:val="center"/>
              <w:rPr>
                <w:rFonts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招标文件中标注“★”的条款：</w:t>
            </w: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5"/>
              </w:numPr>
              <w:spacing w:line="300" w:lineRule="exact"/>
              <w:jc w:val="center"/>
              <w:rPr>
                <w:rFonts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5"/>
              </w:numPr>
              <w:spacing w:line="300" w:lineRule="exact"/>
              <w:jc w:val="center"/>
              <w:rPr>
                <w:rFonts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hint="eastAsia" w:ascii="宋体" w:hAnsi="宋体" w:eastAsia="宋体" w:cs="宋体"/>
                <w:color w:val="auto"/>
                <w:sz w:val="21"/>
                <w:szCs w:val="21"/>
                <w:highlight w:val="none"/>
                <w:lang w:eastAsia="zh-CN"/>
              </w:rPr>
            </w:pP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5"/>
              </w:numPr>
              <w:spacing w:line="300" w:lineRule="exact"/>
              <w:jc w:val="center"/>
              <w:rPr>
                <w:rFonts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hint="eastAsia" w:ascii="宋体" w:hAnsi="宋体" w:eastAsia="宋体" w:cs="宋体"/>
                <w:color w:val="auto"/>
                <w:sz w:val="21"/>
                <w:szCs w:val="21"/>
                <w:highlight w:val="none"/>
                <w:lang w:eastAsia="zh-CN"/>
              </w:rPr>
            </w:pP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r>
      <w:tr>
        <w:tblPrEx>
          <w:tblCellMar>
            <w:top w:w="0" w:type="dxa"/>
            <w:left w:w="30" w:type="dxa"/>
            <w:bottom w:w="0" w:type="dxa"/>
            <w:right w:w="30" w:type="dxa"/>
          </w:tblCellMar>
        </w:tblPrEx>
        <w:trPr>
          <w:trHeight w:val="318" w:hRule="atLeast"/>
        </w:trPr>
        <w:tc>
          <w:tcPr>
            <w:tcW w:w="584" w:type="dxa"/>
            <w:tcBorders>
              <w:top w:val="single" w:color="auto" w:sz="6" w:space="0"/>
              <w:left w:val="single" w:color="auto" w:sz="6" w:space="0"/>
              <w:bottom w:val="single" w:color="auto" w:sz="6" w:space="0"/>
              <w:right w:val="single" w:color="auto" w:sz="6" w:space="0"/>
            </w:tcBorders>
            <w:vAlign w:val="center"/>
          </w:tcPr>
          <w:p>
            <w:pPr>
              <w:widowControl/>
              <w:numPr>
                <w:ilvl w:val="0"/>
                <w:numId w:val="15"/>
              </w:numPr>
              <w:spacing w:line="300" w:lineRule="exact"/>
              <w:jc w:val="center"/>
              <w:rPr>
                <w:rFonts w:ascii="宋体" w:hAnsi="宋体" w:eastAsia="宋体" w:cs="宋体"/>
                <w:bCs/>
                <w:color w:val="auto"/>
                <w:szCs w:val="21"/>
                <w:highlight w:val="none"/>
              </w:rPr>
            </w:pPr>
          </w:p>
        </w:tc>
        <w:tc>
          <w:tcPr>
            <w:tcW w:w="3962" w:type="dxa"/>
            <w:tcBorders>
              <w:top w:val="single" w:color="auto" w:sz="6" w:space="0"/>
              <w:left w:val="single" w:color="auto" w:sz="6" w:space="0"/>
              <w:bottom w:val="single" w:color="auto" w:sz="6" w:space="0"/>
              <w:right w:val="single" w:color="auto" w:sz="6" w:space="0"/>
            </w:tcBorders>
            <w:vAlign w:val="center"/>
          </w:tcPr>
          <w:p>
            <w:pPr>
              <w:tabs>
                <w:tab w:val="left" w:pos="709"/>
              </w:tabs>
              <w:spacing w:line="440" w:lineRule="exact"/>
              <w:rPr>
                <w:rFonts w:hint="eastAsia" w:ascii="宋体" w:hAnsi="宋体" w:eastAsia="宋体" w:cs="宋体"/>
                <w:color w:val="auto"/>
                <w:sz w:val="21"/>
                <w:szCs w:val="21"/>
                <w:highlight w:val="none"/>
                <w:lang w:val="en-US" w:eastAsia="zh-CN"/>
              </w:rPr>
            </w:pPr>
          </w:p>
        </w:tc>
        <w:tc>
          <w:tcPr>
            <w:tcW w:w="136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eastAsia="宋体" w:cs="宋体"/>
                <w:bCs/>
                <w:color w:val="auto"/>
                <w:szCs w:val="21"/>
                <w:highlight w:val="none"/>
              </w:rPr>
            </w:pPr>
          </w:p>
        </w:tc>
      </w:tr>
    </w:tbl>
    <w:p>
      <w:pPr>
        <w:spacing w:line="400" w:lineRule="exact"/>
        <w:ind w:firstLine="312" w:firstLineChars="148"/>
        <w:rPr>
          <w:rFonts w:ascii="宋体" w:hAnsi="宋体" w:eastAsia="宋体" w:cs="宋体"/>
          <w:color w:val="auto"/>
          <w:szCs w:val="21"/>
          <w:highlight w:val="none"/>
        </w:rPr>
      </w:pPr>
      <w:r>
        <w:rPr>
          <w:rFonts w:hint="eastAsia" w:ascii="宋体" w:hAnsi="宋体" w:eastAsia="宋体" w:cs="宋体"/>
          <w:b/>
          <w:bCs/>
          <w:color w:val="auto"/>
          <w:szCs w:val="21"/>
          <w:highlight w:val="none"/>
        </w:rPr>
        <w:t>注：如招标文件中标有“★”的内容，请在上表填写，并作出一一响应。若有一项带“★”的指标要求未响应或不满足，其投标将按无效投标处理。</w:t>
      </w:r>
    </w:p>
    <w:p>
      <w:pPr>
        <w:spacing w:line="400" w:lineRule="exact"/>
        <w:ind w:firstLine="310" w:firstLineChars="148"/>
        <w:rPr>
          <w:rFonts w:ascii="宋体" w:hAnsi="宋体" w:eastAsia="宋体" w:cs="宋体"/>
          <w:color w:val="auto"/>
          <w:szCs w:val="21"/>
          <w:highlight w:val="none"/>
        </w:rPr>
      </w:pPr>
    </w:p>
    <w:p>
      <w:pPr>
        <w:spacing w:line="400" w:lineRule="exact"/>
        <w:ind w:firstLine="539" w:firstLineChars="25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400" w:lineRule="exact"/>
        <w:ind w:firstLine="539" w:firstLineChars="25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投标人法定代表人或其委托人签字或印鉴：</w:t>
      </w:r>
    </w:p>
    <w:p>
      <w:pPr>
        <w:spacing w:line="400" w:lineRule="exact"/>
        <w:ind w:firstLine="539" w:firstLineChars="25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日期：</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7"/>
        <w:rPr>
          <w:rFonts w:ascii="宋体" w:hAnsi="宋体" w:eastAsia="宋体" w:cs="宋体"/>
          <w:color w:val="auto"/>
          <w:sz w:val="24"/>
          <w:szCs w:val="24"/>
          <w:highlight w:val="none"/>
        </w:rPr>
      </w:pPr>
      <w:bookmarkStart w:id="177" w:name="_Toc96523910"/>
      <w:r>
        <w:rPr>
          <w:rFonts w:hint="eastAsia" w:ascii="宋体" w:hAnsi="宋体" w:eastAsia="宋体" w:cs="宋体"/>
          <w:color w:val="auto"/>
          <w:sz w:val="24"/>
          <w:szCs w:val="24"/>
          <w:highlight w:val="none"/>
        </w:rPr>
        <w:t>格式15.投标响应与招标文件差异一览表</w:t>
      </w:r>
      <w:bookmarkEnd w:id="177"/>
    </w:p>
    <w:p>
      <w:pPr>
        <w:spacing w:before="50" w:after="188" w:line="400" w:lineRule="exact"/>
        <w:ind w:left="210" w:leftChars="100"/>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rPr>
        <w:t>投标人对招标文件中标“▲”条款的响应情况</w:t>
      </w:r>
    </w:p>
    <w:tbl>
      <w:tblPr>
        <w:tblStyle w:val="3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444" w:type="dxa"/>
            <w:vAlign w:val="center"/>
          </w:tcPr>
          <w:p>
            <w:pPr>
              <w:jc w:val="center"/>
              <w:rPr>
                <w:rFonts w:ascii="宋体" w:hAnsi="宋体" w:eastAsia="宋体" w:cs="宋体"/>
                <w:color w:val="auto"/>
                <w:highlight w:val="none"/>
              </w:rPr>
            </w:pPr>
            <w:r>
              <w:rPr>
                <w:rFonts w:hint="eastAsia" w:ascii="宋体" w:hAnsi="宋体" w:eastAsia="宋体" w:cs="宋体"/>
                <w:bCs/>
                <w:color w:val="auto"/>
                <w:szCs w:val="21"/>
                <w:highlight w:val="none"/>
              </w:rPr>
              <w:t>招标文件中标有“▲”的内容</w:t>
            </w:r>
          </w:p>
        </w:tc>
        <w:tc>
          <w:tcPr>
            <w:tcW w:w="1708"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投标人响应情况描述</w:t>
            </w:r>
          </w:p>
        </w:tc>
        <w:tc>
          <w:tcPr>
            <w:tcW w:w="1977"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对招标文件的偏离说明（正偏离/完全响应/负偏离）</w:t>
            </w:r>
          </w:p>
        </w:tc>
        <w:tc>
          <w:tcPr>
            <w:tcW w:w="1559"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bl>
    <w:p>
      <w:pPr>
        <w:spacing w:line="30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00" w:lineRule="auto"/>
        <w:ind w:firstLine="359" w:firstLineChars="171"/>
        <w:rPr>
          <w:rFonts w:ascii="宋体" w:hAnsi="宋体" w:eastAsia="宋体" w:cs="宋体"/>
          <w:bCs/>
          <w:color w:val="auto"/>
          <w:szCs w:val="21"/>
          <w:highlight w:val="none"/>
        </w:rPr>
      </w:pPr>
      <w:r>
        <w:rPr>
          <w:rFonts w:hint="eastAsia" w:ascii="宋体" w:hAnsi="宋体" w:eastAsia="宋体" w:cs="宋体"/>
          <w:bCs/>
          <w:color w:val="auto"/>
          <w:szCs w:val="21"/>
          <w:highlight w:val="none"/>
        </w:rPr>
        <w:t>1.请投标人将招标文件中标有“▲”的相关要求的响应情况按顺序逐条列入此表。</w:t>
      </w:r>
    </w:p>
    <w:p>
      <w:pPr>
        <w:spacing w:line="300" w:lineRule="auto"/>
        <w:ind w:firstLine="359" w:firstLineChars="171"/>
        <w:rPr>
          <w:rFonts w:ascii="宋体" w:hAnsi="宋体" w:eastAsia="宋体" w:cs="宋体"/>
          <w:bCs/>
          <w:color w:val="auto"/>
          <w:szCs w:val="21"/>
          <w:highlight w:val="none"/>
        </w:rPr>
      </w:pPr>
      <w:r>
        <w:rPr>
          <w:rFonts w:hint="eastAsia" w:ascii="宋体" w:hAnsi="宋体" w:eastAsia="宋体" w:cs="宋体"/>
          <w:bCs/>
          <w:color w:val="auto"/>
          <w:szCs w:val="21"/>
          <w:highlight w:val="none"/>
        </w:rPr>
        <w:t>2.此表可延长。</w:t>
      </w:r>
    </w:p>
    <w:p>
      <w:pPr>
        <w:spacing w:line="300" w:lineRule="auto"/>
        <w:ind w:firstLine="359" w:firstLineChars="171"/>
        <w:rPr>
          <w:rFonts w:ascii="宋体" w:hAnsi="宋体" w:eastAsia="宋体" w:cs="宋体"/>
          <w:bCs/>
          <w:color w:val="auto"/>
          <w:szCs w:val="21"/>
          <w:highlight w:val="none"/>
        </w:rPr>
      </w:pPr>
      <w:r>
        <w:rPr>
          <w:rFonts w:hint="eastAsia" w:ascii="宋体" w:hAnsi="宋体" w:eastAsia="宋体" w:cs="宋体"/>
          <w:bCs/>
          <w:color w:val="auto"/>
          <w:szCs w:val="21"/>
          <w:highlight w:val="none"/>
        </w:rPr>
        <w:t>3.招标文件若无“▲”标注的条款，则上表留空。</w:t>
      </w:r>
    </w:p>
    <w:p>
      <w:pPr>
        <w:spacing w:before="50" w:after="188" w:line="400" w:lineRule="exact"/>
        <w:ind w:left="210" w:leftChars="1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投标人对招标需求的响应情况（标“</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”“▲”的条款除外）</w:t>
      </w:r>
    </w:p>
    <w:tbl>
      <w:tblPr>
        <w:tblStyle w:val="3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444"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招标文件要求</w:t>
            </w:r>
          </w:p>
        </w:tc>
        <w:tc>
          <w:tcPr>
            <w:tcW w:w="1708"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投标人响应情况描述</w:t>
            </w:r>
          </w:p>
        </w:tc>
        <w:tc>
          <w:tcPr>
            <w:tcW w:w="1977"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对招标文件的偏离说明（正偏离/完全响应/负偏离）</w:t>
            </w:r>
          </w:p>
        </w:tc>
        <w:tc>
          <w:tcPr>
            <w:tcW w:w="1559"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pPr>
              <w:spacing w:line="300" w:lineRule="auto"/>
              <w:jc w:val="center"/>
              <w:rPr>
                <w:rFonts w:ascii="宋体" w:hAnsi="宋体" w:eastAsia="宋体" w:cs="宋体"/>
                <w:color w:val="auto"/>
                <w:szCs w:val="21"/>
                <w:highlight w:val="none"/>
              </w:rPr>
            </w:pPr>
          </w:p>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pPr>
              <w:spacing w:line="300" w:lineRule="auto"/>
              <w:jc w:val="center"/>
              <w:rPr>
                <w:rFonts w:ascii="宋体" w:hAnsi="宋体" w:eastAsia="宋体" w:cs="宋体"/>
                <w:color w:val="auto"/>
                <w:szCs w:val="21"/>
                <w:highlight w:val="none"/>
              </w:rPr>
            </w:pPr>
          </w:p>
        </w:tc>
        <w:tc>
          <w:tcPr>
            <w:tcW w:w="3444" w:type="dxa"/>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8" w:type="dxa"/>
          </w:tcPr>
          <w:p>
            <w:pPr>
              <w:spacing w:line="300" w:lineRule="auto"/>
              <w:jc w:val="center"/>
              <w:rPr>
                <w:rFonts w:ascii="宋体" w:hAnsi="宋体" w:eastAsia="宋体" w:cs="宋体"/>
                <w:color w:val="auto"/>
                <w:szCs w:val="21"/>
                <w:highlight w:val="none"/>
              </w:rPr>
            </w:pPr>
          </w:p>
        </w:tc>
        <w:tc>
          <w:tcPr>
            <w:tcW w:w="1977" w:type="dxa"/>
          </w:tcPr>
          <w:p>
            <w:pPr>
              <w:spacing w:line="300" w:lineRule="auto"/>
              <w:jc w:val="center"/>
              <w:rPr>
                <w:rFonts w:ascii="宋体" w:hAnsi="宋体" w:eastAsia="宋体" w:cs="宋体"/>
                <w:color w:val="auto"/>
                <w:szCs w:val="21"/>
                <w:highlight w:val="none"/>
              </w:rPr>
            </w:pPr>
          </w:p>
        </w:tc>
        <w:tc>
          <w:tcPr>
            <w:tcW w:w="1559" w:type="dxa"/>
          </w:tcPr>
          <w:p>
            <w:pPr>
              <w:spacing w:line="300" w:lineRule="auto"/>
              <w:jc w:val="center"/>
              <w:rPr>
                <w:rFonts w:ascii="宋体" w:hAnsi="宋体" w:eastAsia="宋体" w:cs="宋体"/>
                <w:color w:val="auto"/>
                <w:szCs w:val="21"/>
                <w:highlight w:val="none"/>
              </w:rPr>
            </w:pPr>
          </w:p>
        </w:tc>
      </w:tr>
    </w:tbl>
    <w:p>
      <w:pPr>
        <w:spacing w:line="30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00" w:lineRule="auto"/>
        <w:ind w:firstLine="359" w:firstLineChars="171"/>
        <w:rPr>
          <w:rFonts w:ascii="宋体" w:hAnsi="宋体" w:eastAsia="宋体" w:cs="宋体"/>
          <w:bCs/>
          <w:color w:val="auto"/>
          <w:szCs w:val="21"/>
          <w:highlight w:val="none"/>
        </w:rPr>
      </w:pPr>
      <w:bookmarkStart w:id="178" w:name="_Toc12020_WPSOffice_Level1"/>
      <w:r>
        <w:rPr>
          <w:rFonts w:hint="eastAsia" w:ascii="宋体" w:hAnsi="宋体" w:eastAsia="宋体" w:cs="宋体"/>
          <w:bCs/>
          <w:color w:val="auto"/>
          <w:szCs w:val="21"/>
          <w:highlight w:val="none"/>
        </w:rPr>
        <w:t>1.把招标需求相关要求的响应情况逐条列入此表。</w:t>
      </w:r>
      <w:bookmarkEnd w:id="178"/>
    </w:p>
    <w:p>
      <w:pPr>
        <w:spacing w:line="300" w:lineRule="auto"/>
        <w:ind w:firstLine="359" w:firstLineChars="171"/>
        <w:rPr>
          <w:rFonts w:ascii="宋体" w:hAnsi="宋体" w:eastAsia="宋体" w:cs="宋体"/>
          <w:bCs/>
          <w:color w:val="auto"/>
          <w:szCs w:val="21"/>
          <w:highlight w:val="none"/>
        </w:rPr>
      </w:pPr>
      <w:bookmarkStart w:id="179" w:name="_Toc3672_WPSOffice_Level1"/>
      <w:r>
        <w:rPr>
          <w:rFonts w:hint="eastAsia" w:ascii="宋体" w:hAnsi="宋体" w:eastAsia="宋体" w:cs="宋体"/>
          <w:bCs/>
          <w:color w:val="auto"/>
          <w:szCs w:val="21"/>
          <w:highlight w:val="none"/>
        </w:rPr>
        <w:t>2.按招标需求的顺序填写。</w:t>
      </w:r>
      <w:bookmarkEnd w:id="179"/>
    </w:p>
    <w:p>
      <w:pPr>
        <w:spacing w:line="300" w:lineRule="auto"/>
        <w:ind w:firstLine="359" w:firstLineChars="171"/>
        <w:rPr>
          <w:rFonts w:ascii="宋体" w:hAnsi="宋体" w:eastAsia="宋体" w:cs="宋体"/>
          <w:bCs/>
          <w:color w:val="auto"/>
          <w:szCs w:val="21"/>
          <w:highlight w:val="none"/>
        </w:rPr>
      </w:pPr>
      <w:bookmarkStart w:id="180" w:name="_Toc4424_WPSOffice_Level1"/>
      <w:r>
        <w:rPr>
          <w:rFonts w:hint="eastAsia" w:ascii="宋体" w:hAnsi="宋体" w:eastAsia="宋体" w:cs="宋体"/>
          <w:bCs/>
          <w:color w:val="auto"/>
          <w:szCs w:val="21"/>
          <w:highlight w:val="none"/>
        </w:rPr>
        <w:t>3.此表可延长。</w:t>
      </w:r>
      <w:bookmarkEnd w:id="180"/>
    </w:p>
    <w:p>
      <w:pPr>
        <w:spacing w:line="360" w:lineRule="auto"/>
        <w:ind w:firstLine="239" w:firstLineChars="114"/>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tabs>
          <w:tab w:val="left" w:pos="3119"/>
        </w:tabs>
        <w:spacing w:line="360" w:lineRule="auto"/>
        <w:ind w:left="185" w:leftChars="88" w:firstLine="25" w:firstLineChars="1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投标人法定代表人或其委托人签字或印鉴：</w:t>
      </w:r>
    </w:p>
    <w:p>
      <w:pPr>
        <w:tabs>
          <w:tab w:val="left" w:pos="3119"/>
        </w:tabs>
        <w:spacing w:line="360" w:lineRule="auto"/>
        <w:ind w:left="185" w:leftChars="88" w:firstLine="25" w:firstLineChars="12"/>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7"/>
        <w:rPr>
          <w:rFonts w:ascii="宋体" w:hAnsi="宋体" w:eastAsia="宋体" w:cs="宋体"/>
          <w:color w:val="auto"/>
          <w:sz w:val="24"/>
          <w:szCs w:val="24"/>
          <w:highlight w:val="none"/>
        </w:rPr>
      </w:pPr>
      <w:bookmarkStart w:id="181" w:name="_Toc96523911"/>
      <w:r>
        <w:rPr>
          <w:rFonts w:hint="eastAsia" w:ascii="宋体" w:hAnsi="宋体" w:eastAsia="宋体" w:cs="宋体"/>
          <w:color w:val="auto"/>
          <w:sz w:val="24"/>
          <w:szCs w:val="24"/>
          <w:highlight w:val="none"/>
        </w:rPr>
        <w:t>格式16.</w:t>
      </w:r>
      <w:bookmarkStart w:id="182" w:name="_Toc6037"/>
      <w:r>
        <w:rPr>
          <w:rFonts w:hint="eastAsia" w:ascii="宋体" w:hAnsi="宋体" w:eastAsia="宋体" w:cs="宋体"/>
          <w:color w:val="auto"/>
          <w:sz w:val="24"/>
          <w:szCs w:val="24"/>
          <w:highlight w:val="none"/>
        </w:rPr>
        <w:t>投标人基本情况表</w:t>
      </w:r>
      <w:bookmarkEnd w:id="181"/>
      <w:bookmarkEnd w:id="182"/>
    </w:p>
    <w:p>
      <w:pPr>
        <w:tabs>
          <w:tab w:val="left" w:pos="900"/>
        </w:tabs>
        <w:spacing w:line="360" w:lineRule="auto"/>
        <w:rPr>
          <w:rFonts w:ascii="宋体" w:hAnsi="宋体" w:eastAsia="宋体" w:cs="宋体"/>
          <w:color w:val="auto"/>
          <w:szCs w:val="21"/>
          <w:highlight w:val="none"/>
        </w:rPr>
      </w:pPr>
      <w:bookmarkStart w:id="183" w:name="_Toc21459_WPSOffice_Level1"/>
      <w:r>
        <w:rPr>
          <w:rFonts w:hint="eastAsia" w:ascii="宋体" w:hAnsi="宋体" w:eastAsia="宋体" w:cs="宋体"/>
          <w:color w:val="auto"/>
          <w:szCs w:val="21"/>
          <w:highlight w:val="none"/>
        </w:rPr>
        <w:t>一、投标人基本情况</w:t>
      </w:r>
      <w:bookmarkEnd w:id="183"/>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1.投标人名称：电话号码：</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2.地址：传真：</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3.注册资金：经济性质：</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4.是否为外商投资企业：</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□是（外商投资者国别：）：□全部由外商投资；□部分由外商投资</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□否</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5.投标人开户账号资料</w:t>
      </w:r>
    </w:p>
    <w:p>
      <w:pPr>
        <w:spacing w:line="360" w:lineRule="auto"/>
        <w:ind w:left="368" w:leftChars="175"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银行名称及账号：</w:t>
      </w:r>
    </w:p>
    <w:p>
      <w:pPr>
        <w:spacing w:line="360" w:lineRule="auto"/>
        <w:ind w:left="368" w:leftChars="175"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开户地址：</w:t>
      </w:r>
    </w:p>
    <w:p>
      <w:pPr>
        <w:tabs>
          <w:tab w:val="left" w:pos="1080"/>
        </w:tabs>
        <w:spacing w:line="360" w:lineRule="auto"/>
        <w:ind w:left="360"/>
        <w:rPr>
          <w:rFonts w:ascii="宋体" w:hAnsi="宋体" w:eastAsia="宋体" w:cs="宋体"/>
          <w:color w:val="auto"/>
          <w:szCs w:val="21"/>
          <w:highlight w:val="none"/>
        </w:rPr>
      </w:pPr>
      <w:r>
        <w:rPr>
          <w:rFonts w:hint="eastAsia" w:ascii="宋体" w:hAnsi="宋体" w:eastAsia="宋体" w:cs="宋体"/>
          <w:color w:val="auto"/>
          <w:szCs w:val="21"/>
          <w:highlight w:val="none"/>
        </w:rPr>
        <w:t>6.投标人简介（自行描述）：</w:t>
      </w:r>
    </w:p>
    <w:p>
      <w:pPr>
        <w:tabs>
          <w:tab w:val="left" w:pos="1080"/>
        </w:tabs>
        <w:spacing w:line="360" w:lineRule="auto"/>
        <w:ind w:left="360"/>
        <w:rPr>
          <w:rFonts w:ascii="宋体" w:hAnsi="宋体" w:eastAsia="宋体" w:cs="宋体"/>
          <w:color w:val="auto"/>
          <w:szCs w:val="21"/>
          <w:highlight w:val="none"/>
        </w:rPr>
      </w:pPr>
    </w:p>
    <w:p>
      <w:pPr>
        <w:tabs>
          <w:tab w:val="left" w:pos="900"/>
        </w:tabs>
        <w:spacing w:line="360" w:lineRule="auto"/>
        <w:rPr>
          <w:rFonts w:ascii="宋体" w:hAnsi="宋体" w:eastAsia="宋体" w:cs="宋体"/>
          <w:color w:val="auto"/>
          <w:szCs w:val="21"/>
          <w:highlight w:val="none"/>
        </w:rPr>
      </w:pPr>
      <w:bookmarkStart w:id="184" w:name="_Toc24077_WPSOffice_Level1"/>
      <w:r>
        <w:rPr>
          <w:rFonts w:hint="eastAsia" w:ascii="宋体" w:hAnsi="宋体" w:eastAsia="宋体" w:cs="宋体"/>
          <w:color w:val="auto"/>
          <w:szCs w:val="21"/>
          <w:highlight w:val="none"/>
        </w:rPr>
        <w:t>二、投标人获得资质和获奖证明文件</w:t>
      </w:r>
      <w:bookmarkEnd w:id="184"/>
    </w:p>
    <w:tbl>
      <w:tblPr>
        <w:tblStyle w:val="33"/>
        <w:tblW w:w="7607" w:type="dxa"/>
        <w:jc w:val="center"/>
        <w:tblLayout w:type="fixed"/>
        <w:tblCellMar>
          <w:top w:w="0" w:type="dxa"/>
          <w:left w:w="30" w:type="dxa"/>
          <w:bottom w:w="0" w:type="dxa"/>
          <w:right w:w="30" w:type="dxa"/>
        </w:tblCellMar>
      </w:tblPr>
      <w:tblGrid>
        <w:gridCol w:w="2798"/>
        <w:gridCol w:w="1507"/>
        <w:gridCol w:w="1785"/>
        <w:gridCol w:w="1517"/>
      </w:tblGrid>
      <w:tr>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证书有效期</w:t>
            </w: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eastAsia="宋体" w:cs="宋体"/>
                <w:color w:val="auto"/>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color w:val="auto"/>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eastAsia="宋体" w:cs="宋体"/>
                <w:color w:val="auto"/>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color w:val="auto"/>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eastAsia="宋体" w:cs="宋体"/>
                <w:color w:val="auto"/>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eastAsia="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eastAsia="宋体" w:cs="宋体"/>
                <w:color w:val="auto"/>
                <w:szCs w:val="21"/>
                <w:highlight w:val="none"/>
              </w:rPr>
            </w:pPr>
          </w:p>
        </w:tc>
      </w:tr>
    </w:tbl>
    <w:p>
      <w:pPr>
        <w:spacing w:line="360" w:lineRule="auto"/>
        <w:ind w:left="560"/>
        <w:rPr>
          <w:rFonts w:ascii="宋体" w:hAnsi="宋体" w:eastAsia="宋体" w:cs="宋体"/>
          <w:color w:val="auto"/>
          <w:szCs w:val="21"/>
          <w:highlight w:val="none"/>
        </w:rPr>
      </w:pPr>
      <w:r>
        <w:rPr>
          <w:rFonts w:hint="eastAsia" w:ascii="宋体" w:hAnsi="宋体" w:eastAsia="宋体" w:cs="宋体"/>
          <w:color w:val="auto"/>
          <w:szCs w:val="21"/>
          <w:highlight w:val="none"/>
        </w:rPr>
        <w:t>投标人需提供相关证明文件的复印件（加盖公章）</w:t>
      </w:r>
    </w:p>
    <w:p>
      <w:pPr>
        <w:tabs>
          <w:tab w:val="left" w:pos="900"/>
        </w:tabs>
        <w:spacing w:line="360" w:lineRule="auto"/>
        <w:rPr>
          <w:rFonts w:ascii="宋体" w:hAnsi="宋体" w:eastAsia="宋体" w:cs="宋体"/>
          <w:color w:val="auto"/>
          <w:szCs w:val="21"/>
          <w:highlight w:val="none"/>
        </w:rPr>
      </w:pPr>
      <w:bookmarkStart w:id="185" w:name="_Toc28158_WPSOffice_Level1"/>
      <w:r>
        <w:rPr>
          <w:rFonts w:hint="eastAsia" w:ascii="宋体" w:hAnsi="宋体" w:eastAsia="宋体" w:cs="宋体"/>
          <w:color w:val="auto"/>
          <w:szCs w:val="21"/>
          <w:highlight w:val="none"/>
        </w:rPr>
        <w:t>三、其他</w:t>
      </w:r>
      <w:bookmarkEnd w:id="185"/>
    </w:p>
    <w:p>
      <w:pPr>
        <w:spacing w:before="156" w:after="156"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1.参加政府采购活动前三年内，在经营活动中的重大违法记录（须如实填写，若对此进行隐瞒，尔后又被采购人或采购代理机构发现，或被它人举证成立，其投标资格将被取消）。</w:t>
      </w:r>
    </w:p>
    <w:tbl>
      <w:tblPr>
        <w:tblStyle w:val="33"/>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958"/>
        <w:gridCol w:w="292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235" w:type="dxa"/>
            <w:vAlign w:val="center"/>
          </w:tcPr>
          <w:p>
            <w:pPr>
              <w:pStyle w:val="6"/>
              <w:ind w:left="1" w:firstLine="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时间</w:t>
            </w:r>
          </w:p>
        </w:tc>
        <w:tc>
          <w:tcPr>
            <w:tcW w:w="2958" w:type="dxa"/>
            <w:vAlign w:val="center"/>
          </w:tcPr>
          <w:p>
            <w:pPr>
              <w:pStyle w:val="6"/>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受处理的原因</w:t>
            </w:r>
          </w:p>
          <w:p>
            <w:pPr>
              <w:pStyle w:val="6"/>
              <w:ind w:firstLine="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（注明采购项目名称及处理原因）</w:t>
            </w:r>
          </w:p>
        </w:tc>
        <w:tc>
          <w:tcPr>
            <w:tcW w:w="2924" w:type="dxa"/>
            <w:vAlign w:val="center"/>
          </w:tcPr>
          <w:p>
            <w:pPr>
              <w:pStyle w:val="6"/>
              <w:ind w:firstLine="422"/>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处理的内容</w:t>
            </w:r>
          </w:p>
          <w:p>
            <w:pPr>
              <w:pStyle w:val="6"/>
              <w:ind w:firstLine="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（如受到禁止一段时期参加全国范围内某种项目的采购活动的，同时说明解禁时间）</w:t>
            </w:r>
          </w:p>
        </w:tc>
        <w:tc>
          <w:tcPr>
            <w:tcW w:w="1396" w:type="dxa"/>
            <w:vAlign w:val="center"/>
          </w:tcPr>
          <w:p>
            <w:pPr>
              <w:pStyle w:val="6"/>
              <w:ind w:firstLine="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35" w:type="dxa"/>
            <w:vAlign w:val="center"/>
          </w:tcPr>
          <w:p>
            <w:pPr>
              <w:pStyle w:val="6"/>
              <w:jc w:val="center"/>
              <w:rPr>
                <w:rFonts w:ascii="宋体" w:hAnsi="宋体" w:eastAsia="宋体" w:cs="宋体"/>
                <w:color w:val="auto"/>
                <w:szCs w:val="21"/>
                <w:highlight w:val="none"/>
              </w:rPr>
            </w:pPr>
          </w:p>
        </w:tc>
        <w:tc>
          <w:tcPr>
            <w:tcW w:w="2958" w:type="dxa"/>
            <w:vAlign w:val="center"/>
          </w:tcPr>
          <w:p>
            <w:pPr>
              <w:pStyle w:val="6"/>
              <w:jc w:val="center"/>
              <w:rPr>
                <w:rFonts w:ascii="宋体" w:hAnsi="宋体" w:eastAsia="宋体" w:cs="宋体"/>
                <w:color w:val="auto"/>
                <w:szCs w:val="21"/>
                <w:highlight w:val="none"/>
              </w:rPr>
            </w:pPr>
          </w:p>
        </w:tc>
        <w:tc>
          <w:tcPr>
            <w:tcW w:w="2924" w:type="dxa"/>
            <w:vAlign w:val="center"/>
          </w:tcPr>
          <w:p>
            <w:pPr>
              <w:pStyle w:val="6"/>
              <w:jc w:val="center"/>
              <w:rPr>
                <w:rFonts w:ascii="宋体" w:hAnsi="宋体" w:eastAsia="宋体" w:cs="宋体"/>
                <w:color w:val="auto"/>
                <w:szCs w:val="21"/>
                <w:highlight w:val="none"/>
              </w:rPr>
            </w:pPr>
          </w:p>
        </w:tc>
        <w:tc>
          <w:tcPr>
            <w:tcW w:w="1396" w:type="dxa"/>
            <w:vAlign w:val="center"/>
          </w:tcPr>
          <w:p>
            <w:pPr>
              <w:pStyle w:val="6"/>
              <w:jc w:val="center"/>
              <w:rPr>
                <w:rFonts w:ascii="宋体" w:hAnsi="宋体" w:eastAsia="宋体" w:cs="宋体"/>
                <w:color w:val="auto"/>
                <w:szCs w:val="21"/>
                <w:highlight w:val="none"/>
              </w:rPr>
            </w:pPr>
          </w:p>
        </w:tc>
      </w:tr>
    </w:tbl>
    <w:p>
      <w:pPr>
        <w:pStyle w:val="6"/>
        <w:ind w:firstLine="0"/>
        <w:rPr>
          <w:rFonts w:ascii="宋体" w:hAnsi="宋体" w:eastAsia="宋体" w:cs="宋体"/>
          <w:color w:val="auto"/>
          <w:szCs w:val="21"/>
          <w:highlight w:val="none"/>
        </w:rPr>
      </w:pPr>
      <w:r>
        <w:rPr>
          <w:rFonts w:hint="eastAsia" w:ascii="宋体" w:hAnsi="宋体" w:eastAsia="宋体" w:cs="宋体"/>
          <w:color w:val="auto"/>
          <w:szCs w:val="21"/>
          <w:highlight w:val="none"/>
        </w:rPr>
        <w:t>2.投标人认为有必要提供的其他证明有关技术、资金实力的资质材料，所有证明文件需提供复印件（加盖公章）</w:t>
      </w:r>
    </w:p>
    <w:p>
      <w:pPr>
        <w:pStyle w:val="6"/>
        <w:ind w:firstLine="0"/>
        <w:rPr>
          <w:rFonts w:ascii="宋体" w:hAnsi="宋体" w:eastAsia="宋体" w:cs="宋体"/>
          <w:color w:val="auto"/>
          <w:szCs w:val="21"/>
          <w:highlight w:val="none"/>
        </w:rPr>
      </w:pPr>
      <w:r>
        <w:rPr>
          <w:rFonts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2890520</wp:posOffset>
                </wp:positionH>
                <wp:positionV relativeFrom="paragraph">
                  <wp:posOffset>46355</wp:posOffset>
                </wp:positionV>
                <wp:extent cx="1979930" cy="1619885"/>
                <wp:effectExtent l="4445" t="4445" r="9525" b="13970"/>
                <wp:wrapNone/>
                <wp:docPr id="4" name="矩形 24"/>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投标人公章样本</w:t>
                            </w:r>
                          </w:p>
                        </w:txbxContent>
                      </wps:txbx>
                      <wps:bodyPr rot="0" vert="horz" wrap="square" lIns="91440" tIns="45720" rIns="91440" bIns="45720" anchor="t" anchorCtr="0" upright="1">
                        <a:noAutofit/>
                      </wps:bodyPr>
                    </wps:wsp>
                  </a:graphicData>
                </a:graphic>
              </wp:anchor>
            </w:drawing>
          </mc:Choice>
          <mc:Fallback>
            <w:pict>
              <v:rect id="矩形 24" o:spid="_x0000_s1026" o:spt="1" style="position:absolute;left:0pt;margin-left:227.6pt;margin-top:3.65pt;height:127.55pt;width:155.9pt;z-index:251665408;mso-width-relative:page;mso-height-relative:page;" fillcolor="#FFFFFF" filled="t" stroked="t" coordsize="21600,21600" o:gfxdata="UEsDBAoAAAAAAIdO4kAAAAAAAAAAAAAAAAAEAAAAZHJzL1BLAwQUAAAACACHTuJAgZkwetgAAAAJ&#10;AQAADwAAAGRycy9kb3ducmV2LnhtbE2PMU/DMBSEdyT+g/WQ2Khdt01oiNMBVCTGNl3YnNhNAvFz&#10;FDtt4NfzmGA83enuu3w3u55d7Bg6jwqWCwHMYu1Nh42CU7l/eAQWokaje49WwZcNsCtub3KdGX/F&#10;g70cY8OoBEOmFbQxDhnnoW6t02HhB4vknf3odCQ5NtyM+krlrudSiIQ73SEttHqwz62tP4+TU1B1&#10;8qS/D+WrcNv9Kr7N5cf0/qLU/d1SPAGLdo5/YfjFJ3QoiKnyE5rAegXrzUZSVEG6AkZ+mqT0rVIg&#10;E7kGXuT8/4PiB1BLAwQUAAAACACHTuJA/c3w2kACAACKBAAADgAAAGRycy9lMm9Eb2MueG1srVTB&#10;bhMxEL0j8Q+W73SzIWmTVTdVlagIqUClwgc4Xm/WwvaYsZNN+Rkkbv0IPgfxG8x6NyUtHHpgD5bH&#10;M35+82Zmzy/21rCdwqDBlTw/GXGmnIRKu03JP328ejXjLEThKmHAqZLfqcAvFi9fnLe+UGNowFQK&#10;GYG4ULS+5E2MvsiyIBtlRTgBrxw5a0ArIpm4ySoULaFbk41Ho9OsBaw8glQh0Omqd/IBEZ8DCHWt&#10;pVqB3FrlYo+KyohIKYVG+8AXiW1dKxk/1HVQkZmSU6YxrfQI7dfdmi3ORbFB4RstBwriORSe5GSF&#10;dvToA9RKRMG2qP+CsloiBKjjiQSb9YkkRSiLfPREm9tGeJVyIamDfxA9/D9Y+X53g0xXJZ9w5oSl&#10;gv/6dv/zx3c2nnTitD4UFHPrb7BLL/hrkJ8Dc7BshNuoS0RoGyUqopR38dmjC50R6Cpbt++gImyx&#10;jZB02tdoO0BSgO1TOe4eyqH2kUk6zOdn8/lrqpQkX36az2ezaXpDFIfrHkN8o8CyblNypHoneLG7&#10;DrGjI4pDSKIPRldX2phk4Ga9NMh2gnrjKn0DejgOM461JZ9Px9OE/MgXjiFG6fsXhNWRRsZoW/LZ&#10;cZBxHQ+V2nTge1CsVz7u1/uhCGuo7khIhL6FaYBp0wB+5ayl9i15+LIVqDgzbx0VY55PJl2/J2My&#10;PRuTgcee9bFHOElQJY+c9dtl7Gdk61FvGnopT8k7uKQC1jpJ21HtWQ1lpxZNig/j1M3AsZ2i/vxC&#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ZkwetgAAAAJAQAADwAAAAAAAAABACAAAAAiAAAA&#10;ZHJzL2Rvd25yZXYueG1sUEsBAhQAFAAAAAgAh07iQP3N8NpAAgAAigQAAA4AAAAAAAAAAQAgAAAA&#10;JwEAAGRycy9lMm9Eb2MueG1sUEsFBgAAAAAGAAYAWQEAANkFAAAAAA==&#10;">
                <v:fill on="t" focussize="0,0"/>
                <v:stroke color="#000000" miterlimit="8" joinstyle="miter"/>
                <v:imagedata o:title=""/>
                <o:lock v:ext="edit" aspectratio="f"/>
                <v:textbox>
                  <w:txbxContent>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投标人公章样本</w:t>
                      </w:r>
                    </w:p>
                  </w:txbxContent>
                </v:textbox>
              </v:rect>
            </w:pict>
          </mc:Fallback>
        </mc:AlternateContent>
      </w:r>
      <w:r>
        <w:rPr>
          <w:rFonts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238125</wp:posOffset>
                </wp:positionH>
                <wp:positionV relativeFrom="paragraph">
                  <wp:posOffset>64770</wp:posOffset>
                </wp:positionV>
                <wp:extent cx="1979930" cy="1619885"/>
                <wp:effectExtent l="4445" t="4445" r="9525" b="13970"/>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投标人标记样本（即LOGO，如无,无须标记）</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18.75pt;margin-top:5.1pt;height:127.55pt;width:155.9pt;z-index:251664384;mso-width-relative:page;mso-height-relative:page;" fillcolor="#FFFFFF" filled="t" stroked="t" coordsize="21600,21600" o:gfxdata="UEsDBAoAAAAAAIdO4kAAAAAAAAAAAAAAAAAEAAAAZHJzL1BLAwQUAAAACACHTuJA8bShFdgAAAAJ&#10;AQAADwAAAGRycy9kb3ducmV2LnhtbE2PwU7DMBBE70j8g7VI3KjdhBYa4vQAKhLHNr1w28RLEojX&#10;Uey0ga/HnMpxdkYzb/PtbHtxotF3jjUsFwoEce1Mx42GY7m7ewThA7LB3jFp+CYP2+L6KsfMuDPv&#10;6XQIjYgl7DPU0IYwZFL6uiWLfuEG4uh9uNFiiHJspBnxHMttLxOl1tJix3GhxYGeW6q/DpPVUHXJ&#10;EX/25auym10a3ubyc3p/0fr2ZqmeQASawyUMf/gRHYrIVLmJjRe9hvRhFZPxrhIQ0U/vNymISkOy&#10;XqUgi1z+/6D4BVBLAwQUAAAACACHTuJA2KkoaD8CAACKBAAADgAAAGRycy9lMm9Eb2MueG1srVTB&#10;bhMxEL0j8Q+W72SzadMmq26qqlUQUoFKhQ9wvN6she0xYyeb8jNI3PgIPgfxG8x6NyEtHHpgD5bH&#10;M35+82ZmLy531rCtwqDBlTwfjTlTTkKl3brkHz8sX804C1G4ShhwquQPKvDLxcsXF60v1AQaMJVC&#10;RiAuFK0veROjL7IsyEZZEUbglSNnDWhFJBPXWYWiJXRrssl4fJa1gJVHkCoEOr3pnXxAxOcAQl1r&#10;qW5AbqxysUdFZUSklEKjfeCLxLaulYzv6zqoyEzJKdOYVnqE9qtuzRYXolij8I2WAwXxHApPcrJC&#10;O3r0AHUjomAb1H9BWS0RAtRxJMFmfSJJEcoiHz/R5r4RXqVcSOrgD6KH/wcr323vkOmKOoEzJywV&#10;/NfX7z9/fGOTk06c1oeCYu79HXbpBX8L8lNgDq4b4dbqChHaRomKKOVdfPboQmcEuspW7VuoCFts&#10;IiSddjXaDpAUYLtUjodDOdQuMkmH+fx8Pj+hSkny5Wf5fDabpjdEsb/uMcTXCizrNiVHqneCF9vb&#10;EDs6otiHJPpgdLXUxiQD16trg2wrqDeW6RvQw3GYcawt+Xw6mSbkR75wDDFO378grI40Mkbbks+O&#10;g4zreKjUpgPfvWK98nG32g1FWEH1QEIi9C1MA0ybBvALZy21b8nD541AxZl546gY8/z0tOv3ZJxO&#10;zydk4LFndewRThJUySNn/fY69jOy8ajXDb2Up+QdXFEBa52k7aj2rIayU4smxYdx6mbg2E5Rf34h&#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xtKEV2AAAAAkBAAAPAAAAAAAAAAEAIAAAACIAAABk&#10;cnMvZG93bnJldi54bWxQSwECFAAUAAAACACHTuJA2KkoaD8CAACKBAAADgAAAAAAAAABACAAAAAn&#10;AQAAZHJzL2Uyb0RvYy54bWxQSwUGAAAAAAYABgBZAQAA2AUAAAAA&#10;">
                <v:fill on="t" focussize="0,0"/>
                <v:stroke color="#000000" miterlimit="8" joinstyle="miter"/>
                <v:imagedata o:title=""/>
                <o:lock v:ext="edit" aspectratio="f"/>
                <v:textbox>
                  <w:txbxContent>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投标人标记样本（即LOGO，如无,无须标记）</w:t>
                      </w:r>
                    </w:p>
                  </w:txbxContent>
                </v:textbox>
              </v:rect>
            </w:pict>
          </mc:Fallback>
        </mc:AlternateContent>
      </w:r>
    </w:p>
    <w:p>
      <w:pPr>
        <w:pStyle w:val="6"/>
        <w:ind w:firstLine="0"/>
        <w:rPr>
          <w:rFonts w:ascii="宋体" w:hAnsi="宋体" w:eastAsia="宋体" w:cs="宋体"/>
          <w:color w:val="auto"/>
          <w:szCs w:val="21"/>
          <w:highlight w:val="none"/>
        </w:rPr>
      </w:pPr>
    </w:p>
    <w:p>
      <w:pPr>
        <w:pStyle w:val="6"/>
        <w:ind w:firstLine="0"/>
        <w:rPr>
          <w:rFonts w:ascii="宋体" w:hAnsi="宋体" w:eastAsia="宋体" w:cs="宋体"/>
          <w:color w:val="auto"/>
          <w:szCs w:val="21"/>
          <w:highlight w:val="none"/>
        </w:rPr>
      </w:pPr>
    </w:p>
    <w:p>
      <w:pPr>
        <w:pStyle w:val="6"/>
        <w:ind w:firstLine="0"/>
        <w:rPr>
          <w:rFonts w:ascii="宋体" w:hAnsi="宋体" w:eastAsia="宋体" w:cs="宋体"/>
          <w:color w:val="auto"/>
          <w:szCs w:val="21"/>
          <w:highlight w:val="none"/>
        </w:rPr>
      </w:pPr>
    </w:p>
    <w:p>
      <w:pPr>
        <w:pStyle w:val="6"/>
        <w:ind w:firstLine="0"/>
        <w:rPr>
          <w:rFonts w:ascii="宋体" w:hAnsi="宋体" w:eastAsia="宋体" w:cs="宋体"/>
          <w:color w:val="auto"/>
          <w:szCs w:val="21"/>
          <w:highlight w:val="none"/>
        </w:rPr>
      </w:pPr>
    </w:p>
    <w:p>
      <w:pPr>
        <w:pStyle w:val="6"/>
        <w:ind w:firstLine="0"/>
        <w:rPr>
          <w:rFonts w:ascii="宋体" w:hAnsi="宋体" w:eastAsia="宋体" w:cs="宋体"/>
          <w:color w:val="auto"/>
          <w:szCs w:val="21"/>
          <w:highlight w:val="none"/>
        </w:rPr>
      </w:pPr>
    </w:p>
    <w:p>
      <w:pPr>
        <w:pStyle w:val="6"/>
        <w:ind w:firstLine="0"/>
        <w:rPr>
          <w:rFonts w:ascii="宋体" w:hAnsi="宋体" w:eastAsia="宋体" w:cs="宋体"/>
          <w:color w:val="auto"/>
          <w:szCs w:val="21"/>
          <w:highlight w:val="none"/>
        </w:rPr>
      </w:pPr>
    </w:p>
    <w:p>
      <w:pPr>
        <w:spacing w:line="360" w:lineRule="auto"/>
        <w:ind w:left="712" w:leftChars="119" w:hanging="462" w:hangingChars="220"/>
        <w:rPr>
          <w:rFonts w:ascii="宋体" w:hAnsi="宋体" w:eastAsia="宋体" w:cs="宋体"/>
          <w:color w:val="auto"/>
          <w:szCs w:val="21"/>
          <w:highlight w:val="none"/>
        </w:rPr>
      </w:pPr>
    </w:p>
    <w:p>
      <w:pPr>
        <w:spacing w:line="360" w:lineRule="auto"/>
        <w:ind w:left="712" w:leftChars="119" w:hanging="462" w:hangingChars="220"/>
        <w:rPr>
          <w:rFonts w:ascii="宋体" w:hAnsi="宋体" w:eastAsia="宋体" w:cs="宋体"/>
          <w:color w:val="auto"/>
          <w:szCs w:val="21"/>
          <w:highlight w:val="none"/>
        </w:rPr>
      </w:pPr>
    </w:p>
    <w:p>
      <w:pPr>
        <w:spacing w:line="360" w:lineRule="auto"/>
        <w:ind w:left="712" w:leftChars="119" w:hanging="462" w:hangingChars="220"/>
        <w:rPr>
          <w:rFonts w:ascii="宋体" w:hAnsi="宋体" w:eastAsia="宋体" w:cs="宋体"/>
          <w:color w:val="auto"/>
          <w:szCs w:val="21"/>
          <w:highlight w:val="none"/>
        </w:rPr>
      </w:pPr>
    </w:p>
    <w:p>
      <w:pPr>
        <w:spacing w:line="360" w:lineRule="auto"/>
        <w:ind w:left="712" w:leftChars="119" w:hanging="462" w:hangingChars="220"/>
        <w:rPr>
          <w:rFonts w:ascii="宋体" w:hAnsi="宋体" w:eastAsia="宋体" w:cs="宋体"/>
          <w:color w:val="auto"/>
          <w:szCs w:val="21"/>
          <w:highlight w:val="none"/>
        </w:rPr>
      </w:pPr>
      <w:r>
        <w:rPr>
          <w:rFonts w:hint="eastAsia" w:ascii="宋体" w:hAnsi="宋体" w:eastAsia="宋体" w:cs="宋体"/>
          <w:color w:val="auto"/>
          <w:szCs w:val="21"/>
          <w:highlight w:val="none"/>
        </w:rPr>
        <w:t>我/我们声明以上所述是正确无误的，您有权进行您认为必要的所有调查。</w:t>
      </w:r>
    </w:p>
    <w:p>
      <w:pPr>
        <w:spacing w:line="360" w:lineRule="auto"/>
        <w:ind w:left="712" w:leftChars="119" w:hanging="462" w:hangingChars="220"/>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12" w:leftChars="119" w:hanging="462" w:hangingChars="2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投标人法定代表人或其委托人签字或印鉴：</w:t>
      </w:r>
    </w:p>
    <w:p>
      <w:pPr>
        <w:spacing w:line="360" w:lineRule="auto"/>
        <w:ind w:left="712" w:leftChars="119" w:hanging="462" w:hangingChars="220"/>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86" w:name="_Toc96523912"/>
      <w:r>
        <w:rPr>
          <w:rFonts w:hint="eastAsia" w:ascii="宋体" w:hAnsi="宋体" w:eastAsia="宋体" w:cs="宋体"/>
          <w:color w:val="auto"/>
          <w:sz w:val="24"/>
          <w:szCs w:val="24"/>
          <w:highlight w:val="none"/>
        </w:rPr>
        <w:t>格式17.</w:t>
      </w:r>
      <w:bookmarkEnd w:id="186"/>
      <w:bookmarkStart w:id="187" w:name="_Toc25904"/>
      <w:r>
        <w:rPr>
          <w:rFonts w:hint="eastAsia" w:ascii="宋体" w:hAnsi="宋体" w:eastAsia="宋体" w:cs="宋体"/>
          <w:color w:val="auto"/>
          <w:sz w:val="24"/>
          <w:szCs w:val="24"/>
          <w:highlight w:val="none"/>
        </w:rPr>
        <w:t>项目运营管理服务人员</w:t>
      </w:r>
    </w:p>
    <w:bookmarkEnd w:id="187"/>
    <w:p>
      <w:pPr>
        <w:tabs>
          <w:tab w:val="left" w:pos="567"/>
        </w:tabs>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附件1：项目运营管理服务人员简历表</w:t>
      </w:r>
    </w:p>
    <w:tbl>
      <w:tblPr>
        <w:tblStyle w:val="3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00" w:type="dxa"/>
          </w:tcPr>
          <w:p>
            <w:pPr>
              <w:spacing w:before="156" w:after="156" w:line="400" w:lineRule="exact"/>
              <w:rPr>
                <w:rFonts w:ascii="宋体" w:hAnsi="宋体" w:eastAsia="宋体" w:cs="宋体"/>
                <w:color w:val="auto"/>
                <w:szCs w:val="21"/>
                <w:highlight w:val="none"/>
              </w:rPr>
            </w:pPr>
          </w:p>
        </w:tc>
        <w:tc>
          <w:tcPr>
            <w:tcW w:w="1260"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66" w:type="dxa"/>
            <w:gridSpan w:val="2"/>
          </w:tcPr>
          <w:p>
            <w:pPr>
              <w:spacing w:before="156" w:after="156" w:line="400" w:lineRule="exact"/>
              <w:rPr>
                <w:rFonts w:ascii="宋体" w:hAnsi="宋体" w:eastAsia="宋体" w:cs="宋体"/>
                <w:color w:val="auto"/>
                <w:szCs w:val="21"/>
                <w:highlight w:val="none"/>
              </w:rPr>
            </w:pPr>
          </w:p>
        </w:tc>
        <w:tc>
          <w:tcPr>
            <w:tcW w:w="1214"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2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800" w:type="dxa"/>
          </w:tcPr>
          <w:p>
            <w:pPr>
              <w:spacing w:before="156" w:after="156" w:line="400" w:lineRule="exact"/>
              <w:rPr>
                <w:rFonts w:ascii="宋体" w:hAnsi="宋体" w:eastAsia="宋体" w:cs="宋体"/>
                <w:color w:val="auto"/>
                <w:szCs w:val="21"/>
                <w:highlight w:val="none"/>
              </w:rPr>
            </w:pPr>
          </w:p>
        </w:tc>
        <w:tc>
          <w:tcPr>
            <w:tcW w:w="1260"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66" w:type="dxa"/>
            <w:gridSpan w:val="2"/>
          </w:tcPr>
          <w:p>
            <w:pPr>
              <w:spacing w:before="156" w:after="156" w:line="400" w:lineRule="exact"/>
              <w:rPr>
                <w:rFonts w:ascii="宋体" w:hAnsi="宋体" w:eastAsia="宋体" w:cs="宋体"/>
                <w:color w:val="auto"/>
                <w:szCs w:val="21"/>
                <w:highlight w:val="none"/>
              </w:rPr>
            </w:pPr>
          </w:p>
        </w:tc>
        <w:tc>
          <w:tcPr>
            <w:tcW w:w="1214"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2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1800" w:type="dxa"/>
          </w:tcPr>
          <w:p>
            <w:pPr>
              <w:spacing w:before="156" w:after="156" w:line="400" w:lineRule="exact"/>
              <w:rPr>
                <w:rFonts w:ascii="宋体" w:hAnsi="宋体" w:eastAsia="宋体" w:cs="宋体"/>
                <w:color w:val="auto"/>
                <w:szCs w:val="21"/>
                <w:highlight w:val="none"/>
              </w:rPr>
            </w:pPr>
          </w:p>
        </w:tc>
        <w:tc>
          <w:tcPr>
            <w:tcW w:w="1260"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住宅电话</w:t>
            </w:r>
          </w:p>
        </w:tc>
        <w:tc>
          <w:tcPr>
            <w:tcW w:w="1666" w:type="dxa"/>
            <w:gridSpan w:val="2"/>
          </w:tcPr>
          <w:p>
            <w:pPr>
              <w:spacing w:before="156" w:after="156" w:line="400" w:lineRule="exact"/>
              <w:rPr>
                <w:rFonts w:ascii="宋体" w:hAnsi="宋体" w:eastAsia="宋体" w:cs="宋体"/>
                <w:color w:val="auto"/>
                <w:szCs w:val="21"/>
                <w:highlight w:val="none"/>
              </w:rPr>
            </w:pPr>
          </w:p>
        </w:tc>
        <w:tc>
          <w:tcPr>
            <w:tcW w:w="1214" w:type="dxa"/>
            <w:gridSpan w:val="2"/>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移动电话</w:t>
            </w:r>
          </w:p>
        </w:tc>
        <w:tc>
          <w:tcPr>
            <w:tcW w:w="12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060" w:type="dxa"/>
            <w:gridSpan w:val="3"/>
          </w:tcPr>
          <w:p>
            <w:pPr>
              <w:spacing w:before="156" w:after="156" w:line="400" w:lineRule="exact"/>
              <w:rPr>
                <w:rFonts w:ascii="宋体" w:hAnsi="宋体" w:eastAsia="宋体" w:cs="宋体"/>
                <w:color w:val="auto"/>
                <w:szCs w:val="21"/>
                <w:highlight w:val="none"/>
              </w:rPr>
            </w:pPr>
          </w:p>
        </w:tc>
        <w:tc>
          <w:tcPr>
            <w:tcW w:w="2340" w:type="dxa"/>
            <w:gridSpan w:val="3"/>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从事年限</w:t>
            </w:r>
          </w:p>
        </w:tc>
        <w:tc>
          <w:tcPr>
            <w:tcW w:w="1800" w:type="dxa"/>
            <w:gridSpan w:val="2"/>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pPr>
              <w:spacing w:before="156" w:after="156"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具有认证资质</w:t>
            </w:r>
          </w:p>
        </w:tc>
        <w:tc>
          <w:tcPr>
            <w:tcW w:w="7200" w:type="dxa"/>
            <w:gridSpan w:val="8"/>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采购单位</w:t>
            </w:r>
          </w:p>
        </w:tc>
        <w:tc>
          <w:tcPr>
            <w:tcW w:w="1980" w:type="dxa"/>
            <w:gridSpan w:val="2"/>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980" w:type="dxa"/>
            <w:gridSpan w:val="2"/>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项目规模</w:t>
            </w:r>
          </w:p>
        </w:tc>
        <w:tc>
          <w:tcPr>
            <w:tcW w:w="1440" w:type="dxa"/>
            <w:gridSpan w:val="2"/>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800" w:type="dxa"/>
            <w:gridSpan w:val="2"/>
          </w:tcPr>
          <w:p>
            <w:pPr>
              <w:spacing w:before="156" w:after="156"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440" w:type="dxa"/>
            <w:gridSpan w:val="2"/>
          </w:tcPr>
          <w:p>
            <w:pPr>
              <w:spacing w:before="156" w:after="156" w:line="400" w:lineRule="exact"/>
              <w:rPr>
                <w:rFonts w:ascii="宋体" w:hAnsi="宋体" w:eastAsia="宋体" w:cs="宋体"/>
                <w:color w:val="auto"/>
                <w:szCs w:val="21"/>
                <w:highlight w:val="none"/>
              </w:rPr>
            </w:pPr>
          </w:p>
        </w:tc>
        <w:tc>
          <w:tcPr>
            <w:tcW w:w="1800" w:type="dxa"/>
            <w:gridSpan w:val="2"/>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440" w:type="dxa"/>
            <w:gridSpan w:val="2"/>
          </w:tcPr>
          <w:p>
            <w:pPr>
              <w:spacing w:before="156" w:after="156" w:line="400" w:lineRule="exact"/>
              <w:rPr>
                <w:rFonts w:ascii="宋体" w:hAnsi="宋体" w:eastAsia="宋体" w:cs="宋体"/>
                <w:color w:val="auto"/>
                <w:szCs w:val="21"/>
                <w:highlight w:val="none"/>
              </w:rPr>
            </w:pPr>
          </w:p>
        </w:tc>
        <w:tc>
          <w:tcPr>
            <w:tcW w:w="1800" w:type="dxa"/>
            <w:gridSpan w:val="2"/>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440" w:type="dxa"/>
            <w:gridSpan w:val="2"/>
          </w:tcPr>
          <w:p>
            <w:pPr>
              <w:spacing w:before="156" w:after="156" w:line="400" w:lineRule="exact"/>
              <w:rPr>
                <w:rFonts w:ascii="宋体" w:hAnsi="宋体" w:eastAsia="宋体" w:cs="宋体"/>
                <w:color w:val="auto"/>
                <w:szCs w:val="21"/>
                <w:highlight w:val="none"/>
              </w:rPr>
            </w:pPr>
          </w:p>
        </w:tc>
        <w:tc>
          <w:tcPr>
            <w:tcW w:w="1800" w:type="dxa"/>
            <w:gridSpan w:val="2"/>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980" w:type="dxa"/>
            <w:gridSpan w:val="2"/>
          </w:tcPr>
          <w:p>
            <w:pPr>
              <w:spacing w:before="156" w:after="156" w:line="400" w:lineRule="exact"/>
              <w:rPr>
                <w:rFonts w:ascii="宋体" w:hAnsi="宋体" w:eastAsia="宋体" w:cs="宋体"/>
                <w:color w:val="auto"/>
                <w:szCs w:val="21"/>
                <w:highlight w:val="none"/>
              </w:rPr>
            </w:pPr>
          </w:p>
        </w:tc>
        <w:tc>
          <w:tcPr>
            <w:tcW w:w="1440" w:type="dxa"/>
            <w:gridSpan w:val="2"/>
          </w:tcPr>
          <w:p>
            <w:pPr>
              <w:spacing w:before="156" w:after="156" w:line="400" w:lineRule="exact"/>
              <w:rPr>
                <w:rFonts w:ascii="宋体" w:hAnsi="宋体" w:eastAsia="宋体" w:cs="宋体"/>
                <w:color w:val="auto"/>
                <w:szCs w:val="21"/>
                <w:highlight w:val="none"/>
              </w:rPr>
            </w:pPr>
          </w:p>
        </w:tc>
        <w:tc>
          <w:tcPr>
            <w:tcW w:w="1800" w:type="dxa"/>
            <w:gridSpan w:val="2"/>
          </w:tcPr>
          <w:p>
            <w:pPr>
              <w:spacing w:before="156" w:after="156" w:line="400" w:lineRule="exact"/>
              <w:rPr>
                <w:rFonts w:ascii="宋体" w:hAnsi="宋体" w:eastAsia="宋体" w:cs="宋体"/>
                <w:color w:val="auto"/>
                <w:szCs w:val="21"/>
                <w:highlight w:val="none"/>
              </w:rPr>
            </w:pPr>
          </w:p>
        </w:tc>
      </w:tr>
    </w:tbl>
    <w:p>
      <w:pPr>
        <w:pStyle w:val="6"/>
        <w:spacing w:before="156" w:after="156" w:line="400" w:lineRule="exact"/>
        <w:ind w:left="158" w:leftChars="75" w:firstLine="0"/>
        <w:rPr>
          <w:rFonts w:ascii="宋体" w:hAnsi="宋体" w:eastAsia="宋体" w:cs="宋体"/>
          <w:b/>
          <w:color w:val="auto"/>
          <w:szCs w:val="21"/>
          <w:highlight w:val="none"/>
        </w:rPr>
      </w:pPr>
      <w:r>
        <w:rPr>
          <w:rFonts w:hint="eastAsia" w:ascii="宋体" w:hAnsi="宋体" w:eastAsia="宋体" w:cs="宋体"/>
          <w:color w:val="auto"/>
          <w:szCs w:val="21"/>
          <w:highlight w:val="none"/>
        </w:rPr>
        <w:t>注：提供聘用合同和拟投入人员身份证复印件并加盖投标人公章、投入团队人员工作方案。</w:t>
      </w:r>
    </w:p>
    <w:p>
      <w:pPr>
        <w:spacing w:line="400" w:lineRule="exact"/>
        <w:ind w:left="158" w:leftChars="75"/>
        <w:rPr>
          <w:rFonts w:ascii="宋体" w:hAnsi="宋体" w:eastAsia="宋体" w:cs="宋体"/>
          <w:color w:val="auto"/>
          <w:szCs w:val="21"/>
          <w:highlight w:val="none"/>
        </w:rPr>
      </w:pPr>
    </w:p>
    <w:p>
      <w:pPr>
        <w:spacing w:line="400" w:lineRule="exact"/>
        <w:ind w:left="158" w:leftChars="75"/>
        <w:rPr>
          <w:rFonts w:ascii="宋体" w:hAnsi="宋体" w:eastAsia="宋体" w:cs="宋体"/>
          <w:color w:val="auto"/>
          <w:szCs w:val="21"/>
          <w:highlight w:val="none"/>
        </w:rPr>
      </w:pPr>
    </w:p>
    <w:p>
      <w:pPr>
        <w:spacing w:line="400" w:lineRule="exact"/>
        <w:ind w:left="158" w:leftChars="75"/>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400" w:lineRule="exact"/>
        <w:ind w:left="158" w:leftChars="75"/>
        <w:rPr>
          <w:rFonts w:ascii="宋体" w:hAnsi="宋体" w:eastAsia="宋体" w:cs="宋体"/>
          <w:color w:val="auto"/>
          <w:szCs w:val="21"/>
          <w:highlight w:val="none"/>
        </w:rPr>
      </w:pPr>
    </w:p>
    <w:p>
      <w:pPr>
        <w:spacing w:line="400" w:lineRule="exact"/>
        <w:ind w:left="158" w:leftChars="7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投标人法定代表人或其委托人签字或印鉴：</w:t>
      </w:r>
    </w:p>
    <w:p>
      <w:pPr>
        <w:pStyle w:val="6"/>
        <w:spacing w:before="156" w:after="156" w:line="400" w:lineRule="exact"/>
        <w:ind w:left="158" w:leftChars="75" w:firstLine="0"/>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6"/>
        <w:rPr>
          <w:rFonts w:ascii="宋体" w:hAnsi="宋体" w:eastAsia="宋体" w:cs="宋体"/>
          <w:color w:val="auto"/>
          <w:highlight w:val="none"/>
        </w:rPr>
      </w:pPr>
    </w:p>
    <w:p>
      <w:pPr>
        <w:pStyle w:val="7"/>
        <w:rPr>
          <w:rFonts w:ascii="宋体" w:hAnsi="宋体" w:eastAsia="宋体" w:cs="宋体"/>
          <w:color w:val="auto"/>
          <w:sz w:val="24"/>
          <w:szCs w:val="24"/>
          <w:highlight w:val="none"/>
        </w:rPr>
        <w:sectPr>
          <w:headerReference r:id="rId5" w:type="default"/>
          <w:footerReference r:id="rId6" w:type="default"/>
          <w:pgSz w:w="11906" w:h="16838"/>
          <w:pgMar w:top="1440" w:right="1803" w:bottom="1440" w:left="1803" w:header="851" w:footer="992" w:gutter="0"/>
          <w:cols w:space="720" w:num="1"/>
          <w:docGrid w:type="lines" w:linePitch="319" w:charSpace="0"/>
        </w:sectPr>
      </w:pPr>
      <w:bookmarkStart w:id="188" w:name="_Toc96523913"/>
    </w:p>
    <w:p>
      <w:pPr>
        <w:pStyle w:val="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格式18.</w:t>
      </w:r>
      <w:bookmarkStart w:id="189" w:name="_Toc348"/>
      <w:r>
        <w:rPr>
          <w:rFonts w:hint="eastAsia" w:ascii="宋体" w:hAnsi="宋体" w:eastAsia="宋体" w:cs="宋体"/>
          <w:color w:val="auto"/>
          <w:sz w:val="24"/>
          <w:szCs w:val="24"/>
          <w:highlight w:val="none"/>
        </w:rPr>
        <w:t>拟为本项目配置的人员情况表</w:t>
      </w:r>
      <w:bookmarkEnd w:id="188"/>
      <w:bookmarkEnd w:id="189"/>
      <w:r>
        <w:rPr>
          <w:rFonts w:hint="eastAsia" w:ascii="宋体" w:hAnsi="宋体" w:eastAsia="宋体" w:cs="宋体"/>
          <w:color w:val="auto"/>
          <w:sz w:val="24"/>
          <w:szCs w:val="24"/>
          <w:highlight w:val="none"/>
        </w:rPr>
        <w:t>/人员清单一览表</w:t>
      </w:r>
    </w:p>
    <w:p>
      <w:pPr>
        <w:pStyle w:val="65"/>
        <w:spacing w:line="360" w:lineRule="auto"/>
        <w:rPr>
          <w:rFonts w:ascii="宋体" w:hAnsi="宋体" w:cs="宋体"/>
          <w:b/>
          <w:color w:val="auto"/>
          <w:szCs w:val="21"/>
          <w:highlight w:val="none"/>
        </w:rPr>
      </w:pPr>
      <w:r>
        <w:rPr>
          <w:rFonts w:hint="eastAsia" w:ascii="宋体" w:hAnsi="宋体" w:cs="宋体"/>
          <w:b/>
          <w:color w:val="auto"/>
          <w:szCs w:val="21"/>
          <w:highlight w:val="none"/>
        </w:rPr>
        <w:t>附件1：拟为本项目配置的人员情况表</w:t>
      </w:r>
    </w:p>
    <w:tbl>
      <w:tblPr>
        <w:tblStyle w:val="33"/>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99"/>
        <w:gridCol w:w="988"/>
        <w:gridCol w:w="967"/>
        <w:gridCol w:w="932"/>
        <w:gridCol w:w="2348"/>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6"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99"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988"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年龄</w:t>
            </w:r>
          </w:p>
        </w:tc>
        <w:tc>
          <w:tcPr>
            <w:tcW w:w="967"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学历</w:t>
            </w:r>
          </w:p>
        </w:tc>
        <w:tc>
          <w:tcPr>
            <w:tcW w:w="932"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经验年限</w:t>
            </w:r>
          </w:p>
        </w:tc>
        <w:tc>
          <w:tcPr>
            <w:tcW w:w="2348"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主要资历、经验及承担过的项目</w:t>
            </w:r>
          </w:p>
        </w:tc>
        <w:tc>
          <w:tcPr>
            <w:tcW w:w="2357" w:type="dxa"/>
            <w:vAlign w:val="center"/>
          </w:tcPr>
          <w:p>
            <w:pPr>
              <w:spacing w:before="159" w:beforeLines="50" w:after="159"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拟在本项目担任的工作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46" w:type="dxa"/>
            <w:vAlign w:val="center"/>
          </w:tcPr>
          <w:p>
            <w:pPr>
              <w:spacing w:before="159" w:beforeLines="50" w:after="159" w:afterLines="50" w:line="360" w:lineRule="auto"/>
              <w:jc w:val="center"/>
              <w:rPr>
                <w:rFonts w:ascii="宋体" w:hAnsi="宋体" w:eastAsia="宋体" w:cs="宋体"/>
                <w:color w:val="auto"/>
                <w:highlight w:val="none"/>
              </w:rPr>
            </w:pPr>
          </w:p>
        </w:tc>
        <w:tc>
          <w:tcPr>
            <w:tcW w:w="999" w:type="dxa"/>
            <w:vAlign w:val="center"/>
          </w:tcPr>
          <w:p>
            <w:pPr>
              <w:spacing w:before="159" w:beforeLines="50" w:after="159" w:afterLines="50" w:line="360" w:lineRule="auto"/>
              <w:jc w:val="center"/>
              <w:rPr>
                <w:rFonts w:ascii="宋体" w:hAnsi="宋体" w:eastAsia="宋体" w:cs="宋体"/>
                <w:color w:val="auto"/>
                <w:highlight w:val="none"/>
              </w:rPr>
            </w:pPr>
          </w:p>
        </w:tc>
        <w:tc>
          <w:tcPr>
            <w:tcW w:w="988" w:type="dxa"/>
            <w:vAlign w:val="center"/>
          </w:tcPr>
          <w:p>
            <w:pPr>
              <w:spacing w:before="159" w:beforeLines="50" w:after="159" w:afterLines="50" w:line="360" w:lineRule="auto"/>
              <w:jc w:val="center"/>
              <w:rPr>
                <w:rFonts w:ascii="宋体" w:hAnsi="宋体" w:eastAsia="宋体" w:cs="宋体"/>
                <w:color w:val="auto"/>
                <w:highlight w:val="none"/>
              </w:rPr>
            </w:pPr>
          </w:p>
        </w:tc>
        <w:tc>
          <w:tcPr>
            <w:tcW w:w="967" w:type="dxa"/>
            <w:vAlign w:val="center"/>
          </w:tcPr>
          <w:p>
            <w:pPr>
              <w:spacing w:before="159" w:beforeLines="50" w:after="159" w:afterLines="50" w:line="360" w:lineRule="auto"/>
              <w:jc w:val="center"/>
              <w:rPr>
                <w:rFonts w:ascii="宋体" w:hAnsi="宋体" w:eastAsia="宋体" w:cs="宋体"/>
                <w:color w:val="auto"/>
                <w:highlight w:val="none"/>
              </w:rPr>
            </w:pPr>
          </w:p>
        </w:tc>
        <w:tc>
          <w:tcPr>
            <w:tcW w:w="932" w:type="dxa"/>
            <w:vAlign w:val="center"/>
          </w:tcPr>
          <w:p>
            <w:pPr>
              <w:spacing w:before="159" w:beforeLines="50" w:after="159" w:afterLines="50" w:line="360" w:lineRule="auto"/>
              <w:jc w:val="center"/>
              <w:rPr>
                <w:rFonts w:ascii="宋体" w:hAnsi="宋体" w:eastAsia="宋体" w:cs="宋体"/>
                <w:color w:val="auto"/>
                <w:highlight w:val="none"/>
              </w:rPr>
            </w:pPr>
          </w:p>
        </w:tc>
        <w:tc>
          <w:tcPr>
            <w:tcW w:w="2348" w:type="dxa"/>
            <w:vAlign w:val="center"/>
          </w:tcPr>
          <w:p>
            <w:pPr>
              <w:spacing w:before="159" w:beforeLines="50" w:after="159" w:afterLines="50" w:line="360" w:lineRule="auto"/>
              <w:jc w:val="center"/>
              <w:rPr>
                <w:rFonts w:ascii="宋体" w:hAnsi="宋体" w:eastAsia="宋体" w:cs="宋体"/>
                <w:color w:val="auto"/>
                <w:highlight w:val="none"/>
              </w:rPr>
            </w:pPr>
          </w:p>
        </w:tc>
        <w:tc>
          <w:tcPr>
            <w:tcW w:w="2357" w:type="dxa"/>
            <w:vAlign w:val="center"/>
          </w:tcPr>
          <w:p>
            <w:pPr>
              <w:spacing w:before="159" w:beforeLines="50" w:after="159" w:afterLines="50" w:line="360" w:lineRule="auto"/>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46" w:type="dxa"/>
            <w:vAlign w:val="center"/>
          </w:tcPr>
          <w:p>
            <w:pPr>
              <w:spacing w:before="159" w:beforeLines="50" w:after="159" w:afterLines="50" w:line="360" w:lineRule="auto"/>
              <w:jc w:val="center"/>
              <w:rPr>
                <w:rFonts w:ascii="宋体" w:hAnsi="宋体" w:eastAsia="宋体" w:cs="宋体"/>
                <w:color w:val="auto"/>
                <w:highlight w:val="none"/>
              </w:rPr>
            </w:pPr>
          </w:p>
        </w:tc>
        <w:tc>
          <w:tcPr>
            <w:tcW w:w="999" w:type="dxa"/>
            <w:vAlign w:val="center"/>
          </w:tcPr>
          <w:p>
            <w:pPr>
              <w:spacing w:before="159" w:beforeLines="50" w:after="159" w:afterLines="50" w:line="360" w:lineRule="auto"/>
              <w:jc w:val="center"/>
              <w:rPr>
                <w:rFonts w:ascii="宋体" w:hAnsi="宋体" w:eastAsia="宋体" w:cs="宋体"/>
                <w:color w:val="auto"/>
                <w:highlight w:val="none"/>
              </w:rPr>
            </w:pPr>
          </w:p>
        </w:tc>
        <w:tc>
          <w:tcPr>
            <w:tcW w:w="988" w:type="dxa"/>
            <w:vAlign w:val="center"/>
          </w:tcPr>
          <w:p>
            <w:pPr>
              <w:spacing w:before="159" w:beforeLines="50" w:after="159" w:afterLines="50" w:line="360" w:lineRule="auto"/>
              <w:jc w:val="center"/>
              <w:rPr>
                <w:rFonts w:ascii="宋体" w:hAnsi="宋体" w:eastAsia="宋体" w:cs="宋体"/>
                <w:color w:val="auto"/>
                <w:highlight w:val="none"/>
              </w:rPr>
            </w:pPr>
          </w:p>
        </w:tc>
        <w:tc>
          <w:tcPr>
            <w:tcW w:w="967" w:type="dxa"/>
            <w:vAlign w:val="center"/>
          </w:tcPr>
          <w:p>
            <w:pPr>
              <w:spacing w:before="159" w:beforeLines="50" w:after="159" w:afterLines="50" w:line="360" w:lineRule="auto"/>
              <w:jc w:val="center"/>
              <w:rPr>
                <w:rFonts w:ascii="宋体" w:hAnsi="宋体" w:eastAsia="宋体" w:cs="宋体"/>
                <w:color w:val="auto"/>
                <w:highlight w:val="none"/>
              </w:rPr>
            </w:pPr>
          </w:p>
        </w:tc>
        <w:tc>
          <w:tcPr>
            <w:tcW w:w="932" w:type="dxa"/>
            <w:vAlign w:val="center"/>
          </w:tcPr>
          <w:p>
            <w:pPr>
              <w:spacing w:before="159" w:beforeLines="50" w:after="159" w:afterLines="50" w:line="360" w:lineRule="auto"/>
              <w:jc w:val="center"/>
              <w:rPr>
                <w:rFonts w:ascii="宋体" w:hAnsi="宋体" w:eastAsia="宋体" w:cs="宋体"/>
                <w:color w:val="auto"/>
                <w:highlight w:val="none"/>
              </w:rPr>
            </w:pPr>
          </w:p>
        </w:tc>
        <w:tc>
          <w:tcPr>
            <w:tcW w:w="2348" w:type="dxa"/>
            <w:vAlign w:val="center"/>
          </w:tcPr>
          <w:p>
            <w:pPr>
              <w:spacing w:before="159" w:beforeLines="50" w:after="159" w:afterLines="50" w:line="360" w:lineRule="auto"/>
              <w:jc w:val="center"/>
              <w:rPr>
                <w:rFonts w:ascii="宋体" w:hAnsi="宋体" w:eastAsia="宋体" w:cs="宋体"/>
                <w:color w:val="auto"/>
                <w:highlight w:val="none"/>
              </w:rPr>
            </w:pPr>
          </w:p>
        </w:tc>
        <w:tc>
          <w:tcPr>
            <w:tcW w:w="2357" w:type="dxa"/>
            <w:vAlign w:val="center"/>
          </w:tcPr>
          <w:p>
            <w:pPr>
              <w:spacing w:before="159" w:beforeLines="50" w:after="159" w:afterLines="50" w:line="360" w:lineRule="auto"/>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46" w:type="dxa"/>
            <w:vAlign w:val="center"/>
          </w:tcPr>
          <w:p>
            <w:pPr>
              <w:spacing w:before="159" w:beforeLines="50" w:after="159" w:afterLines="50" w:line="360" w:lineRule="auto"/>
              <w:jc w:val="center"/>
              <w:rPr>
                <w:rFonts w:ascii="宋体" w:hAnsi="宋体" w:eastAsia="宋体" w:cs="宋体"/>
                <w:color w:val="auto"/>
                <w:highlight w:val="none"/>
              </w:rPr>
            </w:pPr>
          </w:p>
        </w:tc>
        <w:tc>
          <w:tcPr>
            <w:tcW w:w="999" w:type="dxa"/>
            <w:vAlign w:val="center"/>
          </w:tcPr>
          <w:p>
            <w:pPr>
              <w:spacing w:before="159" w:beforeLines="50" w:after="159" w:afterLines="50" w:line="360" w:lineRule="auto"/>
              <w:jc w:val="center"/>
              <w:rPr>
                <w:rFonts w:ascii="宋体" w:hAnsi="宋体" w:eastAsia="宋体" w:cs="宋体"/>
                <w:color w:val="auto"/>
                <w:highlight w:val="none"/>
              </w:rPr>
            </w:pPr>
          </w:p>
        </w:tc>
        <w:tc>
          <w:tcPr>
            <w:tcW w:w="988" w:type="dxa"/>
            <w:vAlign w:val="center"/>
          </w:tcPr>
          <w:p>
            <w:pPr>
              <w:spacing w:before="159" w:beforeLines="50" w:after="159" w:afterLines="50" w:line="360" w:lineRule="auto"/>
              <w:jc w:val="center"/>
              <w:rPr>
                <w:rFonts w:ascii="宋体" w:hAnsi="宋体" w:eastAsia="宋体" w:cs="宋体"/>
                <w:color w:val="auto"/>
                <w:highlight w:val="none"/>
              </w:rPr>
            </w:pPr>
          </w:p>
        </w:tc>
        <w:tc>
          <w:tcPr>
            <w:tcW w:w="967" w:type="dxa"/>
            <w:vAlign w:val="center"/>
          </w:tcPr>
          <w:p>
            <w:pPr>
              <w:spacing w:before="159" w:beforeLines="50" w:after="159" w:afterLines="50" w:line="360" w:lineRule="auto"/>
              <w:jc w:val="center"/>
              <w:rPr>
                <w:rFonts w:ascii="宋体" w:hAnsi="宋体" w:eastAsia="宋体" w:cs="宋体"/>
                <w:color w:val="auto"/>
                <w:highlight w:val="none"/>
              </w:rPr>
            </w:pPr>
          </w:p>
        </w:tc>
        <w:tc>
          <w:tcPr>
            <w:tcW w:w="932" w:type="dxa"/>
            <w:vAlign w:val="center"/>
          </w:tcPr>
          <w:p>
            <w:pPr>
              <w:spacing w:before="159" w:beforeLines="50" w:after="159" w:afterLines="50" w:line="360" w:lineRule="auto"/>
              <w:jc w:val="center"/>
              <w:rPr>
                <w:rFonts w:ascii="宋体" w:hAnsi="宋体" w:eastAsia="宋体" w:cs="宋体"/>
                <w:color w:val="auto"/>
                <w:highlight w:val="none"/>
              </w:rPr>
            </w:pPr>
          </w:p>
        </w:tc>
        <w:tc>
          <w:tcPr>
            <w:tcW w:w="2348" w:type="dxa"/>
            <w:vAlign w:val="center"/>
          </w:tcPr>
          <w:p>
            <w:pPr>
              <w:spacing w:before="159" w:beforeLines="50" w:after="159" w:afterLines="50" w:line="360" w:lineRule="auto"/>
              <w:jc w:val="center"/>
              <w:rPr>
                <w:rFonts w:ascii="宋体" w:hAnsi="宋体" w:eastAsia="宋体" w:cs="宋体"/>
                <w:color w:val="auto"/>
                <w:highlight w:val="none"/>
              </w:rPr>
            </w:pPr>
          </w:p>
        </w:tc>
        <w:tc>
          <w:tcPr>
            <w:tcW w:w="2357" w:type="dxa"/>
            <w:vAlign w:val="center"/>
          </w:tcPr>
          <w:p>
            <w:pPr>
              <w:spacing w:before="159" w:beforeLines="50" w:after="159" w:afterLines="50" w:line="360" w:lineRule="auto"/>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46" w:type="dxa"/>
            <w:vAlign w:val="center"/>
          </w:tcPr>
          <w:p>
            <w:pPr>
              <w:spacing w:before="159" w:beforeLines="50" w:after="159" w:afterLines="50" w:line="360" w:lineRule="auto"/>
              <w:jc w:val="center"/>
              <w:rPr>
                <w:rFonts w:ascii="宋体" w:hAnsi="宋体" w:eastAsia="宋体" w:cs="宋体"/>
                <w:color w:val="auto"/>
                <w:highlight w:val="none"/>
              </w:rPr>
            </w:pPr>
          </w:p>
        </w:tc>
        <w:tc>
          <w:tcPr>
            <w:tcW w:w="999" w:type="dxa"/>
            <w:vAlign w:val="center"/>
          </w:tcPr>
          <w:p>
            <w:pPr>
              <w:spacing w:before="159" w:beforeLines="50" w:after="159" w:afterLines="50" w:line="360" w:lineRule="auto"/>
              <w:jc w:val="center"/>
              <w:rPr>
                <w:rFonts w:ascii="宋体" w:hAnsi="宋体" w:eastAsia="宋体" w:cs="宋体"/>
                <w:color w:val="auto"/>
                <w:highlight w:val="none"/>
              </w:rPr>
            </w:pPr>
          </w:p>
        </w:tc>
        <w:tc>
          <w:tcPr>
            <w:tcW w:w="988" w:type="dxa"/>
            <w:vAlign w:val="center"/>
          </w:tcPr>
          <w:p>
            <w:pPr>
              <w:spacing w:before="159" w:beforeLines="50" w:after="159" w:afterLines="50" w:line="360" w:lineRule="auto"/>
              <w:jc w:val="center"/>
              <w:rPr>
                <w:rFonts w:ascii="宋体" w:hAnsi="宋体" w:eastAsia="宋体" w:cs="宋体"/>
                <w:color w:val="auto"/>
                <w:highlight w:val="none"/>
              </w:rPr>
            </w:pPr>
          </w:p>
        </w:tc>
        <w:tc>
          <w:tcPr>
            <w:tcW w:w="967" w:type="dxa"/>
            <w:vAlign w:val="center"/>
          </w:tcPr>
          <w:p>
            <w:pPr>
              <w:spacing w:before="159" w:beforeLines="50" w:after="159" w:afterLines="50" w:line="360" w:lineRule="auto"/>
              <w:jc w:val="center"/>
              <w:rPr>
                <w:rFonts w:ascii="宋体" w:hAnsi="宋体" w:eastAsia="宋体" w:cs="宋体"/>
                <w:color w:val="auto"/>
                <w:highlight w:val="none"/>
              </w:rPr>
            </w:pPr>
          </w:p>
        </w:tc>
        <w:tc>
          <w:tcPr>
            <w:tcW w:w="932" w:type="dxa"/>
            <w:vAlign w:val="center"/>
          </w:tcPr>
          <w:p>
            <w:pPr>
              <w:spacing w:before="159" w:beforeLines="50" w:after="159" w:afterLines="50" w:line="360" w:lineRule="auto"/>
              <w:jc w:val="center"/>
              <w:rPr>
                <w:rFonts w:ascii="宋体" w:hAnsi="宋体" w:eastAsia="宋体" w:cs="宋体"/>
                <w:color w:val="auto"/>
                <w:highlight w:val="none"/>
              </w:rPr>
            </w:pPr>
          </w:p>
        </w:tc>
        <w:tc>
          <w:tcPr>
            <w:tcW w:w="2348" w:type="dxa"/>
            <w:vAlign w:val="center"/>
          </w:tcPr>
          <w:p>
            <w:pPr>
              <w:spacing w:before="159" w:beforeLines="50" w:after="159" w:afterLines="50" w:line="360" w:lineRule="auto"/>
              <w:jc w:val="center"/>
              <w:rPr>
                <w:rFonts w:ascii="宋体" w:hAnsi="宋体" w:eastAsia="宋体" w:cs="宋体"/>
                <w:color w:val="auto"/>
                <w:highlight w:val="none"/>
              </w:rPr>
            </w:pPr>
          </w:p>
        </w:tc>
        <w:tc>
          <w:tcPr>
            <w:tcW w:w="2357" w:type="dxa"/>
            <w:vAlign w:val="center"/>
          </w:tcPr>
          <w:p>
            <w:pPr>
              <w:spacing w:before="159" w:beforeLines="50" w:after="159" w:afterLines="50" w:line="360" w:lineRule="auto"/>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46" w:type="dxa"/>
            <w:vAlign w:val="center"/>
          </w:tcPr>
          <w:p>
            <w:pPr>
              <w:spacing w:before="159" w:beforeLines="50" w:after="159" w:afterLines="50" w:line="360" w:lineRule="auto"/>
              <w:jc w:val="center"/>
              <w:rPr>
                <w:rFonts w:ascii="宋体" w:hAnsi="宋体" w:eastAsia="宋体" w:cs="宋体"/>
                <w:color w:val="auto"/>
                <w:highlight w:val="none"/>
              </w:rPr>
            </w:pPr>
          </w:p>
        </w:tc>
        <w:tc>
          <w:tcPr>
            <w:tcW w:w="999" w:type="dxa"/>
            <w:vAlign w:val="center"/>
          </w:tcPr>
          <w:p>
            <w:pPr>
              <w:spacing w:before="159" w:beforeLines="50" w:after="159" w:afterLines="50" w:line="360" w:lineRule="auto"/>
              <w:jc w:val="center"/>
              <w:rPr>
                <w:rFonts w:ascii="宋体" w:hAnsi="宋体" w:eastAsia="宋体" w:cs="宋体"/>
                <w:color w:val="auto"/>
                <w:highlight w:val="none"/>
              </w:rPr>
            </w:pPr>
          </w:p>
        </w:tc>
        <w:tc>
          <w:tcPr>
            <w:tcW w:w="988" w:type="dxa"/>
            <w:vAlign w:val="center"/>
          </w:tcPr>
          <w:p>
            <w:pPr>
              <w:spacing w:before="159" w:beforeLines="50" w:after="159" w:afterLines="50" w:line="360" w:lineRule="auto"/>
              <w:jc w:val="center"/>
              <w:rPr>
                <w:rFonts w:ascii="宋体" w:hAnsi="宋体" w:eastAsia="宋体" w:cs="宋体"/>
                <w:color w:val="auto"/>
                <w:highlight w:val="none"/>
              </w:rPr>
            </w:pPr>
          </w:p>
        </w:tc>
        <w:tc>
          <w:tcPr>
            <w:tcW w:w="967" w:type="dxa"/>
            <w:vAlign w:val="center"/>
          </w:tcPr>
          <w:p>
            <w:pPr>
              <w:spacing w:before="159" w:beforeLines="50" w:after="159" w:afterLines="50" w:line="360" w:lineRule="auto"/>
              <w:jc w:val="center"/>
              <w:rPr>
                <w:rFonts w:ascii="宋体" w:hAnsi="宋体" w:eastAsia="宋体" w:cs="宋体"/>
                <w:color w:val="auto"/>
                <w:highlight w:val="none"/>
              </w:rPr>
            </w:pPr>
          </w:p>
        </w:tc>
        <w:tc>
          <w:tcPr>
            <w:tcW w:w="932" w:type="dxa"/>
            <w:vAlign w:val="center"/>
          </w:tcPr>
          <w:p>
            <w:pPr>
              <w:spacing w:before="159" w:beforeLines="50" w:after="159" w:afterLines="50" w:line="360" w:lineRule="auto"/>
              <w:jc w:val="center"/>
              <w:rPr>
                <w:rFonts w:ascii="宋体" w:hAnsi="宋体" w:eastAsia="宋体" w:cs="宋体"/>
                <w:color w:val="auto"/>
                <w:highlight w:val="none"/>
              </w:rPr>
            </w:pPr>
          </w:p>
        </w:tc>
        <w:tc>
          <w:tcPr>
            <w:tcW w:w="2348" w:type="dxa"/>
            <w:vAlign w:val="center"/>
          </w:tcPr>
          <w:p>
            <w:pPr>
              <w:spacing w:before="159" w:beforeLines="50" w:after="159" w:afterLines="50" w:line="360" w:lineRule="auto"/>
              <w:jc w:val="center"/>
              <w:rPr>
                <w:rFonts w:ascii="宋体" w:hAnsi="宋体" w:eastAsia="宋体" w:cs="宋体"/>
                <w:color w:val="auto"/>
                <w:highlight w:val="none"/>
              </w:rPr>
            </w:pPr>
          </w:p>
        </w:tc>
        <w:tc>
          <w:tcPr>
            <w:tcW w:w="2357" w:type="dxa"/>
            <w:vAlign w:val="center"/>
          </w:tcPr>
          <w:p>
            <w:pPr>
              <w:spacing w:before="159" w:beforeLines="50" w:after="159" w:afterLines="50" w:line="360" w:lineRule="auto"/>
              <w:jc w:val="center"/>
              <w:rPr>
                <w:rFonts w:ascii="宋体" w:hAnsi="宋体" w:eastAsia="宋体" w:cs="宋体"/>
                <w:color w:val="auto"/>
                <w:highlight w:val="none"/>
              </w:rPr>
            </w:pPr>
          </w:p>
        </w:tc>
      </w:tr>
    </w:tbl>
    <w:p>
      <w:pPr>
        <w:spacing w:line="360" w:lineRule="auto"/>
        <w:ind w:left="748" w:hanging="567"/>
        <w:rPr>
          <w:rFonts w:ascii="宋体" w:hAnsi="宋体" w:eastAsia="宋体" w:cs="宋体"/>
          <w:color w:val="auto"/>
          <w:szCs w:val="21"/>
          <w:highlight w:val="none"/>
        </w:rPr>
      </w:pPr>
    </w:p>
    <w:p>
      <w:pPr>
        <w:pStyle w:val="6"/>
        <w:spacing w:before="156" w:after="156" w:line="400" w:lineRule="exact"/>
        <w:ind w:left="158" w:leftChars="75" w:firstLine="0"/>
        <w:rPr>
          <w:rFonts w:ascii="宋体" w:hAnsi="宋体" w:eastAsia="宋体" w:cs="宋体"/>
          <w:color w:val="auto"/>
          <w:kern w:val="0"/>
          <w:szCs w:val="21"/>
          <w:highlight w:val="none"/>
        </w:rPr>
      </w:pPr>
      <w:r>
        <w:rPr>
          <w:rFonts w:hint="eastAsia" w:ascii="宋体" w:hAnsi="宋体" w:eastAsia="宋体" w:cs="宋体"/>
          <w:color w:val="auto"/>
          <w:szCs w:val="21"/>
          <w:highlight w:val="none"/>
        </w:rPr>
        <w:t>注：提供聘用合同和拟投入人员身份证复印件并加盖投标人公章、投入团队人员工作方案。</w:t>
      </w:r>
    </w:p>
    <w:p>
      <w:pPr>
        <w:pStyle w:val="17"/>
        <w:spacing w:before="159" w:beforeLines="50" w:after="159" w:afterLines="50" w:line="360" w:lineRule="auto"/>
        <w:rPr>
          <w:rFonts w:hAnsi="宋体" w:eastAsia="宋体" w:cs="宋体"/>
          <w:color w:val="auto"/>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投标人法定代表人或其委托人签字或印鉴：</w:t>
      </w:r>
    </w:p>
    <w:p>
      <w:pPr>
        <w:spacing w:line="360" w:lineRule="auto"/>
        <w:ind w:left="748" w:hanging="567"/>
        <w:rPr>
          <w:rFonts w:ascii="宋体" w:hAnsi="宋体" w:eastAsia="宋体" w:cs="宋体"/>
          <w:color w:val="auto"/>
          <w:szCs w:val="21"/>
          <w:highlight w:val="none"/>
        </w:rPr>
      </w:pPr>
    </w:p>
    <w:p>
      <w:pPr>
        <w:spacing w:line="360" w:lineRule="auto"/>
        <w:ind w:left="748" w:hanging="567"/>
        <w:rPr>
          <w:color w:val="auto"/>
          <w:highlight w:val="none"/>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color w:val="auto"/>
          <w:szCs w:val="21"/>
          <w:highlight w:val="none"/>
        </w:rPr>
        <w:t>日期：</w:t>
      </w:r>
    </w:p>
    <w:p>
      <w:pPr>
        <w:spacing w:line="360" w:lineRule="auto"/>
        <w:ind w:left="748" w:hanging="567"/>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rPr>
        <w:t>2</w:t>
      </w:r>
      <w:r>
        <w:rPr>
          <w:rFonts w:hint="eastAsia" w:ascii="宋体" w:hAnsi="宋体" w:eastAsia="宋体" w:cs="宋体"/>
          <w:b/>
          <w:color w:val="auto"/>
          <w:szCs w:val="21"/>
          <w:highlight w:val="none"/>
        </w:rPr>
        <w:t>：投入团队人员工作方案</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如有</w:t>
      </w:r>
      <w:r>
        <w:rPr>
          <w:rFonts w:hint="eastAsia" w:ascii="宋体" w:hAnsi="宋体" w:eastAsia="宋体" w:cs="宋体"/>
          <w:b/>
          <w:color w:val="auto"/>
          <w:szCs w:val="21"/>
          <w:highlight w:val="none"/>
          <w:lang w:eastAsia="zh-CN"/>
        </w:rPr>
        <w:t>）</w:t>
      </w:r>
    </w:p>
    <w:p>
      <w:pPr>
        <w:spacing w:line="360" w:lineRule="auto"/>
        <w:ind w:left="748" w:hanging="567"/>
        <w:rPr>
          <w:rFonts w:ascii="宋体" w:hAnsi="宋体" w:eastAsia="宋体" w:cs="宋体"/>
          <w:b/>
          <w:color w:val="auto"/>
          <w:szCs w:val="21"/>
          <w:highlight w:val="none"/>
        </w:rPr>
      </w:pPr>
    </w:p>
    <w:p>
      <w:pPr>
        <w:spacing w:line="360" w:lineRule="auto"/>
        <w:ind w:left="748" w:hanging="567"/>
        <w:jc w:val="center"/>
        <w:rPr>
          <w:rFonts w:ascii="宋体" w:hAnsi="宋体" w:eastAsia="宋体" w:cs="宋体"/>
          <w:b/>
          <w:bCs/>
          <w:color w:val="auto"/>
          <w:highlight w:val="none"/>
        </w:rPr>
      </w:pPr>
      <w:r>
        <w:rPr>
          <w:rFonts w:hint="eastAsia" w:ascii="宋体" w:hAnsi="宋体" w:eastAsia="宋体" w:cs="宋体"/>
          <w:b/>
          <w:color w:val="auto"/>
          <w:szCs w:val="21"/>
          <w:highlight w:val="none"/>
        </w:rPr>
        <w:t>工作方案</w:t>
      </w:r>
      <w:r>
        <w:rPr>
          <w:rFonts w:hint="eastAsia" w:ascii="宋体" w:hAnsi="宋体" w:eastAsia="宋体" w:cs="宋体"/>
          <w:b/>
          <w:bCs/>
          <w:color w:val="auto"/>
          <w:highlight w:val="none"/>
        </w:rPr>
        <w:t>格式自定</w:t>
      </w: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投标人法定代表人或其委托人签字或印鉴：</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spacing w:line="360" w:lineRule="auto"/>
        <w:ind w:left="748" w:hanging="567"/>
        <w:rPr>
          <w:rFonts w:ascii="宋体" w:hAnsi="宋体" w:eastAsia="宋体" w:cs="宋体"/>
          <w:color w:val="auto"/>
          <w:sz w:val="24"/>
          <w:highlight w:val="none"/>
        </w:rPr>
      </w:pPr>
      <w:r>
        <w:rPr>
          <w:rFonts w:hint="eastAsia" w:ascii="宋体" w:hAnsi="宋体" w:eastAsia="宋体" w:cs="宋体"/>
          <w:color w:val="auto"/>
          <w:highlight w:val="none"/>
        </w:rPr>
        <w:br w:type="page"/>
      </w:r>
      <w:bookmarkStart w:id="190" w:name="_Toc96523914"/>
      <w:r>
        <w:rPr>
          <w:rFonts w:hint="eastAsia" w:ascii="宋体" w:hAnsi="宋体" w:eastAsia="宋体" w:cs="宋体"/>
          <w:b/>
          <w:bCs/>
          <w:color w:val="auto"/>
          <w:sz w:val="24"/>
          <w:highlight w:val="none"/>
        </w:rPr>
        <w:t>格式19.</w:t>
      </w:r>
      <w:bookmarkStart w:id="191" w:name="_Toc29007"/>
      <w:r>
        <w:rPr>
          <w:rFonts w:hint="eastAsia" w:ascii="宋体" w:hAnsi="宋体" w:eastAsia="宋体" w:cs="宋体"/>
          <w:b/>
          <w:bCs/>
          <w:color w:val="auto"/>
          <w:sz w:val="24"/>
          <w:highlight w:val="none"/>
        </w:rPr>
        <w:t>类似项目业绩一览表</w:t>
      </w:r>
      <w:bookmarkEnd w:id="190"/>
      <w:bookmarkEnd w:id="191"/>
    </w:p>
    <w:p>
      <w:pPr>
        <w:pStyle w:val="65"/>
        <w:jc w:val="center"/>
        <w:rPr>
          <w:rFonts w:ascii="宋体" w:hAnsi="宋体" w:cs="宋体"/>
          <w:color w:val="auto"/>
          <w:highlight w:val="none"/>
        </w:rPr>
      </w:pPr>
      <w:r>
        <w:rPr>
          <w:rFonts w:hint="eastAsia" w:ascii="宋体" w:hAnsi="宋体" w:cs="宋体"/>
          <w:color w:val="auto"/>
          <w:highlight w:val="none"/>
        </w:rPr>
        <w:t>类似项目业绩一览表</w:t>
      </w:r>
    </w:p>
    <w:tbl>
      <w:tblPr>
        <w:tblStyle w:val="3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3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3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3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23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验收情况</w:t>
            </w:r>
          </w:p>
        </w:tc>
        <w:tc>
          <w:tcPr>
            <w:tcW w:w="1236"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业主单位</w:t>
            </w:r>
          </w:p>
        </w:tc>
        <w:tc>
          <w:tcPr>
            <w:tcW w:w="2160" w:type="dxa"/>
          </w:tcPr>
          <w:p>
            <w:pPr>
              <w:spacing w:before="156" w:after="156"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21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21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2160" w:type="dxa"/>
          </w:tcPr>
          <w:p>
            <w:pPr>
              <w:spacing w:before="156" w:after="156" w:line="40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1236" w:type="dxa"/>
          </w:tcPr>
          <w:p>
            <w:pPr>
              <w:spacing w:before="156" w:after="156" w:line="400" w:lineRule="exact"/>
              <w:rPr>
                <w:rFonts w:ascii="宋体" w:hAnsi="宋体" w:eastAsia="宋体" w:cs="宋体"/>
                <w:color w:val="auto"/>
                <w:szCs w:val="21"/>
                <w:highlight w:val="none"/>
              </w:rPr>
            </w:pPr>
          </w:p>
        </w:tc>
        <w:tc>
          <w:tcPr>
            <w:tcW w:w="2160" w:type="dxa"/>
          </w:tcPr>
          <w:p>
            <w:pPr>
              <w:spacing w:before="156" w:after="156" w:line="400" w:lineRule="exact"/>
              <w:rPr>
                <w:rFonts w:ascii="宋体" w:hAnsi="宋体" w:eastAsia="宋体" w:cs="宋体"/>
                <w:color w:val="auto"/>
                <w:szCs w:val="21"/>
                <w:highlight w:val="none"/>
              </w:rPr>
            </w:pPr>
          </w:p>
        </w:tc>
      </w:tr>
    </w:tbl>
    <w:p>
      <w:pPr>
        <w:spacing w:before="156" w:after="156"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（此表可延长）</w:t>
      </w:r>
    </w:p>
    <w:p>
      <w:pPr>
        <w:spacing w:before="156" w:after="156" w:line="360" w:lineRule="auto"/>
        <w:ind w:left="315" w:leftChars="150"/>
        <w:rPr>
          <w:rFonts w:ascii="宋体" w:hAnsi="宋体" w:eastAsia="宋体" w:cs="宋体"/>
          <w:color w:val="auto"/>
          <w:highlight w:val="none"/>
        </w:rPr>
      </w:pPr>
      <w:r>
        <w:rPr>
          <w:rFonts w:hint="eastAsia" w:ascii="宋体" w:hAnsi="宋体" w:eastAsia="宋体" w:cs="宋体"/>
          <w:color w:val="auto"/>
          <w:highlight w:val="none"/>
        </w:rPr>
        <w:t>注：需提供合同复印件。</w:t>
      </w:r>
    </w:p>
    <w:p>
      <w:pPr>
        <w:spacing w:before="156" w:after="156" w:line="360" w:lineRule="auto"/>
        <w:ind w:left="315" w:leftChars="150"/>
        <w:rPr>
          <w:rFonts w:ascii="宋体" w:hAnsi="宋体" w:eastAsia="宋体" w:cs="宋体"/>
          <w:color w:val="auto"/>
          <w:szCs w:val="21"/>
          <w:highlight w:val="none"/>
        </w:rPr>
      </w:pPr>
    </w:p>
    <w:p>
      <w:pPr>
        <w:spacing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315" w:leftChars="150"/>
        <w:rPr>
          <w:rFonts w:ascii="宋体" w:hAnsi="宋体" w:eastAsia="宋体" w:cs="宋体"/>
          <w:color w:val="auto"/>
          <w:szCs w:val="21"/>
          <w:highlight w:val="none"/>
        </w:rPr>
      </w:pPr>
    </w:p>
    <w:p>
      <w:pPr>
        <w:spacing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ind w:left="315" w:leftChars="150"/>
        <w:rPr>
          <w:rFonts w:ascii="宋体" w:hAnsi="宋体" w:eastAsia="宋体" w:cs="宋体"/>
          <w:color w:val="auto"/>
          <w:szCs w:val="21"/>
          <w:highlight w:val="none"/>
        </w:rPr>
      </w:pPr>
    </w:p>
    <w:p>
      <w:pPr>
        <w:spacing w:before="156" w:after="156"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6"/>
        <w:ind w:firstLine="0"/>
        <w:rPr>
          <w:rFonts w:ascii="宋体" w:hAnsi="宋体" w:eastAsia="宋体" w:cs="宋体"/>
          <w:color w:val="auto"/>
          <w:highlight w:val="none"/>
        </w:rPr>
      </w:pPr>
    </w:p>
    <w:p>
      <w:pPr>
        <w:pStyle w:val="7"/>
        <w:jc w:val="left"/>
        <w:rPr>
          <w:rFonts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92" w:name="_Toc96523915"/>
      <w:r>
        <w:rPr>
          <w:rFonts w:hint="eastAsia" w:ascii="宋体" w:hAnsi="宋体" w:eastAsia="宋体" w:cs="宋体"/>
          <w:color w:val="auto"/>
          <w:sz w:val="24"/>
          <w:szCs w:val="24"/>
          <w:highlight w:val="none"/>
        </w:rPr>
        <w:t>格式20.</w:t>
      </w:r>
      <w:bookmarkStart w:id="193" w:name="_Toc6596"/>
      <w:r>
        <w:rPr>
          <w:rFonts w:hint="eastAsia" w:ascii="宋体" w:hAnsi="宋体" w:eastAsia="宋体" w:cs="宋体"/>
          <w:color w:val="auto"/>
          <w:sz w:val="24"/>
          <w:szCs w:val="24"/>
          <w:highlight w:val="none"/>
        </w:rPr>
        <w:t>投标保证金退还说明</w:t>
      </w:r>
      <w:bookmarkEnd w:id="192"/>
      <w:bookmarkEnd w:id="193"/>
    </w:p>
    <w:p>
      <w:pPr>
        <w:pStyle w:val="18"/>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致：（采购人或采购代理机构）</w:t>
      </w:r>
    </w:p>
    <w:p>
      <w:pPr>
        <w:spacing w:line="360" w:lineRule="auto"/>
        <w:ind w:firstLine="567" w:firstLineChars="270"/>
        <w:rPr>
          <w:rFonts w:ascii="宋体" w:hAnsi="宋体" w:eastAsia="宋体" w:cs="宋体"/>
          <w:color w:val="auto"/>
          <w:szCs w:val="21"/>
          <w:highlight w:val="none"/>
        </w:rPr>
      </w:pPr>
      <w:r>
        <w:rPr>
          <w:rFonts w:hint="eastAsia" w:ascii="宋体" w:hAnsi="宋体" w:eastAsia="宋体" w:cs="宋体"/>
          <w:color w:val="auto"/>
          <w:szCs w:val="21"/>
          <w:highlight w:val="none"/>
        </w:rPr>
        <w:t>我方为</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（项目编号：）投标所提交的投标保证金元，请贵公司退还时划到下列</w:t>
      </w:r>
      <w:r>
        <w:rPr>
          <w:rFonts w:hint="eastAsia" w:ascii="宋体" w:hAnsi="宋体" w:eastAsia="宋体" w:cs="宋体"/>
          <w:color w:val="auto"/>
          <w:highlight w:val="none"/>
        </w:rPr>
        <w:t>账户</w:t>
      </w:r>
      <w:r>
        <w:rPr>
          <w:rFonts w:hint="eastAsia" w:ascii="宋体" w:hAnsi="宋体" w:eastAsia="宋体" w:cs="宋体"/>
          <w:color w:val="auto"/>
          <w:szCs w:val="21"/>
          <w:highlight w:val="none"/>
        </w:rPr>
        <w:t>：</w:t>
      </w:r>
    </w:p>
    <w:p>
      <w:pPr>
        <w:pStyle w:val="6"/>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收款单位：</w:t>
      </w:r>
    </w:p>
    <w:p>
      <w:pPr>
        <w:pStyle w:val="6"/>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pPr>
        <w:pStyle w:val="6"/>
        <w:spacing w:line="360" w:lineRule="auto"/>
        <w:rPr>
          <w:rFonts w:ascii="宋体" w:hAnsi="宋体" w:eastAsia="宋体" w:cs="宋体"/>
          <w:color w:val="auto"/>
          <w:szCs w:val="21"/>
          <w:highlight w:val="none"/>
        </w:rPr>
      </w:pPr>
      <w:r>
        <w:rPr>
          <w:rFonts w:hint="eastAsia" w:ascii="宋体" w:hAnsi="宋体" w:eastAsia="宋体" w:cs="宋体"/>
          <w:color w:val="auto"/>
          <w:highlight w:val="none"/>
        </w:rPr>
        <w:t>账号</w:t>
      </w:r>
      <w:r>
        <w:rPr>
          <w:rFonts w:hint="eastAsia" w:ascii="宋体" w:hAnsi="宋体" w:eastAsia="宋体" w:cs="宋体"/>
          <w:color w:val="auto"/>
          <w:szCs w:val="21"/>
          <w:highlight w:val="none"/>
        </w:rPr>
        <w:t>：</w:t>
      </w:r>
    </w:p>
    <w:p>
      <w:pPr>
        <w:pStyle w:val="6"/>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联系人：</w:t>
      </w:r>
    </w:p>
    <w:p>
      <w:pPr>
        <w:pStyle w:val="6"/>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pStyle w:val="6"/>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pPr>
        <w:spacing w:line="360" w:lineRule="auto"/>
        <w:ind w:left="748" w:hanging="567"/>
        <w:rPr>
          <w:rFonts w:ascii="宋体" w:hAnsi="宋体" w:eastAsia="宋体" w:cs="宋体"/>
          <w:color w:val="auto"/>
          <w:szCs w:val="21"/>
          <w:highlight w:val="none"/>
        </w:rPr>
      </w:pPr>
    </w:p>
    <w:p>
      <w:pPr>
        <w:spacing w:line="360" w:lineRule="auto"/>
        <w:ind w:left="748" w:hanging="567"/>
        <w:rPr>
          <w:rFonts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投标人法定代表人或其委托人签字或印鉴：</w:t>
      </w:r>
    </w:p>
    <w:p>
      <w:pPr>
        <w:spacing w:line="360" w:lineRule="auto"/>
        <w:ind w:left="748" w:hanging="567"/>
        <w:rPr>
          <w:rFonts w:ascii="宋体" w:hAnsi="宋体" w:eastAsia="宋体" w:cs="宋体"/>
          <w:color w:val="auto"/>
          <w:szCs w:val="21"/>
          <w:highlight w:val="none"/>
        </w:rPr>
      </w:pPr>
    </w:p>
    <w:p>
      <w:pPr>
        <w:spacing w:line="360" w:lineRule="auto"/>
        <w:ind w:firstLine="210" w:firstLineChars="1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pPr>
        <w:rPr>
          <w:rFonts w:ascii="宋体" w:hAnsi="宋体" w:eastAsia="宋体" w:cs="宋体"/>
          <w:color w:val="auto"/>
          <w:highlight w:val="none"/>
        </w:rPr>
      </w:pPr>
    </w:p>
    <w:p>
      <w:pPr>
        <w:pStyle w:val="7"/>
        <w:rPr>
          <w:rFonts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94" w:name="_Toc96523916"/>
      <w:r>
        <w:rPr>
          <w:rFonts w:hint="eastAsia" w:ascii="宋体" w:hAnsi="宋体" w:eastAsia="宋体" w:cs="宋体"/>
          <w:color w:val="auto"/>
          <w:sz w:val="24"/>
          <w:szCs w:val="24"/>
          <w:highlight w:val="none"/>
        </w:rPr>
        <w:t>格式21.</w:t>
      </w:r>
      <w:bookmarkStart w:id="195" w:name="_Toc9833"/>
      <w:r>
        <w:rPr>
          <w:rFonts w:hint="eastAsia" w:ascii="宋体" w:hAnsi="宋体" w:eastAsia="宋体" w:cs="宋体"/>
          <w:color w:val="auto"/>
          <w:sz w:val="24"/>
          <w:szCs w:val="24"/>
          <w:highlight w:val="none"/>
        </w:rPr>
        <w:t>投标保函（已通过支票、汇票、本票、网上银行转账方式提交保证金的按“投标人须知表”要求提交相关材料，无需提供投标保函）</w:t>
      </w:r>
      <w:bookmarkEnd w:id="194"/>
      <w:bookmarkEnd w:id="195"/>
    </w:p>
    <w:p>
      <w:pPr>
        <w:pStyle w:val="6"/>
        <w:adjustRightInd w:val="0"/>
        <w:snapToGrid w:val="0"/>
        <w:ind w:firstLine="0"/>
        <w:rPr>
          <w:rFonts w:ascii="宋体" w:hAnsi="宋体" w:eastAsia="宋体" w:cs="宋体"/>
          <w:color w:val="auto"/>
          <w:szCs w:val="21"/>
          <w:highlight w:val="none"/>
        </w:rPr>
      </w:pPr>
      <w:r>
        <w:rPr>
          <w:rFonts w:hint="eastAsia" w:ascii="宋体" w:hAnsi="宋体" w:eastAsia="宋体" w:cs="宋体"/>
          <w:color w:val="auto"/>
          <w:szCs w:val="21"/>
          <w:highlight w:val="none"/>
        </w:rPr>
        <w:t>开具日期：年月日</w:t>
      </w:r>
    </w:p>
    <w:p>
      <w:pPr>
        <w:pStyle w:val="2"/>
        <w:jc w:val="right"/>
        <w:rPr>
          <w:rFonts w:ascii="宋体" w:hAnsi="宋体" w:eastAsia="宋体" w:cs="宋体"/>
          <w:color w:val="auto"/>
          <w:szCs w:val="21"/>
          <w:highlight w:val="none"/>
        </w:rPr>
      </w:pPr>
      <w:r>
        <w:rPr>
          <w:rFonts w:hint="eastAsia" w:ascii="宋体" w:hAnsi="宋体" w:eastAsia="宋体" w:cs="宋体"/>
          <w:color w:val="auto"/>
          <w:szCs w:val="21"/>
          <w:highlight w:val="none"/>
        </w:rPr>
        <w:t>不可撤销保函第号</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color w:val="auto"/>
          <w:szCs w:val="21"/>
          <w:highlight w:val="none"/>
        </w:rPr>
        <w:t>XXX采购人</w:t>
      </w:r>
    </w:p>
    <w:p>
      <w:pPr>
        <w:spacing w:line="360" w:lineRule="auto"/>
        <w:ind w:firstLine="420" w:firstLineChars="200"/>
        <w:jc w:val="distribute"/>
        <w:rPr>
          <w:rFonts w:ascii="宋体" w:hAnsi="宋体" w:eastAsia="宋体" w:cs="宋体"/>
          <w:color w:val="auto"/>
          <w:szCs w:val="21"/>
          <w:highlight w:val="none"/>
        </w:rPr>
      </w:pPr>
      <w:r>
        <w:rPr>
          <w:rFonts w:hint="eastAsia" w:ascii="宋体" w:hAnsi="宋体" w:eastAsia="宋体" w:cs="宋体"/>
          <w:color w:val="auto"/>
          <w:szCs w:val="21"/>
          <w:highlight w:val="none"/>
        </w:rPr>
        <w:t>本保函作为</w:t>
      </w:r>
      <w:r>
        <w:rPr>
          <w:rFonts w:hint="eastAsia" w:ascii="宋体" w:hAnsi="宋体" w:eastAsia="宋体" w:cs="宋体"/>
          <w:i/>
          <w:color w:val="auto"/>
          <w:szCs w:val="21"/>
          <w:highlight w:val="none"/>
          <w:u w:val="single"/>
        </w:rPr>
        <w:t>(投标供应商名称)</w:t>
      </w:r>
      <w:r>
        <w:rPr>
          <w:rFonts w:hint="eastAsia" w:ascii="宋体" w:hAnsi="宋体" w:eastAsia="宋体" w:cs="宋体"/>
          <w:color w:val="auto"/>
          <w:szCs w:val="21"/>
          <w:highlight w:val="none"/>
        </w:rPr>
        <w:t>（以下简称投标供应商)响应采购项目编号的采购项目的招标公告提供的投标保证金，</w:t>
      </w:r>
      <w:r>
        <w:rPr>
          <w:rFonts w:hint="eastAsia" w:ascii="宋体" w:hAnsi="宋体" w:eastAsia="宋体" w:cs="宋体"/>
          <w:color w:val="auto"/>
          <w:szCs w:val="21"/>
          <w:highlight w:val="none"/>
          <w:u w:val="single"/>
        </w:rPr>
        <w:t>（</w:t>
      </w:r>
      <w:r>
        <w:rPr>
          <w:rFonts w:hint="eastAsia" w:ascii="宋体" w:hAnsi="宋体" w:eastAsia="宋体" w:cs="宋体"/>
          <w:i/>
          <w:color w:val="auto"/>
          <w:szCs w:val="21"/>
          <w:highlight w:val="none"/>
          <w:u w:val="single"/>
        </w:rPr>
        <w:t>开具银行名称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在此无条件及不可撤销地具结保证并承诺，本行或其后继者或受让人一旦收到贵方提出的下述任何一种情况的书面通知（贵方不需要说明理由，不需要提供证明），立即无条件地向贵方支付人民币（大写）元整[保证金金额]（（小写）¥元）：</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1.从开标之日起到投标有效期满前，投标供应商撤回投标；</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2.投标供应商未能按中标通知书的要求与采购人签订合同；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3.投标供应商未能及时按招标文件及中标通知书的要求交纳中标服务费；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4.中标供应商未能按《投标供应商须知》的要求在规定期限内提交履约保证金。</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自出具之日起至该投标有效期满后30天内持续有效，除非贵方提前终止或解除本保函。如果贵方和投标供应商同意需延长本保函有效期，只需在到期日前书面通知本行，本保函在任何延长的有效期内保持有效。本保函适用于中华人民共和国法律并按其进行解释。</w:t>
      </w:r>
    </w:p>
    <w:p>
      <w:pPr>
        <w:pStyle w:val="6"/>
        <w:adjustRightInd w:val="0"/>
        <w:snapToGrid w:val="0"/>
        <w:rPr>
          <w:rFonts w:ascii="宋体" w:hAnsi="宋体" w:eastAsia="宋体" w:cs="宋体"/>
          <w:color w:val="auto"/>
          <w:szCs w:val="21"/>
          <w:highlight w:val="none"/>
        </w:rPr>
      </w:pPr>
    </w:p>
    <w:p>
      <w:pPr>
        <w:pStyle w:val="6"/>
        <w:adjustRightInd w:val="0"/>
        <w:snapToGrid w:val="0"/>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银行名称（打印）(公章)：</w:t>
      </w:r>
    </w:p>
    <w:p>
      <w:pPr>
        <w:pStyle w:val="2"/>
        <w:rPr>
          <w:rFonts w:ascii="宋体" w:hAnsi="宋体" w:eastAsia="宋体" w:cs="宋体"/>
          <w:color w:val="auto"/>
          <w:szCs w:val="21"/>
          <w:highlight w:val="none"/>
        </w:rPr>
      </w:pPr>
      <w:r>
        <w:rPr>
          <w:rFonts w:hint="eastAsia" w:ascii="宋体" w:hAnsi="宋体" w:eastAsia="宋体" w:cs="宋体"/>
          <w:color w:val="auto"/>
          <w:szCs w:val="21"/>
          <w:highlight w:val="none"/>
        </w:rPr>
        <w:t>银行地址：邮政编码：</w:t>
      </w:r>
    </w:p>
    <w:p>
      <w:pPr>
        <w:pStyle w:val="2"/>
        <w:rPr>
          <w:rFonts w:ascii="宋体" w:hAnsi="宋体" w:eastAsia="宋体" w:cs="宋体"/>
          <w:color w:val="auto"/>
          <w:szCs w:val="21"/>
          <w:highlight w:val="none"/>
        </w:rPr>
      </w:pPr>
      <w:r>
        <w:rPr>
          <w:rFonts w:hint="eastAsia" w:ascii="宋体" w:hAnsi="宋体" w:eastAsia="宋体" w:cs="宋体"/>
          <w:color w:val="auto"/>
          <w:szCs w:val="21"/>
          <w:highlight w:val="none"/>
        </w:rPr>
        <w:t>联系电话：传真号：</w:t>
      </w:r>
    </w:p>
    <w:p>
      <w:pPr>
        <w:pStyle w:val="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法定代表人或其授权的代理人亲笔签字：</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法定代表人或其授权的代理人姓名和职务（打印）：姓名职务</w:t>
      </w:r>
    </w:p>
    <w:p>
      <w:pPr>
        <w:pStyle w:val="6"/>
        <w:ind w:firstLine="0"/>
        <w:rPr>
          <w:rFonts w:ascii="宋体" w:hAnsi="宋体" w:eastAsia="宋体" w:cs="宋体"/>
          <w:color w:val="auto"/>
          <w:szCs w:val="24"/>
          <w:highlight w:val="none"/>
        </w:rPr>
      </w:pPr>
    </w:p>
    <w:p>
      <w:pPr>
        <w:pStyle w:val="6"/>
        <w:ind w:firstLine="0"/>
        <w:rPr>
          <w:rFonts w:ascii="宋体" w:hAnsi="宋体" w:eastAsia="宋体" w:cs="宋体"/>
          <w:color w:val="auto"/>
          <w:szCs w:val="24"/>
          <w:highlight w:val="none"/>
        </w:rPr>
      </w:pPr>
    </w:p>
    <w:p>
      <w:pPr>
        <w:pStyle w:val="7"/>
        <w:rPr>
          <w:rFonts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96" w:name="_Toc96523917"/>
      <w:r>
        <w:rPr>
          <w:rFonts w:hint="eastAsia" w:ascii="宋体" w:hAnsi="宋体" w:eastAsia="宋体" w:cs="宋体"/>
          <w:color w:val="auto"/>
          <w:sz w:val="24"/>
          <w:szCs w:val="24"/>
          <w:highlight w:val="none"/>
        </w:rPr>
        <w:t>格式22.</w:t>
      </w:r>
      <w:bookmarkStart w:id="197" w:name="_Toc24993"/>
      <w:r>
        <w:rPr>
          <w:rFonts w:hint="eastAsia" w:ascii="宋体" w:hAnsi="宋体" w:eastAsia="宋体" w:cs="宋体"/>
          <w:color w:val="auto"/>
          <w:sz w:val="24"/>
          <w:szCs w:val="24"/>
          <w:highlight w:val="none"/>
        </w:rPr>
        <w:t>政府采购投标担保函（已通过支票、汇票、本票、网上银行转账方式提交保证金的按“投标人须知表”要求提交相关材料，无需提供投标担保函）</w:t>
      </w:r>
      <w:bookmarkEnd w:id="196"/>
      <w:bookmarkEnd w:id="197"/>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鉴于（以下简称‘投标人’）拟参加</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编号：）（以下简称‘本项目’）投标，根据本项目招标文件，投标人参加投标时应向贵方交纳投标保证金，且可以投标担保函的形式交纳投标保证金。应投标人的申请，我方以保证的方式向贵方提供如下投标保证金担保：</w:t>
      </w:r>
    </w:p>
    <w:p>
      <w:pPr>
        <w:spacing w:line="360" w:lineRule="auto"/>
        <w:ind w:firstLine="420" w:firstLineChars="200"/>
        <w:rPr>
          <w:rFonts w:ascii="宋体" w:hAnsi="宋体" w:eastAsia="宋体" w:cs="宋体"/>
          <w:color w:val="auto"/>
          <w:szCs w:val="21"/>
          <w:highlight w:val="none"/>
        </w:rPr>
      </w:pPr>
      <w:bookmarkStart w:id="198" w:name="_Toc1471_WPSOffice_Level1"/>
      <w:r>
        <w:rPr>
          <w:rFonts w:hint="eastAsia" w:ascii="宋体" w:hAnsi="宋体" w:eastAsia="宋体" w:cs="宋体"/>
          <w:color w:val="auto"/>
          <w:szCs w:val="21"/>
          <w:highlight w:val="none"/>
        </w:rPr>
        <w:t>一、保证责任的情形及保证金额</w:t>
      </w:r>
      <w:bookmarkEnd w:id="198"/>
    </w:p>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（一）在投标人出现下列情形之一时，我方承担保证责任：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1．中标后投标人无正当理由不与采购人或者采购代理机构签订《政府采购合同》；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2．招标文件规定的投标人应当缴纳保证金的其他情形。</w:t>
      </w:r>
    </w:p>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（二）我方承担保证责任的最高金额为人民币元（大写），即本项目的投标保证金金额。</w:t>
      </w:r>
    </w:p>
    <w:p>
      <w:pPr>
        <w:spacing w:line="360" w:lineRule="auto"/>
        <w:ind w:firstLine="420" w:firstLineChars="200"/>
        <w:rPr>
          <w:rFonts w:ascii="宋体" w:hAnsi="宋体" w:eastAsia="宋体" w:cs="宋体"/>
          <w:color w:val="auto"/>
          <w:szCs w:val="21"/>
          <w:highlight w:val="none"/>
        </w:rPr>
      </w:pPr>
      <w:bookmarkStart w:id="199" w:name="_Toc11628_WPSOffice_Level1"/>
      <w:r>
        <w:rPr>
          <w:rFonts w:hint="eastAsia" w:ascii="宋体" w:hAnsi="宋体" w:eastAsia="宋体" w:cs="宋体"/>
          <w:color w:val="auto"/>
          <w:szCs w:val="21"/>
          <w:highlight w:val="none"/>
        </w:rPr>
        <w:t>二、保证的方式及保证期间</w:t>
      </w:r>
      <w:bookmarkEnd w:id="199"/>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我方保证的方式为：连带责任保证。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我方的保证期间为：自本保函生效之日起个月止。</w:t>
      </w:r>
    </w:p>
    <w:p>
      <w:pPr>
        <w:spacing w:line="360" w:lineRule="auto"/>
        <w:ind w:firstLine="420" w:firstLineChars="200"/>
        <w:rPr>
          <w:rFonts w:ascii="宋体" w:hAnsi="宋体" w:eastAsia="宋体" w:cs="宋体"/>
          <w:color w:val="auto"/>
          <w:szCs w:val="21"/>
          <w:highlight w:val="none"/>
        </w:rPr>
      </w:pPr>
      <w:bookmarkStart w:id="200" w:name="_Toc22664_WPSOffice_Level1"/>
      <w:r>
        <w:rPr>
          <w:rFonts w:hint="eastAsia" w:ascii="宋体" w:hAnsi="宋体" w:eastAsia="宋体" w:cs="宋体"/>
          <w:color w:val="auto"/>
          <w:szCs w:val="21"/>
          <w:highlight w:val="none"/>
        </w:rPr>
        <w:t>三、承担保证责任的程序</w:t>
      </w:r>
      <w:bookmarkEnd w:id="200"/>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1．贵方要求我方承担保证责任的，应在本保函保证期间内向我方发出书面索赔通知。索赔通知应写明要求索赔的金额，支付款项应到达的账号，并附有证明投标人发生我方应承担保证责任情形的事实材料。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2．我方在收到索赔通知及相关证明材料后，在</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个工作日内进行审查，符合应承担保证责任情形的，我方应按照贵方的要求代投标人向贵方支付投标保证金。</w:t>
      </w:r>
    </w:p>
    <w:p>
      <w:pPr>
        <w:spacing w:line="360" w:lineRule="auto"/>
        <w:ind w:firstLine="420" w:firstLineChars="200"/>
        <w:rPr>
          <w:rFonts w:ascii="宋体" w:hAnsi="宋体" w:eastAsia="宋体" w:cs="宋体"/>
          <w:color w:val="auto"/>
          <w:szCs w:val="21"/>
          <w:highlight w:val="none"/>
        </w:rPr>
      </w:pPr>
      <w:bookmarkStart w:id="201" w:name="_Toc25596_WPSOffice_Level1"/>
      <w:r>
        <w:rPr>
          <w:rFonts w:hint="eastAsia" w:ascii="宋体" w:hAnsi="宋体" w:eastAsia="宋体" w:cs="宋体"/>
          <w:color w:val="auto"/>
          <w:szCs w:val="21"/>
          <w:highlight w:val="none"/>
        </w:rPr>
        <w:t>四、保证责任的终止</w:t>
      </w:r>
      <w:bookmarkEnd w:id="201"/>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1．保证期间届满贵方未向我方书面主张保证责任的，自保证期间届满次日起，我方保证责任自动终止。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2．我方按照本保函向你贵方履行了保证责任后，自我方向你贵方支付款项（支付款项从我方账户划出）之日起，保证责任终止。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3．按照法律法规的规定或出现我方保证责任终止的其它情形的，我方在本保函项下的保证责任亦终止。</w:t>
      </w:r>
    </w:p>
    <w:p>
      <w:pPr>
        <w:spacing w:line="360" w:lineRule="auto"/>
        <w:ind w:firstLine="420" w:firstLineChars="200"/>
        <w:rPr>
          <w:rFonts w:ascii="宋体" w:hAnsi="宋体" w:eastAsia="宋体" w:cs="宋体"/>
          <w:color w:val="auto"/>
          <w:szCs w:val="21"/>
          <w:highlight w:val="none"/>
        </w:rPr>
      </w:pPr>
      <w:bookmarkStart w:id="202" w:name="_Toc442_WPSOffice_Level1"/>
      <w:r>
        <w:rPr>
          <w:rFonts w:hint="eastAsia" w:ascii="宋体" w:hAnsi="宋体" w:eastAsia="宋体" w:cs="宋体"/>
          <w:color w:val="auto"/>
          <w:szCs w:val="21"/>
          <w:highlight w:val="none"/>
        </w:rPr>
        <w:t>五、免责条款</w:t>
      </w:r>
      <w:bookmarkEnd w:id="202"/>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1．依照法律规定或贵方与投标人的另行约定，全部或者部分免除投标人投标保证金义务时，我方亦免除相应的保证责任。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2．因贵方原因致使投标人发生本保函第一条第（一）款约定情形的，我方不承担保证责任。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3．因不可抗力造成投标人发生本保函第一条约定情形的，我方不承担保证责任。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4．贵方或其他有权机关对招标文件进行任何澄清或修改，加重我方保证责任的，我方对加重部分不承担保证责任，但该澄清或修改经我方事先书面同意的除外。</w:t>
      </w:r>
    </w:p>
    <w:p>
      <w:pPr>
        <w:spacing w:line="360" w:lineRule="auto"/>
        <w:ind w:firstLine="420" w:firstLineChars="200"/>
        <w:rPr>
          <w:rFonts w:ascii="宋体" w:hAnsi="宋体" w:eastAsia="宋体" w:cs="宋体"/>
          <w:color w:val="auto"/>
          <w:szCs w:val="21"/>
          <w:highlight w:val="none"/>
        </w:rPr>
      </w:pPr>
      <w:bookmarkStart w:id="203" w:name="_Toc29919_WPSOffice_Level1"/>
      <w:r>
        <w:rPr>
          <w:rFonts w:hint="eastAsia" w:ascii="宋体" w:hAnsi="宋体" w:eastAsia="宋体" w:cs="宋体"/>
          <w:color w:val="auto"/>
          <w:szCs w:val="21"/>
          <w:highlight w:val="none"/>
        </w:rPr>
        <w:t>六、争议的解决</w:t>
      </w:r>
      <w:bookmarkEnd w:id="203"/>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因本保函发生的纠纷，由你我双方协商解决，协商不成的，通过诉讼程序解决，诉讼管辖地法院为法院。</w:t>
      </w:r>
    </w:p>
    <w:p>
      <w:pPr>
        <w:spacing w:line="360" w:lineRule="auto"/>
        <w:ind w:firstLine="420" w:firstLineChars="200"/>
        <w:rPr>
          <w:rFonts w:ascii="宋体" w:hAnsi="宋体" w:eastAsia="宋体" w:cs="宋体"/>
          <w:color w:val="auto"/>
          <w:szCs w:val="21"/>
          <w:highlight w:val="none"/>
        </w:rPr>
      </w:pPr>
      <w:bookmarkStart w:id="204" w:name="_Toc20551_WPSOffice_Level1"/>
      <w:r>
        <w:rPr>
          <w:rFonts w:hint="eastAsia" w:ascii="宋体" w:hAnsi="宋体" w:eastAsia="宋体" w:cs="宋体"/>
          <w:color w:val="auto"/>
          <w:szCs w:val="21"/>
          <w:highlight w:val="none"/>
        </w:rPr>
        <w:t>七、保函的生效</w:t>
      </w:r>
      <w:bookmarkEnd w:id="204"/>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本保函自我方加盖公章之日起生效。</w:t>
      </w:r>
    </w:p>
    <w:p>
      <w:pPr>
        <w:spacing w:line="360" w:lineRule="auto"/>
        <w:ind w:firstLine="5565" w:firstLineChars="2650"/>
        <w:rPr>
          <w:rFonts w:ascii="宋体" w:hAnsi="宋体" w:eastAsia="宋体" w:cs="宋体"/>
          <w:color w:val="auto"/>
          <w:szCs w:val="21"/>
          <w:highlight w:val="none"/>
        </w:rPr>
      </w:pPr>
    </w:p>
    <w:p>
      <w:pPr>
        <w:spacing w:line="360" w:lineRule="auto"/>
        <w:ind w:firstLine="5565" w:firstLineChars="26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保证人：（公章）</w:t>
      </w:r>
    </w:p>
    <w:p>
      <w:pPr>
        <w:spacing w:line="360" w:lineRule="auto"/>
        <w:ind w:firstLine="6377" w:firstLineChars="3037"/>
        <w:rPr>
          <w:rFonts w:ascii="宋体" w:hAnsi="宋体" w:eastAsia="宋体" w:cs="宋体"/>
          <w:color w:val="auto"/>
          <w:szCs w:val="21"/>
          <w:highlight w:val="none"/>
        </w:rPr>
      </w:pPr>
      <w:r>
        <w:rPr>
          <w:rFonts w:hint="eastAsia" w:ascii="宋体" w:hAnsi="宋体" w:eastAsia="宋体" w:cs="宋体"/>
          <w:color w:val="auto"/>
          <w:szCs w:val="21"/>
          <w:highlight w:val="none"/>
        </w:rPr>
        <w:t>年月日</w:t>
      </w:r>
    </w:p>
    <w:p>
      <w:pPr>
        <w:spacing w:line="360" w:lineRule="auto"/>
        <w:rPr>
          <w:rFonts w:ascii="宋体" w:hAnsi="宋体" w:eastAsia="宋体" w:cs="宋体"/>
          <w:color w:val="auto"/>
          <w:kern w:val="0"/>
          <w:szCs w:val="22"/>
          <w:highlight w:val="none"/>
        </w:rPr>
      </w:pPr>
      <w:r>
        <w:rPr>
          <w:rFonts w:hint="eastAsia" w:ascii="宋体" w:hAnsi="宋体" w:eastAsia="宋体" w:cs="宋体"/>
          <w:b/>
          <w:color w:val="auto"/>
          <w:szCs w:val="21"/>
          <w:highlight w:val="none"/>
        </w:rPr>
        <w:t>备注：此为政府采购投标担保函样本，仅供参考。投标人可根据实际情况自行提供，但不能偏离且不限于以上实质性内容！</w:t>
      </w:r>
      <w:r>
        <w:rPr>
          <w:rFonts w:hint="eastAsia" w:ascii="宋体" w:hAnsi="宋体" w:eastAsia="宋体" w:cs="宋体"/>
          <w:color w:val="auto"/>
          <w:highlight w:val="none"/>
        </w:rPr>
        <w:br w:type="page"/>
      </w:r>
    </w:p>
    <w:p>
      <w:pPr>
        <w:pStyle w:val="7"/>
        <w:rPr>
          <w:rFonts w:ascii="宋体" w:hAnsi="宋体" w:eastAsia="宋体" w:cs="宋体"/>
          <w:color w:val="auto"/>
          <w:sz w:val="24"/>
          <w:szCs w:val="24"/>
          <w:highlight w:val="none"/>
        </w:rPr>
      </w:pPr>
      <w:bookmarkStart w:id="205" w:name="_Toc96523919"/>
      <w:r>
        <w:rPr>
          <w:rFonts w:hint="eastAsia" w:ascii="宋体" w:hAnsi="宋体" w:eastAsia="宋体" w:cs="宋体"/>
          <w:color w:val="auto"/>
          <w:sz w:val="24"/>
          <w:szCs w:val="24"/>
          <w:highlight w:val="none"/>
        </w:rPr>
        <w:t>格式23.</w:t>
      </w:r>
      <w:bookmarkStart w:id="206" w:name="_Toc694"/>
      <w:r>
        <w:rPr>
          <w:rFonts w:hint="eastAsia" w:ascii="宋体" w:hAnsi="宋体" w:eastAsia="宋体" w:cs="宋体"/>
          <w:color w:val="auto"/>
          <w:sz w:val="24"/>
          <w:szCs w:val="24"/>
          <w:highlight w:val="none"/>
        </w:rPr>
        <w:t>联合体共同投标协议书（如联合体投标，需提供）</w:t>
      </w:r>
      <w:bookmarkEnd w:id="205"/>
      <w:bookmarkEnd w:id="206"/>
    </w:p>
    <w:p>
      <w:pPr>
        <w:spacing w:before="319" w:beforeLines="100" w:after="319" w:afterLines="100" w:line="360" w:lineRule="auto"/>
        <w:ind w:right="630" w:rightChars="300"/>
        <w:jc w:val="center"/>
        <w:rPr>
          <w:rFonts w:ascii="宋体" w:hAnsi="宋体" w:eastAsia="宋体" w:cs="宋体"/>
          <w:b/>
          <w:color w:val="auto"/>
          <w:sz w:val="32"/>
          <w:szCs w:val="32"/>
          <w:highlight w:val="none"/>
        </w:rPr>
      </w:pPr>
      <w:bookmarkStart w:id="207" w:name="_Toc4538_WPSOffice_Level1"/>
      <w:r>
        <w:rPr>
          <w:rFonts w:hint="eastAsia" w:ascii="宋体" w:hAnsi="宋体" w:eastAsia="宋体" w:cs="宋体"/>
          <w:b/>
          <w:color w:val="auto"/>
          <w:sz w:val="32"/>
          <w:szCs w:val="32"/>
          <w:highlight w:val="none"/>
        </w:rPr>
        <w:t>联合体共同投标协议书</w:t>
      </w:r>
      <w:bookmarkEnd w:id="207"/>
    </w:p>
    <w:p>
      <w:pPr>
        <w:pStyle w:val="17"/>
        <w:spacing w:line="360" w:lineRule="auto"/>
        <w:rPr>
          <w:rFonts w:hAnsi="宋体" w:eastAsia="宋体" w:cs="宋体"/>
          <w:color w:val="auto"/>
          <w:highlight w:val="none"/>
        </w:rPr>
      </w:pPr>
      <w:r>
        <w:rPr>
          <w:rFonts w:hint="eastAsia" w:hAnsi="宋体" w:eastAsia="宋体" w:cs="宋体"/>
          <w:color w:val="auto"/>
          <w:highlight w:val="none"/>
        </w:rPr>
        <w:t>致</w:t>
      </w:r>
      <w:r>
        <w:rPr>
          <w:rFonts w:hint="eastAsia" w:hAnsi="宋体" w:eastAsia="宋体" w:cs="宋体"/>
          <w:color w:val="auto"/>
          <w:highlight w:val="none"/>
          <w:u w:val="single"/>
        </w:rPr>
        <w:t>(采购人或采购代理机构)</w:t>
      </w:r>
      <w:r>
        <w:rPr>
          <w:rFonts w:hint="eastAsia" w:hAnsi="宋体" w:eastAsia="宋体" w:cs="宋体"/>
          <w:color w:val="auto"/>
          <w:highlight w:val="none"/>
        </w:rPr>
        <w:t>：</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经研究，我方决定自愿组成联合体共同参加</w:t>
      </w:r>
      <w:r>
        <w:rPr>
          <w:rFonts w:hint="eastAsia" w:hAnsi="宋体" w:eastAsia="宋体" w:cs="宋体"/>
          <w:color w:val="auto"/>
          <w:highlight w:val="none"/>
          <w:u w:val="single"/>
        </w:rPr>
        <w:t>(项目名称、项目编号、包号)</w:t>
      </w:r>
      <w:r>
        <w:rPr>
          <w:rFonts w:hint="eastAsia" w:hAnsi="宋体" w:eastAsia="宋体" w:cs="宋体"/>
          <w:color w:val="auto"/>
          <w:highlight w:val="none"/>
        </w:rPr>
        <w:t>项目的投标。现就联合体询价事宜订立如下协议：</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由为本次投标联合体主体方，为协办方，组成联合体共同进行本项目的投标工作。</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联合体以一个投标供应商的身份共同参加本项目的投标，中标后，联合体各方共同与采购人签订合同，就本项目对采购人承担连带责任。</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联合体授权主体方负责本项目的一切组织、协调工作，主体方在投标、合同谈判过程中所签署的一切文件和处理的与本次投标有关的一切事务，联合体各方均予以承认并承担法律责任。</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主体方负责工作，协办方负责工作。具体工作范围、工作内容以合同为准。</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联合体各成员的划型如下：</w:t>
      </w:r>
    </w:p>
    <w:p>
      <w:pPr>
        <w:tabs>
          <w:tab w:val="left" w:pos="420"/>
        </w:tabs>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成员1：</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（请填写：中型、小型、微型）</w:t>
      </w:r>
      <w:r>
        <w:rPr>
          <w:rFonts w:hint="eastAsia" w:ascii="宋体" w:hAnsi="宋体" w:eastAsia="宋体" w:cs="宋体"/>
          <w:color w:val="auto"/>
          <w:szCs w:val="21"/>
          <w:highlight w:val="none"/>
        </w:rPr>
        <w:t>企业，将承担合同总金额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r>
        <w:rPr>
          <w:rFonts w:hint="eastAsia" w:ascii="宋体" w:hAnsi="宋体" w:eastAsia="宋体" w:cs="宋体"/>
          <w:b/>
          <w:color w:val="auto"/>
          <w:szCs w:val="21"/>
          <w:highlight w:val="none"/>
        </w:rPr>
        <w:t>（联合体成员中有中型、小型、微型企业时适用）</w:t>
      </w:r>
      <w:r>
        <w:rPr>
          <w:rFonts w:hint="eastAsia" w:ascii="宋体" w:hAnsi="宋体" w:eastAsia="宋体" w:cs="宋体"/>
          <w:color w:val="auto"/>
          <w:szCs w:val="21"/>
          <w:highlight w:val="none"/>
        </w:rPr>
        <w:t>。</w:t>
      </w:r>
    </w:p>
    <w:p>
      <w:pPr>
        <w:pStyle w:val="6"/>
        <w:ind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成员2：</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（请填写：中型、小型、微型）</w:t>
      </w:r>
      <w:r>
        <w:rPr>
          <w:rFonts w:hint="eastAsia" w:ascii="宋体" w:hAnsi="宋体" w:eastAsia="宋体" w:cs="宋体"/>
          <w:color w:val="auto"/>
          <w:szCs w:val="21"/>
          <w:highlight w:val="none"/>
        </w:rPr>
        <w:t>企业，将承担合同总金额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r>
        <w:rPr>
          <w:rFonts w:hint="eastAsia" w:ascii="宋体" w:hAnsi="宋体" w:eastAsia="宋体" w:cs="宋体"/>
          <w:b/>
          <w:color w:val="auto"/>
          <w:szCs w:val="21"/>
          <w:highlight w:val="none"/>
        </w:rPr>
        <w:t>（联合体成员中有中型、小型、微型企业时适用）</w:t>
      </w:r>
    </w:p>
    <w:p>
      <w:pPr>
        <w:pStyle w:val="6"/>
        <w:ind w:firstLine="0"/>
        <w:rPr>
          <w:rFonts w:ascii="宋体" w:hAnsi="宋体" w:eastAsia="宋体" w:cs="宋体"/>
          <w:color w:val="auto"/>
          <w:highlight w:val="none"/>
        </w:rPr>
      </w:pPr>
      <w:r>
        <w:rPr>
          <w:rFonts w:hint="eastAsia" w:ascii="宋体" w:hAnsi="宋体" w:eastAsia="宋体" w:cs="宋体"/>
          <w:b/>
          <w:color w:val="auto"/>
          <w:szCs w:val="21"/>
          <w:highlight w:val="none"/>
        </w:rPr>
        <w:t>……</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各方的责任、权利和义务的详细内容和规定在中标后经各方协商后报采购人同意另行签署协议或者合同。</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联合体各方不得再以自己的名义在本项目中单独投标，联合体项目责任人不能作为其他联合体或单独投标单位的项目组成员。如因发生上述问题而导致联合体投标无效的，联合体其他成员可追究违约责任。</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联合体如因违约过失责任而导致采购人经济损失或被索赔时，本联合体任何一方均同意无条件优先清偿采购人的一切债务和经济赔偿。</w:t>
      </w:r>
    </w:p>
    <w:p>
      <w:pPr>
        <w:numPr>
          <w:ilvl w:val="0"/>
          <w:numId w:val="16"/>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本协议在自签署之日起生效，有效期内有效，如获中标资格，合同有效期延续至合同履行完毕之日。如联合体未中标，本协议自动废止。</w:t>
      </w:r>
    </w:p>
    <w:p>
      <w:pPr>
        <w:pStyle w:val="6"/>
        <w:ind w:firstLine="0"/>
        <w:rPr>
          <w:rFonts w:ascii="宋体" w:hAnsi="宋体" w:eastAsia="宋体" w:cs="宋体"/>
          <w:color w:val="auto"/>
          <w:highlight w:val="none"/>
        </w:rPr>
      </w:pPr>
      <w:r>
        <w:rPr>
          <w:rFonts w:hint="eastAsia" w:ascii="宋体" w:hAnsi="宋体" w:eastAsia="宋体" w:cs="宋体"/>
          <w:color w:val="auto"/>
          <w:highlight w:val="none"/>
        </w:rPr>
        <w:t>十、本协议书一式份，联合体成员和采购人各执一份。</w:t>
      </w:r>
    </w:p>
    <w:p>
      <w:pPr>
        <w:pStyle w:val="6"/>
        <w:ind w:firstLine="0"/>
        <w:rPr>
          <w:rFonts w:ascii="宋体" w:hAnsi="宋体" w:eastAsia="宋体" w:cs="宋体"/>
          <w:color w:val="auto"/>
          <w:highlight w:val="none"/>
        </w:rPr>
      </w:pPr>
    </w:p>
    <w:p>
      <w:pPr>
        <w:pStyle w:val="17"/>
        <w:spacing w:line="360" w:lineRule="auto"/>
        <w:ind w:firstLine="420" w:firstLineChars="200"/>
        <w:rPr>
          <w:rFonts w:hAnsi="宋体" w:eastAsia="宋体" w:cs="宋体"/>
          <w:color w:val="auto"/>
          <w:highlight w:val="none"/>
        </w:rPr>
      </w:pPr>
    </w:p>
    <w:p>
      <w:pPr>
        <w:pStyle w:val="17"/>
        <w:spacing w:line="360" w:lineRule="auto"/>
        <w:ind w:firstLine="420" w:firstLineChars="200"/>
        <w:rPr>
          <w:rFonts w:hAnsi="宋体" w:eastAsia="宋体" w:cs="宋体"/>
          <w:color w:val="auto"/>
          <w:highlight w:val="none"/>
        </w:rPr>
      </w:pPr>
    </w:p>
    <w:p>
      <w:pPr>
        <w:pStyle w:val="17"/>
        <w:spacing w:line="360" w:lineRule="auto"/>
        <w:ind w:firstLine="420" w:firstLineChars="200"/>
        <w:rPr>
          <w:rFonts w:hAnsi="宋体" w:eastAsia="宋体" w:cs="宋体"/>
          <w:color w:val="auto"/>
          <w:highlight w:val="none"/>
          <w:u w:val="single"/>
        </w:rPr>
      </w:pPr>
      <w:r>
        <w:rPr>
          <w:rFonts w:hint="eastAsia" w:hAnsi="宋体" w:eastAsia="宋体" w:cs="宋体"/>
          <w:color w:val="auto"/>
          <w:highlight w:val="none"/>
        </w:rPr>
        <w:t>主体方全称(公章)：</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法定代表人或其授权代表(签字或盖章)：</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地址：</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联系电话：</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签署日期：</w:t>
      </w:r>
    </w:p>
    <w:p>
      <w:pPr>
        <w:pStyle w:val="17"/>
        <w:spacing w:line="360" w:lineRule="auto"/>
        <w:ind w:firstLine="420" w:firstLineChars="200"/>
        <w:rPr>
          <w:rFonts w:hAnsi="宋体" w:eastAsia="宋体" w:cs="宋体"/>
          <w:color w:val="auto"/>
          <w:highlight w:val="none"/>
        </w:rPr>
      </w:pPr>
    </w:p>
    <w:p>
      <w:pPr>
        <w:pStyle w:val="17"/>
        <w:spacing w:line="360" w:lineRule="auto"/>
        <w:ind w:firstLine="420" w:firstLineChars="200"/>
        <w:rPr>
          <w:rFonts w:hAnsi="宋体" w:eastAsia="宋体" w:cs="宋体"/>
          <w:color w:val="auto"/>
          <w:highlight w:val="none"/>
          <w:u w:val="single"/>
        </w:rPr>
      </w:pPr>
      <w:r>
        <w:rPr>
          <w:rFonts w:hint="eastAsia" w:hAnsi="宋体" w:eastAsia="宋体" w:cs="宋体"/>
          <w:color w:val="auto"/>
          <w:highlight w:val="none"/>
        </w:rPr>
        <w:t>协办方全称(公章)：</w:t>
      </w:r>
    </w:p>
    <w:p>
      <w:pPr>
        <w:pStyle w:val="17"/>
        <w:spacing w:line="360" w:lineRule="auto"/>
        <w:ind w:firstLine="420" w:firstLineChars="200"/>
        <w:rPr>
          <w:rFonts w:hAnsi="宋体" w:eastAsia="宋体" w:cs="宋体"/>
          <w:color w:val="auto"/>
          <w:highlight w:val="none"/>
          <w:u w:val="single"/>
        </w:rPr>
      </w:pPr>
      <w:r>
        <w:rPr>
          <w:rFonts w:hint="eastAsia" w:hAnsi="宋体" w:eastAsia="宋体" w:cs="宋体"/>
          <w:color w:val="auto"/>
          <w:highlight w:val="none"/>
        </w:rPr>
        <w:t>法定代表人或其授权代表(签字或盖章)：</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地址：</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联系电话：</w:t>
      </w:r>
    </w:p>
    <w:p>
      <w:pPr>
        <w:pStyle w:val="1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签署日期：</w:t>
      </w:r>
    </w:p>
    <w:p>
      <w:pPr>
        <w:pStyle w:val="17"/>
        <w:spacing w:line="360" w:lineRule="auto"/>
        <w:ind w:firstLine="420" w:firstLineChars="200"/>
        <w:rPr>
          <w:rFonts w:hAnsi="宋体" w:eastAsia="宋体" w:cs="宋体"/>
          <w:color w:val="auto"/>
          <w:highlight w:val="none"/>
        </w:rPr>
      </w:pPr>
    </w:p>
    <w:p>
      <w:pPr>
        <w:rPr>
          <w:rFonts w:ascii="宋体" w:hAnsi="宋体" w:eastAsia="宋体" w:cs="宋体"/>
          <w:color w:val="auto"/>
          <w:szCs w:val="21"/>
          <w:highlight w:val="none"/>
        </w:rPr>
      </w:pPr>
      <w:r>
        <w:rPr>
          <w:rFonts w:hint="eastAsia" w:ascii="宋体" w:hAnsi="宋体" w:eastAsia="宋体" w:cs="宋体"/>
          <w:color w:val="auto"/>
          <w:szCs w:val="21"/>
          <w:highlight w:val="none"/>
        </w:rPr>
        <w:t>备注：联合体各方成员须在本协议上共同盖章和签署。</w:t>
      </w:r>
    </w:p>
    <w:p>
      <w:pPr>
        <w:pStyle w:val="7"/>
        <w:rPr>
          <w:rFonts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格式24.分包意向</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（以合同分包形式参加投标时适用）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备注：若以合同分包形式参加投标时，参考下列格式提供《分包意向</w:t>
      </w:r>
      <w:r>
        <w:rPr>
          <w:rFonts w:hint="eastAsia" w:ascii="宋体" w:hAnsi="宋体" w:eastAsia="宋体" w:cs="宋体"/>
          <w:color w:val="auto"/>
          <w:szCs w:val="21"/>
          <w:highlight w:val="none"/>
          <w:lang w:val="en-US" w:eastAsia="zh-CN"/>
        </w:rPr>
        <w:t>书</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p>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分包意向</w:t>
      </w:r>
      <w:r>
        <w:rPr>
          <w:rFonts w:hint="eastAsia" w:ascii="宋体" w:hAnsi="宋体" w:eastAsia="宋体" w:cs="宋体"/>
          <w:b/>
          <w:color w:val="auto"/>
          <w:sz w:val="24"/>
          <w:highlight w:val="none"/>
          <w:lang w:val="en-US" w:eastAsia="zh-CN"/>
        </w:rPr>
        <w:t>书</w:t>
      </w:r>
    </w:p>
    <w:p>
      <w:pPr>
        <w:spacing w:line="360" w:lineRule="auto"/>
        <w:rPr>
          <w:rFonts w:ascii="宋体" w:hAnsi="宋体" w:eastAsia="宋体" w:cs="宋体"/>
          <w:color w:val="auto"/>
          <w:kern w:val="10"/>
          <w:szCs w:val="21"/>
          <w:highlight w:val="none"/>
        </w:rPr>
      </w:pPr>
      <w:r>
        <w:rPr>
          <w:rFonts w:hint="eastAsia" w:ascii="宋体" w:hAnsi="宋体" w:eastAsia="宋体" w:cs="宋体"/>
          <w:color w:val="auto"/>
          <w:kern w:val="10"/>
          <w:szCs w:val="21"/>
          <w:highlight w:val="none"/>
        </w:rPr>
        <w:t>立约方：</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（甲公司全称）</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（乙公司全称）</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spacing w:line="360" w:lineRule="auto"/>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就</w:t>
      </w:r>
      <w:r>
        <w:rPr>
          <w:rFonts w:hint="eastAsia" w:ascii="宋体" w:hAnsi="宋体" w:eastAsia="宋体" w:cs="宋体"/>
          <w:color w:val="auto"/>
          <w:szCs w:val="21"/>
          <w:highlight w:val="none"/>
          <w:u w:val="single"/>
        </w:rPr>
        <w:t>（项目名称）（项目编号）（包组号）</w:t>
      </w:r>
      <w:r>
        <w:rPr>
          <w:rFonts w:hint="eastAsia" w:ascii="宋体" w:hAnsi="宋体" w:eastAsia="宋体" w:cs="宋体"/>
          <w:color w:val="auto"/>
          <w:szCs w:val="21"/>
          <w:highlight w:val="none"/>
        </w:rPr>
        <w:t>的投标事宜，与</w:t>
      </w: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通过友好协商达成以下协议：</w:t>
      </w:r>
    </w:p>
    <w:p>
      <w:pPr>
        <w:numPr>
          <w:ilvl w:val="0"/>
          <w:numId w:val="17"/>
        </w:numPr>
        <w:adjustRightInd w:val="0"/>
        <w:spacing w:line="360" w:lineRule="auto"/>
        <w:ind w:firstLine="147"/>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在本次投标有效期内，</w:t>
      </w: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进行上述投标事宜。若中标，各方按照本协议中约定的分工事项，完成各方对应的工作。</w:t>
      </w:r>
    </w:p>
    <w:p>
      <w:pPr>
        <w:numPr>
          <w:ilvl w:val="0"/>
          <w:numId w:val="17"/>
        </w:numPr>
        <w:adjustRightInd w:val="0"/>
        <w:spacing w:line="360" w:lineRule="auto"/>
        <w:ind w:firstLine="147"/>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各方分工：</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本项目投标工作由</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负责。</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本项目由</w:t>
      </w: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授权人员负责与采购人联系。</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u w:val="single"/>
        </w:rPr>
        <w:t>（甲公司全称）</w:t>
      </w:r>
      <w:r>
        <w:rPr>
          <w:rFonts w:hint="eastAsia" w:ascii="宋体" w:hAnsi="宋体" w:eastAsia="宋体" w:cs="宋体"/>
          <w:color w:val="auto"/>
          <w:szCs w:val="21"/>
          <w:highlight w:val="none"/>
        </w:rPr>
        <w:t>为分包方，拟承担的工作和责任:。</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u w:val="single"/>
        </w:rPr>
        <w:t>（乙公司全称）</w:t>
      </w:r>
      <w:r>
        <w:rPr>
          <w:rFonts w:hint="eastAsia" w:ascii="宋体" w:hAnsi="宋体" w:eastAsia="宋体" w:cs="宋体"/>
          <w:color w:val="auto"/>
          <w:szCs w:val="21"/>
          <w:highlight w:val="none"/>
        </w:rPr>
        <w:t>为分包承担方，拟承担的工作和责任:。</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为分包承担方，拟承担的工作和责任:。</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分包给中小企业承担的合同金额比例</w:t>
      </w:r>
      <w:r>
        <w:rPr>
          <w:rFonts w:hint="eastAsia" w:ascii="宋体" w:hAnsi="宋体" w:eastAsia="宋体" w:cs="宋体"/>
          <w:b/>
          <w:bCs/>
          <w:color w:val="auto"/>
          <w:szCs w:val="21"/>
          <w:highlight w:val="none"/>
          <w:u w:val="single"/>
        </w:rPr>
        <w:t>□符合□不符合（</w:t>
      </w:r>
      <w:r>
        <w:rPr>
          <w:rFonts w:hint="eastAsia" w:ascii="宋体" w:hAnsi="宋体" w:eastAsia="宋体" w:cs="宋体"/>
          <w:b/>
          <w:bCs/>
          <w:color w:val="auto"/>
          <w:szCs w:val="21"/>
          <w:highlight w:val="none"/>
        </w:rPr>
        <w:t>请勾选）</w:t>
      </w:r>
      <w:r>
        <w:rPr>
          <w:rFonts w:hint="eastAsia" w:ascii="宋体" w:hAnsi="宋体" w:eastAsia="宋体" w:cs="宋体"/>
          <w:color w:val="auto"/>
          <w:szCs w:val="21"/>
          <w:highlight w:val="none"/>
        </w:rPr>
        <w:t>本项目招标文件的要求。</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如本项目或采购包属于预留份额面向中小企业，接受分包合同的中小企业与分包企业之间不存在直接控股、管理关系。</w:t>
      </w:r>
    </w:p>
    <w:p>
      <w:pPr>
        <w:numPr>
          <w:ilvl w:val="0"/>
          <w:numId w:val="18"/>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如中标，各方应按照招标文件的各项要求和内部职责的划分，承担自身所负的责任和风险。</w:t>
      </w:r>
    </w:p>
    <w:p>
      <w:pPr>
        <w:numPr>
          <w:ilvl w:val="0"/>
          <w:numId w:val="17"/>
        </w:numPr>
        <w:adjustRightInd w:val="0"/>
        <w:spacing w:line="360" w:lineRule="auto"/>
        <w:ind w:left="567" w:hanging="567"/>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本协议在自签署之日起生效，投标有效期内有效，如获中标资格，合同有效期延续至合同履行完毕之日。</w:t>
      </w:r>
    </w:p>
    <w:p>
      <w:pPr>
        <w:numPr>
          <w:ilvl w:val="0"/>
          <w:numId w:val="17"/>
        </w:numPr>
        <w:adjustRightInd w:val="0"/>
        <w:spacing w:line="360" w:lineRule="auto"/>
        <w:ind w:left="567" w:hanging="567"/>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本协议书正本一式份，随投标文件装订份，送采购人份，分包意向协议成员各一份；副本一式份，分包意向协议成员各执份。</w:t>
      </w:r>
    </w:p>
    <w:p>
      <w:pPr>
        <w:widowControl/>
        <w:spacing w:line="360" w:lineRule="auto"/>
        <w:jc w:val="left"/>
        <w:rPr>
          <w:rFonts w:ascii="宋体" w:hAnsi="宋体" w:eastAsia="宋体" w:cs="宋体"/>
          <w:color w:val="auto"/>
          <w:szCs w:val="21"/>
          <w:highlight w:val="none"/>
        </w:rPr>
      </w:pPr>
    </w:p>
    <w:p>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甲公司全称：（盖章）</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年月日</w:t>
      </w:r>
    </w:p>
    <w:p>
      <w:pPr>
        <w:widowControl/>
        <w:spacing w:line="360" w:lineRule="auto"/>
        <w:jc w:val="left"/>
        <w:rPr>
          <w:rFonts w:ascii="宋体" w:hAnsi="宋体" w:eastAsia="宋体" w:cs="宋体"/>
          <w:color w:val="auto"/>
          <w:szCs w:val="21"/>
          <w:highlight w:val="none"/>
        </w:rPr>
      </w:pP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乙公司全称：（盖章）</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年月日</w:t>
      </w:r>
    </w:p>
    <w:p>
      <w:pPr>
        <w:widowControl/>
        <w:spacing w:line="360" w:lineRule="auto"/>
        <w:jc w:val="left"/>
        <w:rPr>
          <w:rFonts w:ascii="宋体" w:hAnsi="宋体" w:eastAsia="宋体" w:cs="宋体"/>
          <w:color w:val="auto"/>
          <w:szCs w:val="21"/>
          <w:highlight w:val="none"/>
        </w:rPr>
      </w:pP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……公司全称（盖章）</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年月日</w:t>
      </w:r>
    </w:p>
    <w:p>
      <w:pPr>
        <w:widowControl/>
        <w:spacing w:line="360" w:lineRule="auto"/>
        <w:jc w:val="left"/>
        <w:rPr>
          <w:rFonts w:ascii="宋体" w:hAnsi="宋体" w:eastAsia="宋体" w:cs="宋体"/>
          <w:color w:val="auto"/>
          <w:szCs w:val="21"/>
          <w:highlight w:val="none"/>
        </w:rPr>
      </w:pPr>
    </w:p>
    <w:p>
      <w:pPr>
        <w:widowControl/>
        <w:spacing w:line="360" w:lineRule="auto"/>
        <w:jc w:val="left"/>
        <w:rPr>
          <w:rFonts w:ascii="宋体" w:hAnsi="宋体" w:eastAsia="宋体" w:cs="宋体"/>
          <w:color w:val="auto"/>
          <w:szCs w:val="21"/>
          <w:highlight w:val="none"/>
        </w:rPr>
      </w:pPr>
    </w:p>
    <w:p>
      <w:pPr>
        <w:spacing w:line="360" w:lineRule="auto"/>
        <w:ind w:left="617" w:hanging="617" w:hangingChars="294"/>
        <w:rPr>
          <w:rFonts w:ascii="宋体" w:hAnsi="宋体" w:eastAsia="宋体" w:cs="宋体"/>
          <w:color w:val="auto"/>
          <w:szCs w:val="21"/>
          <w:highlight w:val="none"/>
        </w:rPr>
      </w:pPr>
      <w:r>
        <w:rPr>
          <w:rFonts w:hint="eastAsia" w:ascii="宋体" w:hAnsi="宋体" w:eastAsia="宋体" w:cs="宋体"/>
          <w:color w:val="auto"/>
          <w:szCs w:val="21"/>
          <w:highlight w:val="none"/>
        </w:rPr>
        <w:t>注：</w:t>
      </w:r>
    </w:p>
    <w:p>
      <w:pPr>
        <w:numPr>
          <w:ilvl w:val="0"/>
          <w:numId w:val="19"/>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投标人投标时应签订本协议，协议各方成员应在本协议上共同盖章确认。</w:t>
      </w:r>
    </w:p>
    <w:p>
      <w:pPr>
        <w:numPr>
          <w:ilvl w:val="0"/>
          <w:numId w:val="19"/>
        </w:numPr>
        <w:adjustRightInd w:val="0"/>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本协议内容不得擅自修改。此协议将作为签订合同的附件之一。</w:t>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3.附分包单位的资质证书</w:t>
      </w:r>
    </w:p>
    <w:p>
      <w:pPr>
        <w:pStyle w:val="5"/>
        <w:rPr>
          <w:rFonts w:ascii="宋体" w:hAnsi="宋体" w:eastAsia="宋体" w:cs="宋体"/>
          <w:color w:val="auto"/>
          <w:highlight w:val="none"/>
        </w:rPr>
      </w:pPr>
      <w:r>
        <w:rPr>
          <w:rFonts w:hint="eastAsia" w:ascii="宋体" w:hAnsi="宋体" w:eastAsia="宋体" w:cs="宋体"/>
          <w:color w:val="auto"/>
          <w:sz w:val="21"/>
          <w:szCs w:val="21"/>
          <w:highlight w:val="none"/>
        </w:rPr>
        <w:br w:type="page"/>
      </w:r>
      <w:bookmarkStart w:id="208" w:name="_Toc15311_WPSOffice_Level1"/>
      <w:bookmarkStart w:id="209" w:name="_Toc96523920"/>
      <w:r>
        <w:rPr>
          <w:rFonts w:hint="eastAsia" w:ascii="宋体" w:hAnsi="宋体" w:eastAsia="宋体" w:cs="宋体"/>
          <w:color w:val="auto"/>
          <w:highlight w:val="none"/>
        </w:rPr>
        <w:t>第四章投标文件服务部分</w:t>
      </w:r>
      <w:bookmarkEnd w:id="208"/>
      <w:bookmarkEnd w:id="209"/>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（格式自拟）</w:t>
      </w:r>
    </w:p>
    <w:p>
      <w:pPr>
        <w:pStyle w:val="6"/>
        <w:ind w:firstLine="0"/>
        <w:rPr>
          <w:rFonts w:ascii="宋体" w:hAnsi="宋体" w:eastAsia="宋体" w:cs="宋体"/>
          <w:color w:val="auto"/>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br w:type="page"/>
      </w:r>
      <w:bookmarkStart w:id="210" w:name="_Toc96523921"/>
      <w:bookmarkStart w:id="211" w:name="_Toc30199_WPSOffice_Level1"/>
      <w:r>
        <w:rPr>
          <w:rFonts w:hint="eastAsia" w:ascii="宋体" w:hAnsi="宋体" w:eastAsia="宋体" w:cs="宋体"/>
          <w:color w:val="auto"/>
          <w:highlight w:val="none"/>
        </w:rPr>
        <w:t>第五章附件及其他</w:t>
      </w:r>
      <w:bookmarkEnd w:id="210"/>
      <w:bookmarkEnd w:id="211"/>
    </w:p>
    <w:p>
      <w:pPr>
        <w:spacing w:line="360" w:lineRule="auto"/>
        <w:rPr>
          <w:rFonts w:ascii="宋体" w:hAnsi="宋体" w:eastAsia="宋体" w:cs="宋体"/>
          <w:b/>
          <w:color w:val="auto"/>
          <w:szCs w:val="21"/>
          <w:highlight w:val="none"/>
          <w:lang w:val="en-GB"/>
        </w:rPr>
      </w:pPr>
      <w:bookmarkStart w:id="212" w:name="_Toc21303_WPSOffice_Level1"/>
      <w:r>
        <w:rPr>
          <w:rFonts w:hint="eastAsia" w:ascii="宋体" w:hAnsi="宋体" w:eastAsia="宋体" w:cs="宋体"/>
          <w:b/>
          <w:color w:val="auto"/>
          <w:szCs w:val="21"/>
          <w:highlight w:val="none"/>
          <w:lang w:val="en-GB"/>
        </w:rPr>
        <w:t>附件</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GB"/>
        </w:rPr>
        <w:t>：政府采购履约担保函（投标时无需提供）</w:t>
      </w:r>
      <w:bookmarkEnd w:id="212"/>
    </w:p>
    <w:p>
      <w:pPr>
        <w:spacing w:line="360" w:lineRule="auto"/>
        <w:jc w:val="center"/>
        <w:rPr>
          <w:rFonts w:ascii="宋体" w:hAnsi="宋体" w:eastAsia="宋体" w:cs="宋体"/>
          <w:b/>
          <w:bCs/>
          <w:color w:val="auto"/>
          <w:szCs w:val="21"/>
          <w:highlight w:val="none"/>
        </w:rPr>
      </w:pPr>
      <w:bookmarkStart w:id="213" w:name="_Toc14723_WPSOffice_Level1"/>
      <w:r>
        <w:rPr>
          <w:rFonts w:hint="eastAsia" w:ascii="宋体" w:hAnsi="宋体" w:eastAsia="宋体" w:cs="宋体"/>
          <w:b/>
          <w:bCs/>
          <w:color w:val="auto"/>
          <w:szCs w:val="21"/>
          <w:highlight w:val="none"/>
        </w:rPr>
        <w:t>政府采购履约担保函</w:t>
      </w:r>
      <w:bookmarkEnd w:id="213"/>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编号：</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pacing w:line="360" w:lineRule="auto"/>
        <w:ind w:firstLine="420" w:firstLineChars="200"/>
        <w:rPr>
          <w:rFonts w:ascii="宋体" w:hAnsi="宋体" w:eastAsia="宋体" w:cs="宋体"/>
          <w:color w:val="auto"/>
          <w:szCs w:val="21"/>
          <w:highlight w:val="none"/>
        </w:rPr>
      </w:pPr>
      <w:bookmarkStart w:id="214" w:name="_Toc26857_WPSOffice_Level1"/>
      <w:r>
        <w:rPr>
          <w:rFonts w:hint="eastAsia" w:ascii="宋体" w:hAnsi="宋体" w:eastAsia="宋体" w:cs="宋体"/>
          <w:color w:val="auto"/>
          <w:szCs w:val="21"/>
          <w:highlight w:val="none"/>
        </w:rPr>
        <w:t>一、保证责任的情形及保证金额</w:t>
      </w:r>
      <w:bookmarkEnd w:id="214"/>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（一）在供应商出现下列情形之一时，我方承担保证责任：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1．将中标项目转让给他人，或者在投标文件中未说明，且未经采购招标机构人同意，将中标项目分包给他人的；</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2．主合同约定的应当缴纳履约保证金的情形: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（1）未按主合同约定的质量、数量和期限供应货物/提供服务/完成工程的。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（二）我方的保证范围是主合同约定的合同价款总额的%数额为元（大写），币种为。（即主合同履约保证金金额）</w:t>
      </w:r>
    </w:p>
    <w:p>
      <w:pPr>
        <w:spacing w:line="360" w:lineRule="auto"/>
        <w:ind w:firstLine="420" w:firstLineChars="200"/>
        <w:rPr>
          <w:rFonts w:ascii="宋体" w:hAnsi="宋体" w:eastAsia="宋体" w:cs="宋体"/>
          <w:color w:val="auto"/>
          <w:szCs w:val="21"/>
          <w:highlight w:val="none"/>
        </w:rPr>
      </w:pPr>
      <w:bookmarkStart w:id="215" w:name="_Toc24199_WPSOffice_Level1"/>
      <w:r>
        <w:rPr>
          <w:rFonts w:hint="eastAsia" w:ascii="宋体" w:hAnsi="宋体" w:eastAsia="宋体" w:cs="宋体"/>
          <w:color w:val="auto"/>
          <w:szCs w:val="21"/>
          <w:highlight w:val="none"/>
        </w:rPr>
        <w:t>二、保证的方式及保证期间</w:t>
      </w:r>
      <w:bookmarkEnd w:id="215"/>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我方保证的方式为：连带责任保证。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我方保证的期间为：自本合同生效之日起至供应商按照主合同约定的供货/完工期限届满后日内。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如果供应商未按主合同约定向贵方供应货物/提供服务/完成工程的，由我方在保证金额内向你方支付上述款项。</w:t>
      </w:r>
    </w:p>
    <w:p>
      <w:pPr>
        <w:spacing w:line="360" w:lineRule="auto"/>
        <w:ind w:firstLine="420" w:firstLineChars="200"/>
        <w:rPr>
          <w:rFonts w:ascii="宋体" w:hAnsi="宋体" w:eastAsia="宋体" w:cs="宋体"/>
          <w:color w:val="auto"/>
          <w:szCs w:val="21"/>
          <w:highlight w:val="none"/>
        </w:rPr>
      </w:pPr>
      <w:bookmarkStart w:id="216" w:name="_Toc12848_WPSOffice_Level1"/>
      <w:r>
        <w:rPr>
          <w:rFonts w:hint="eastAsia" w:ascii="宋体" w:hAnsi="宋体" w:eastAsia="宋体" w:cs="宋体"/>
          <w:color w:val="auto"/>
          <w:szCs w:val="21"/>
          <w:highlight w:val="none"/>
        </w:rPr>
        <w:t>三、承担保证责任的程序</w:t>
      </w:r>
      <w:bookmarkEnd w:id="216"/>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1．你方要求我方承担保证责任的，应在本保函保证期间内向我方发出书面索赔通知。索赔通知应写明要求索赔的金额，支付款项应到达的</w:t>
      </w:r>
      <w:r>
        <w:rPr>
          <w:rFonts w:hint="eastAsia" w:ascii="宋体" w:hAnsi="宋体" w:eastAsia="宋体" w:cs="宋体"/>
          <w:b w:val="0"/>
          <w:bCs w:val="0"/>
          <w:color w:val="000000" w:themeColor="text1"/>
          <w:szCs w:val="21"/>
          <w:highlight w:val="none"/>
          <w:lang w:eastAsia="zh-CN"/>
          <w14:textFill>
            <w14:solidFill>
              <w14:schemeClr w14:val="tx1"/>
            </w14:solidFill>
          </w14:textFill>
        </w:rPr>
        <w:t>账号</w:t>
      </w:r>
      <w:r>
        <w:rPr>
          <w:rFonts w:hint="eastAsia" w:ascii="宋体" w:hAnsi="宋体" w:eastAsia="宋体" w:cs="宋体"/>
          <w:color w:val="auto"/>
          <w:szCs w:val="21"/>
          <w:highlight w:val="none"/>
        </w:rPr>
        <w:t>。并附有证明供应商违约事实的证明材料。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2．我方收到你方的书面索赔通知及相应证明材料，在工作日内进行核定后按照本保函的承诺承担保证责任。</w:t>
      </w:r>
    </w:p>
    <w:p>
      <w:pPr>
        <w:spacing w:line="360" w:lineRule="auto"/>
        <w:ind w:firstLine="420" w:firstLineChars="200"/>
        <w:rPr>
          <w:rFonts w:ascii="宋体" w:hAnsi="宋体" w:eastAsia="宋体" w:cs="宋体"/>
          <w:color w:val="auto"/>
          <w:szCs w:val="21"/>
          <w:highlight w:val="none"/>
        </w:rPr>
      </w:pPr>
      <w:bookmarkStart w:id="217" w:name="_Toc6622_WPSOffice_Level1"/>
      <w:r>
        <w:rPr>
          <w:rFonts w:hint="eastAsia" w:ascii="宋体" w:hAnsi="宋体" w:eastAsia="宋体" w:cs="宋体"/>
          <w:color w:val="auto"/>
          <w:szCs w:val="21"/>
          <w:highlight w:val="none"/>
        </w:rPr>
        <w:t>四、保证责任的终止</w:t>
      </w:r>
      <w:bookmarkEnd w:id="217"/>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2．我方按照本保函向你方履行了保证责任后，自我方向你方支付款项（支付款项从我方账户划出）之日起，保证责任即终止。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3．按照法律法规的规定或出现应终止我方保证责任的其它情形的，我方在本保函项下的保证责任亦终止。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20" w:firstLineChars="200"/>
        <w:rPr>
          <w:rFonts w:ascii="宋体" w:hAnsi="宋体" w:eastAsia="宋体" w:cs="宋体"/>
          <w:color w:val="auto"/>
          <w:szCs w:val="21"/>
          <w:highlight w:val="none"/>
        </w:rPr>
      </w:pPr>
      <w:bookmarkStart w:id="218" w:name="_Toc31304_WPSOffice_Level1"/>
      <w:r>
        <w:rPr>
          <w:rFonts w:hint="eastAsia" w:ascii="宋体" w:hAnsi="宋体" w:eastAsia="宋体" w:cs="宋体"/>
          <w:color w:val="auto"/>
          <w:szCs w:val="21"/>
          <w:highlight w:val="none"/>
        </w:rPr>
        <w:t>五、免责条款</w:t>
      </w:r>
      <w:bookmarkEnd w:id="218"/>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1．因你方违反主合同约定致使供应商不能履行义务的，我方不承担保证责任。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2．依照法律法规的规定或你方与供应商的另行约定，全部或者部分免除供应商应缴纳的保证金义务的，我方亦免除相应的保证责任。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3．因不可抗力造成供应商不能履行供货义务的，我方不承担保证责任。</w:t>
      </w:r>
    </w:p>
    <w:p>
      <w:pPr>
        <w:spacing w:line="360" w:lineRule="auto"/>
        <w:ind w:firstLine="420" w:firstLineChars="200"/>
        <w:rPr>
          <w:rFonts w:ascii="宋体" w:hAnsi="宋体" w:eastAsia="宋体" w:cs="宋体"/>
          <w:color w:val="auto"/>
          <w:szCs w:val="21"/>
          <w:highlight w:val="none"/>
        </w:rPr>
      </w:pPr>
      <w:bookmarkStart w:id="219" w:name="_Toc5211_WPSOffice_Level1"/>
      <w:r>
        <w:rPr>
          <w:rFonts w:hint="eastAsia" w:ascii="宋体" w:hAnsi="宋体" w:eastAsia="宋体" w:cs="宋体"/>
          <w:color w:val="auto"/>
          <w:szCs w:val="21"/>
          <w:highlight w:val="none"/>
        </w:rPr>
        <w:t>六、争议的解决</w:t>
      </w:r>
      <w:bookmarkEnd w:id="219"/>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因本保函发生的纠纷，由你我双方协商解决，协商不成的，通过诉讼程序解决，诉讼管辖地法院为法院。</w:t>
      </w:r>
    </w:p>
    <w:p>
      <w:pPr>
        <w:spacing w:line="360" w:lineRule="auto"/>
        <w:ind w:firstLine="420" w:firstLineChars="200"/>
        <w:rPr>
          <w:rFonts w:ascii="宋体" w:hAnsi="宋体" w:eastAsia="宋体" w:cs="宋体"/>
          <w:color w:val="auto"/>
          <w:szCs w:val="21"/>
          <w:highlight w:val="none"/>
        </w:rPr>
      </w:pPr>
      <w:bookmarkStart w:id="220" w:name="_Toc20252_WPSOffice_Level1"/>
      <w:r>
        <w:rPr>
          <w:rFonts w:hint="eastAsia" w:ascii="宋体" w:hAnsi="宋体" w:eastAsia="宋体" w:cs="宋体"/>
          <w:color w:val="auto"/>
          <w:szCs w:val="21"/>
          <w:highlight w:val="none"/>
        </w:rPr>
        <w:t>七、保函的生效</w:t>
      </w:r>
      <w:bookmarkEnd w:id="220"/>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本保函自我方加盖公章之日起生效。</w:t>
      </w:r>
    </w:p>
    <w:p>
      <w:pPr>
        <w:spacing w:line="360" w:lineRule="auto"/>
        <w:rPr>
          <w:rFonts w:ascii="宋体" w:hAnsi="宋体" w:eastAsia="宋体" w:cs="宋体"/>
          <w:color w:val="auto"/>
          <w:szCs w:val="21"/>
          <w:highlight w:val="none"/>
        </w:rPr>
      </w:pPr>
    </w:p>
    <w:p>
      <w:pPr>
        <w:spacing w:line="360" w:lineRule="auto"/>
        <w:ind w:firstLine="6090" w:firstLineChars="2900"/>
        <w:rPr>
          <w:rFonts w:ascii="宋体" w:hAnsi="宋体" w:eastAsia="宋体" w:cs="宋体"/>
          <w:color w:val="auto"/>
          <w:szCs w:val="21"/>
          <w:highlight w:val="none"/>
        </w:rPr>
      </w:pPr>
      <w:r>
        <w:rPr>
          <w:rFonts w:hint="eastAsia" w:ascii="宋体" w:hAnsi="宋体" w:eastAsia="宋体" w:cs="宋体"/>
          <w:color w:val="auto"/>
          <w:szCs w:val="21"/>
          <w:highlight w:val="none"/>
        </w:rPr>
        <w:t>保证人：（公章）</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年月日</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221" w:name="_Toc4891_WPSOffice_Level1"/>
      <w:r>
        <w:rPr>
          <w:rFonts w:hint="eastAsia" w:ascii="宋体" w:hAnsi="宋体" w:eastAsia="宋体" w:cs="宋体"/>
          <w:b/>
          <w:bCs/>
          <w:color w:val="auto"/>
          <w:szCs w:val="21"/>
          <w:highlight w:val="none"/>
        </w:rPr>
        <w:t>附件2：政府采购供应商质疑函范本</w:t>
      </w:r>
      <w:bookmarkEnd w:id="221"/>
    </w:p>
    <w:p>
      <w:pPr>
        <w:jc w:val="center"/>
        <w:rPr>
          <w:rFonts w:ascii="宋体" w:hAnsi="宋体" w:eastAsia="宋体" w:cs="宋体"/>
          <w:b/>
          <w:bCs/>
          <w:color w:val="auto"/>
          <w:szCs w:val="21"/>
          <w:highlight w:val="none"/>
        </w:rPr>
      </w:pPr>
      <w:bookmarkStart w:id="222" w:name="_Toc31945_WPSOffice_Level1"/>
      <w:r>
        <w:rPr>
          <w:rFonts w:hint="eastAsia" w:ascii="宋体" w:hAnsi="宋体" w:eastAsia="宋体" w:cs="宋体"/>
          <w:b/>
          <w:bCs/>
          <w:color w:val="auto"/>
          <w:szCs w:val="21"/>
          <w:highlight w:val="none"/>
        </w:rPr>
        <w:t>质疑函范本</w:t>
      </w:r>
      <w:bookmarkEnd w:id="222"/>
    </w:p>
    <w:p>
      <w:pPr>
        <w:adjustRightInd w:val="0"/>
        <w:snapToGrid w:val="0"/>
        <w:spacing w:before="319" w:beforeLines="10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一、质疑供应商基本信息</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地址：邮编：</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联系人：联系电话：</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地址：邮编：</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二、质疑项目基本情况</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质疑项目的名称：</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质疑项目的编号：包号：</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p>
    <w:p>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p>
    <w:p>
      <w:pPr>
        <w:adjustRightInd w:val="0"/>
        <w:snapToGrid w:val="0"/>
        <w:spacing w:line="360" w:lineRule="auto"/>
        <w:rPr>
          <w:rFonts w:ascii="宋体" w:hAnsi="宋体" w:eastAsia="宋体" w:cs="宋体"/>
          <w:color w:val="auto"/>
          <w:szCs w:val="21"/>
          <w:highlight w:val="none"/>
        </w:rPr>
      </w:pP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p>
    <w:p>
      <w:pPr>
        <w:adjustRightInd w:val="0"/>
        <w:snapToGrid w:val="0"/>
        <w:spacing w:line="360" w:lineRule="auto"/>
        <w:rPr>
          <w:rFonts w:ascii="宋体" w:hAnsi="宋体" w:eastAsia="宋体" w:cs="宋体"/>
          <w:color w:val="auto"/>
          <w:szCs w:val="21"/>
          <w:highlight w:val="none"/>
          <w:u w:val="dotted"/>
        </w:rPr>
      </w:pP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四、与质疑事项相关的质疑请求</w:t>
      </w:r>
    </w:p>
    <w:p>
      <w:pPr>
        <w:adjustRightInd w:val="0"/>
        <w:snapToGrid w:val="0"/>
        <w:spacing w:line="360" w:lineRule="auto"/>
        <w:rPr>
          <w:rFonts w:ascii="宋体" w:hAnsi="宋体" w:eastAsia="宋体" w:cs="宋体"/>
          <w:color w:val="auto"/>
          <w:szCs w:val="21"/>
          <w:highlight w:val="none"/>
          <w:u w:val="dotted"/>
        </w:rPr>
      </w:pPr>
      <w:r>
        <w:rPr>
          <w:rFonts w:hint="eastAsia" w:ascii="宋体" w:hAnsi="宋体" w:eastAsia="宋体" w:cs="宋体"/>
          <w:color w:val="auto"/>
          <w:szCs w:val="21"/>
          <w:highlight w:val="none"/>
        </w:rPr>
        <w:t>请求：</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签字(签章)：公章：</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日期：</w:t>
      </w:r>
    </w:p>
    <w:p>
      <w:pPr>
        <w:spacing w:line="360" w:lineRule="auto"/>
        <w:jc w:val="center"/>
        <w:rPr>
          <w:rFonts w:ascii="宋体" w:hAnsi="宋体" w:eastAsia="宋体" w:cs="宋体"/>
          <w:b/>
          <w:bCs/>
          <w:color w:val="auto"/>
          <w:szCs w:val="21"/>
          <w:highlight w:val="none"/>
        </w:rPr>
      </w:pPr>
    </w:p>
    <w:p>
      <w:pP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质疑函制作说明：</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pPr>
        <w:rPr>
          <w:rFonts w:ascii="宋体" w:hAnsi="宋体" w:eastAsia="宋体" w:cs="宋体"/>
          <w:color w:val="auto"/>
          <w:highlight w:val="none"/>
        </w:rPr>
      </w:pPr>
    </w:p>
    <w:p>
      <w:pPr>
        <w:spacing w:line="360" w:lineRule="auto"/>
        <w:rPr>
          <w:rFonts w:ascii="宋体" w:hAnsi="宋体" w:eastAsia="宋体" w:cs="宋体"/>
          <w:color w:val="auto"/>
          <w:szCs w:val="21"/>
          <w:highlight w:val="none"/>
        </w:rPr>
      </w:pPr>
    </w:p>
    <w:p>
      <w:pPr>
        <w:widowControl/>
        <w:jc w:val="left"/>
        <w:rPr>
          <w:rFonts w:ascii="宋体" w:hAnsi="宋体" w:eastAsia="宋体" w:cs="宋体"/>
          <w:color w:val="auto"/>
          <w:kern w:val="0"/>
          <w:sz w:val="20"/>
          <w:szCs w:val="20"/>
          <w:highlight w:val="none"/>
        </w:rPr>
      </w:pPr>
    </w:p>
    <w:p>
      <w:pPr>
        <w:rPr>
          <w:color w:val="auto"/>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20"/>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745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fTQJHNQIAAGE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aATIIlmCi9+/PH9&#10;+PDr+PMbGUV9GusnCFtbBIb2nWkR2597HEbabelU/IIQgR9Qh7O6og2E4/Dy+vUYDg7P6OLtm2ES&#10;P3u8a50P74VRJBo5dXi7JCnbr3xAHQjtQ2IqbZa1lOn9pCZNTq8uLofpwtmDG1LHWJE64QQT+XR1&#10;Ryu0m/ZEcmOKAzg603WJt3xZo5QV8+GeObQFqsfghDsspTRIaU4WJZVxX/91HuPxWvBS0qDNcqox&#10;VZTIDxqvCMDQG643Nr2hd+rWoG9HGEjLk4kLLsjeLJ1RXzBN85gDLqY5MuU09OZt6Fod08jFfJ6C&#10;0HeWhZVeWx6hozzezncBciaVoyidEpA8btB5SfzTlMTW/nOfoh7/DL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F9NAkc1AgAAYQQAAA4AAAAAAAAAAQAgAAAAIAEAAGRycy9lMm9Eb2MueG1s&#10;UEsFBgAAAAAGAAYAWQEAAMcFAAAAAA==&#10;">
              <v:fill on="f" focussize="0,0"/>
              <v:stroke on="f" weight="0.5pt"/>
              <v:imagedata o:title=""/>
              <o:lock v:ext="edit" aspectratio="f"/>
              <v:textbox inset="0mm,0mm,0mm,0mm" style="mso-fit-shape-to-text:t;">
                <w:txbxContent>
                  <w:p>
                    <w:pPr>
                      <w:pStyle w:val="20"/>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8727524"/>
    </w:sdtPr>
    <w:sdtContent>
      <w:p>
        <w:pPr>
          <w:pStyle w:val="20"/>
          <w:ind w:firstLine="360"/>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F204"/>
    <w:multiLevelType w:val="singleLevel"/>
    <w:tmpl w:val="9729F204"/>
    <w:lvl w:ilvl="0" w:tentative="0">
      <w:start w:val="1"/>
      <w:numFmt w:val="decimal"/>
      <w:lvlText w:val="%1."/>
      <w:lvlJc w:val="left"/>
      <w:pPr>
        <w:tabs>
          <w:tab w:val="left" w:pos="312"/>
        </w:tabs>
      </w:pPr>
    </w:lvl>
  </w:abstractNum>
  <w:abstractNum w:abstractNumId="1">
    <w:nsid w:val="F6167200"/>
    <w:multiLevelType w:val="singleLevel"/>
    <w:tmpl w:val="F6167200"/>
    <w:lvl w:ilvl="0" w:tentative="0">
      <w:start w:val="3"/>
      <w:numFmt w:val="decimal"/>
      <w:suff w:val="nothing"/>
      <w:lvlText w:val="%1）"/>
      <w:lvlJc w:val="left"/>
    </w:lvl>
  </w:abstractNum>
  <w:abstractNum w:abstractNumId="2">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5D123A"/>
    <w:multiLevelType w:val="multilevel"/>
    <w:tmpl w:val="0B5D12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32D43627"/>
    <w:multiLevelType w:val="multilevel"/>
    <w:tmpl w:val="32D43627"/>
    <w:lvl w:ilvl="0" w:tentative="0">
      <w:start w:val="1"/>
      <w:numFmt w:val="chineseCountingThousand"/>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358F7A7C"/>
    <w:multiLevelType w:val="multilevel"/>
    <w:tmpl w:val="358F7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0C153B"/>
    <w:multiLevelType w:val="multilevel"/>
    <w:tmpl w:val="420C153B"/>
    <w:lvl w:ilvl="0" w:tentative="0">
      <w:start w:val="1"/>
      <w:numFmt w:val="decimal"/>
      <w:pStyle w:val="6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3410078"/>
    <w:multiLevelType w:val="singleLevel"/>
    <w:tmpl w:val="53410078"/>
    <w:lvl w:ilvl="0" w:tentative="0">
      <w:start w:val="1"/>
      <w:numFmt w:val="decimal"/>
      <w:suff w:val="space"/>
      <w:lvlText w:val="%1."/>
      <w:lvlJc w:val="left"/>
    </w:lvl>
  </w:abstractNum>
  <w:abstractNum w:abstractNumId="11">
    <w:nsid w:val="5C322488"/>
    <w:multiLevelType w:val="multilevel"/>
    <w:tmpl w:val="5C3224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1F94B54"/>
    <w:multiLevelType w:val="multilevel"/>
    <w:tmpl w:val="61F94B54"/>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82D60D7"/>
    <w:multiLevelType w:val="multilevel"/>
    <w:tmpl w:val="682D6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ED1B97"/>
    <w:multiLevelType w:val="multilevel"/>
    <w:tmpl w:val="73ED1B97"/>
    <w:lvl w:ilvl="0" w:tentative="0">
      <w:start w:val="1"/>
      <w:numFmt w:val="decimal"/>
      <w:lvlText w:val="%1."/>
      <w:lvlJc w:val="left"/>
      <w:pPr>
        <w:ind w:left="420" w:hanging="420"/>
      </w:pPr>
      <w:rPr>
        <w:rFonts w:hint="eastAsia" w:ascii="宋体" w:hAnsi="宋体" w:eastAsia="宋体"/>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740C2EE3"/>
    <w:multiLevelType w:val="multilevel"/>
    <w:tmpl w:val="740C2EE3"/>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76778866"/>
    <w:multiLevelType w:val="multilevel"/>
    <w:tmpl w:val="76778866"/>
    <w:lvl w:ilvl="0" w:tentative="0">
      <w:start w:val="8"/>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7">
    <w:nsid w:val="7B4156D0"/>
    <w:multiLevelType w:val="singleLevel"/>
    <w:tmpl w:val="7B4156D0"/>
    <w:lvl w:ilvl="0" w:tentative="0">
      <w:start w:val="1"/>
      <w:numFmt w:val="decimal"/>
      <w:suff w:val="nothing"/>
      <w:lvlText w:val="（%1）"/>
      <w:lvlJc w:val="left"/>
    </w:lvl>
  </w:abstractNum>
  <w:abstractNum w:abstractNumId="18">
    <w:nsid w:val="7F052ADE"/>
    <w:multiLevelType w:val="multilevel"/>
    <w:tmpl w:val="7F052AD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8"/>
  </w:num>
  <w:num w:numId="3">
    <w:abstractNumId w:val="16"/>
  </w:num>
  <w:num w:numId="4">
    <w:abstractNumId w:val="9"/>
  </w:num>
  <w:num w:numId="5">
    <w:abstractNumId w:val="5"/>
  </w:num>
  <w:num w:numId="6">
    <w:abstractNumId w:val="17"/>
  </w:num>
  <w:num w:numId="7">
    <w:abstractNumId w:val="3"/>
  </w:num>
  <w:num w:numId="8">
    <w:abstractNumId w:val="0"/>
  </w:num>
  <w:num w:numId="9">
    <w:abstractNumId w:val="1"/>
  </w:num>
  <w:num w:numId="10">
    <w:abstractNumId w:val="13"/>
  </w:num>
  <w:num w:numId="11">
    <w:abstractNumId w:val="11"/>
  </w:num>
  <w:num w:numId="12">
    <w:abstractNumId w:val="7"/>
  </w:num>
  <w:num w:numId="13">
    <w:abstractNumId w:val="4"/>
  </w:num>
  <w:num w:numId="14">
    <w:abstractNumId w:val="10"/>
  </w:num>
  <w:num w:numId="15">
    <w:abstractNumId w:val="2"/>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OTEwZGY2ZGFhMjNkYjEwZjI3MzI1ZDQwYzNiN2MifQ=="/>
  </w:docVars>
  <w:rsids>
    <w:rsidRoot w:val="00172A27"/>
    <w:rsid w:val="00005EC1"/>
    <w:rsid w:val="0000774E"/>
    <w:rsid w:val="00012D62"/>
    <w:rsid w:val="000132EE"/>
    <w:rsid w:val="0001556F"/>
    <w:rsid w:val="00015B3F"/>
    <w:rsid w:val="000224A0"/>
    <w:rsid w:val="00022E4D"/>
    <w:rsid w:val="00033426"/>
    <w:rsid w:val="000337CF"/>
    <w:rsid w:val="000349D7"/>
    <w:rsid w:val="00036DCA"/>
    <w:rsid w:val="00041CBA"/>
    <w:rsid w:val="000448F3"/>
    <w:rsid w:val="0004516C"/>
    <w:rsid w:val="00045E09"/>
    <w:rsid w:val="00051172"/>
    <w:rsid w:val="00052FB6"/>
    <w:rsid w:val="000538A0"/>
    <w:rsid w:val="00057ED6"/>
    <w:rsid w:val="00060AF8"/>
    <w:rsid w:val="00062876"/>
    <w:rsid w:val="00062C88"/>
    <w:rsid w:val="0006342E"/>
    <w:rsid w:val="00065C38"/>
    <w:rsid w:val="0006724C"/>
    <w:rsid w:val="000676FD"/>
    <w:rsid w:val="000714B5"/>
    <w:rsid w:val="00077484"/>
    <w:rsid w:val="00077766"/>
    <w:rsid w:val="00077D9F"/>
    <w:rsid w:val="00085461"/>
    <w:rsid w:val="000868F8"/>
    <w:rsid w:val="00096F0F"/>
    <w:rsid w:val="00097585"/>
    <w:rsid w:val="000A001C"/>
    <w:rsid w:val="000A0F4A"/>
    <w:rsid w:val="000A5FC5"/>
    <w:rsid w:val="000A6402"/>
    <w:rsid w:val="000A696E"/>
    <w:rsid w:val="000B0799"/>
    <w:rsid w:val="000B0B81"/>
    <w:rsid w:val="000B27F6"/>
    <w:rsid w:val="000B381E"/>
    <w:rsid w:val="000B61BA"/>
    <w:rsid w:val="000B6227"/>
    <w:rsid w:val="000C3866"/>
    <w:rsid w:val="000C4916"/>
    <w:rsid w:val="000C4CD1"/>
    <w:rsid w:val="000D0A38"/>
    <w:rsid w:val="000D3878"/>
    <w:rsid w:val="000D5177"/>
    <w:rsid w:val="000D61E5"/>
    <w:rsid w:val="000D66E0"/>
    <w:rsid w:val="000E0781"/>
    <w:rsid w:val="000E3B39"/>
    <w:rsid w:val="000E4B8C"/>
    <w:rsid w:val="000E5816"/>
    <w:rsid w:val="000E6CD5"/>
    <w:rsid w:val="000F2AD4"/>
    <w:rsid w:val="000F2F57"/>
    <w:rsid w:val="000F30F1"/>
    <w:rsid w:val="000F3FE7"/>
    <w:rsid w:val="000F437C"/>
    <w:rsid w:val="00100508"/>
    <w:rsid w:val="00100730"/>
    <w:rsid w:val="001009A0"/>
    <w:rsid w:val="001066AD"/>
    <w:rsid w:val="00110EA3"/>
    <w:rsid w:val="00112666"/>
    <w:rsid w:val="00112D2F"/>
    <w:rsid w:val="00115891"/>
    <w:rsid w:val="00116C95"/>
    <w:rsid w:val="00120C80"/>
    <w:rsid w:val="00121237"/>
    <w:rsid w:val="001224D9"/>
    <w:rsid w:val="001226F3"/>
    <w:rsid w:val="001240CE"/>
    <w:rsid w:val="00126B36"/>
    <w:rsid w:val="00130825"/>
    <w:rsid w:val="001309E9"/>
    <w:rsid w:val="00133ECE"/>
    <w:rsid w:val="001356EB"/>
    <w:rsid w:val="001362EE"/>
    <w:rsid w:val="00137994"/>
    <w:rsid w:val="001379F4"/>
    <w:rsid w:val="00141CBB"/>
    <w:rsid w:val="00142C3C"/>
    <w:rsid w:val="00143F6F"/>
    <w:rsid w:val="00144760"/>
    <w:rsid w:val="00145D1A"/>
    <w:rsid w:val="00150495"/>
    <w:rsid w:val="0015661F"/>
    <w:rsid w:val="001567BA"/>
    <w:rsid w:val="00161EFA"/>
    <w:rsid w:val="00167E18"/>
    <w:rsid w:val="00170620"/>
    <w:rsid w:val="00172A27"/>
    <w:rsid w:val="00176E16"/>
    <w:rsid w:val="00177C6F"/>
    <w:rsid w:val="001808EB"/>
    <w:rsid w:val="00183409"/>
    <w:rsid w:val="00185F29"/>
    <w:rsid w:val="00190EE1"/>
    <w:rsid w:val="00196A07"/>
    <w:rsid w:val="00196F32"/>
    <w:rsid w:val="00197A4B"/>
    <w:rsid w:val="001A3303"/>
    <w:rsid w:val="001A5543"/>
    <w:rsid w:val="001A69BE"/>
    <w:rsid w:val="001A6EA6"/>
    <w:rsid w:val="001B16BE"/>
    <w:rsid w:val="001B20CE"/>
    <w:rsid w:val="001B21F7"/>
    <w:rsid w:val="001B380C"/>
    <w:rsid w:val="001B5F66"/>
    <w:rsid w:val="001C325B"/>
    <w:rsid w:val="001C3E52"/>
    <w:rsid w:val="001C52EA"/>
    <w:rsid w:val="001C5DB3"/>
    <w:rsid w:val="001C62D3"/>
    <w:rsid w:val="001C7766"/>
    <w:rsid w:val="001D25FD"/>
    <w:rsid w:val="001D70CF"/>
    <w:rsid w:val="001D715A"/>
    <w:rsid w:val="001E050C"/>
    <w:rsid w:val="001E0834"/>
    <w:rsid w:val="001E4565"/>
    <w:rsid w:val="001E786B"/>
    <w:rsid w:val="001E7FFD"/>
    <w:rsid w:val="001F215A"/>
    <w:rsid w:val="00200645"/>
    <w:rsid w:val="002006C8"/>
    <w:rsid w:val="00200F6C"/>
    <w:rsid w:val="00202E64"/>
    <w:rsid w:val="0020549A"/>
    <w:rsid w:val="00207D8B"/>
    <w:rsid w:val="0021017D"/>
    <w:rsid w:val="00211973"/>
    <w:rsid w:val="00212480"/>
    <w:rsid w:val="00212599"/>
    <w:rsid w:val="00215AFB"/>
    <w:rsid w:val="00216794"/>
    <w:rsid w:val="002168DE"/>
    <w:rsid w:val="0022008B"/>
    <w:rsid w:val="00221ED6"/>
    <w:rsid w:val="00222443"/>
    <w:rsid w:val="00222B5F"/>
    <w:rsid w:val="002231CD"/>
    <w:rsid w:val="00225221"/>
    <w:rsid w:val="002253A0"/>
    <w:rsid w:val="00225624"/>
    <w:rsid w:val="002273CF"/>
    <w:rsid w:val="00227727"/>
    <w:rsid w:val="0023285F"/>
    <w:rsid w:val="00234145"/>
    <w:rsid w:val="00235F59"/>
    <w:rsid w:val="002370F6"/>
    <w:rsid w:val="0023754B"/>
    <w:rsid w:val="0023754C"/>
    <w:rsid w:val="002404FF"/>
    <w:rsid w:val="00242D92"/>
    <w:rsid w:val="0024575A"/>
    <w:rsid w:val="0024739D"/>
    <w:rsid w:val="00247D4C"/>
    <w:rsid w:val="002501E5"/>
    <w:rsid w:val="00252854"/>
    <w:rsid w:val="00252B0E"/>
    <w:rsid w:val="0025427F"/>
    <w:rsid w:val="00255443"/>
    <w:rsid w:val="002657E1"/>
    <w:rsid w:val="00267411"/>
    <w:rsid w:val="00267DEB"/>
    <w:rsid w:val="00267F49"/>
    <w:rsid w:val="002728A9"/>
    <w:rsid w:val="00273828"/>
    <w:rsid w:val="002801A9"/>
    <w:rsid w:val="0028044F"/>
    <w:rsid w:val="0028111F"/>
    <w:rsid w:val="002813FB"/>
    <w:rsid w:val="00282239"/>
    <w:rsid w:val="002845F6"/>
    <w:rsid w:val="00285E04"/>
    <w:rsid w:val="002868A9"/>
    <w:rsid w:val="0028738B"/>
    <w:rsid w:val="002912CE"/>
    <w:rsid w:val="00294672"/>
    <w:rsid w:val="002A0109"/>
    <w:rsid w:val="002A0496"/>
    <w:rsid w:val="002A0A30"/>
    <w:rsid w:val="002A13EE"/>
    <w:rsid w:val="002A3F89"/>
    <w:rsid w:val="002A6AAD"/>
    <w:rsid w:val="002B2167"/>
    <w:rsid w:val="002B2C8F"/>
    <w:rsid w:val="002B3556"/>
    <w:rsid w:val="002B4766"/>
    <w:rsid w:val="002B5F45"/>
    <w:rsid w:val="002B6397"/>
    <w:rsid w:val="002C1B46"/>
    <w:rsid w:val="002C344C"/>
    <w:rsid w:val="002C5924"/>
    <w:rsid w:val="002D2774"/>
    <w:rsid w:val="002D6DD4"/>
    <w:rsid w:val="002E0F01"/>
    <w:rsid w:val="002E10AF"/>
    <w:rsid w:val="002E4799"/>
    <w:rsid w:val="002E6B9F"/>
    <w:rsid w:val="002E7F88"/>
    <w:rsid w:val="002F192D"/>
    <w:rsid w:val="002F3039"/>
    <w:rsid w:val="002F6B78"/>
    <w:rsid w:val="003012EF"/>
    <w:rsid w:val="00301E86"/>
    <w:rsid w:val="003022DA"/>
    <w:rsid w:val="00302C7D"/>
    <w:rsid w:val="00304320"/>
    <w:rsid w:val="00304EE1"/>
    <w:rsid w:val="003058E2"/>
    <w:rsid w:val="00310B94"/>
    <w:rsid w:val="003127D5"/>
    <w:rsid w:val="00314427"/>
    <w:rsid w:val="00315F04"/>
    <w:rsid w:val="003179AE"/>
    <w:rsid w:val="00317FDB"/>
    <w:rsid w:val="00321250"/>
    <w:rsid w:val="003216E0"/>
    <w:rsid w:val="0032353D"/>
    <w:rsid w:val="00323C0D"/>
    <w:rsid w:val="00324F06"/>
    <w:rsid w:val="00334169"/>
    <w:rsid w:val="003367C4"/>
    <w:rsid w:val="003367F1"/>
    <w:rsid w:val="0034026A"/>
    <w:rsid w:val="00344032"/>
    <w:rsid w:val="003447BE"/>
    <w:rsid w:val="00345258"/>
    <w:rsid w:val="00345442"/>
    <w:rsid w:val="00346B58"/>
    <w:rsid w:val="003575D1"/>
    <w:rsid w:val="003618BD"/>
    <w:rsid w:val="00362F1D"/>
    <w:rsid w:val="00367D14"/>
    <w:rsid w:val="00370E58"/>
    <w:rsid w:val="003715B8"/>
    <w:rsid w:val="003725A0"/>
    <w:rsid w:val="003725D4"/>
    <w:rsid w:val="00375320"/>
    <w:rsid w:val="00376B7C"/>
    <w:rsid w:val="00377E0A"/>
    <w:rsid w:val="0038192F"/>
    <w:rsid w:val="0038256D"/>
    <w:rsid w:val="00383767"/>
    <w:rsid w:val="0038461D"/>
    <w:rsid w:val="003852E4"/>
    <w:rsid w:val="003879AD"/>
    <w:rsid w:val="00387BFF"/>
    <w:rsid w:val="00387FE3"/>
    <w:rsid w:val="00391D09"/>
    <w:rsid w:val="00392D46"/>
    <w:rsid w:val="00394000"/>
    <w:rsid w:val="00394685"/>
    <w:rsid w:val="00397212"/>
    <w:rsid w:val="003A273C"/>
    <w:rsid w:val="003A4889"/>
    <w:rsid w:val="003A4C3F"/>
    <w:rsid w:val="003A4CE4"/>
    <w:rsid w:val="003A5F24"/>
    <w:rsid w:val="003B0DFC"/>
    <w:rsid w:val="003B3A20"/>
    <w:rsid w:val="003B76AC"/>
    <w:rsid w:val="003C40C7"/>
    <w:rsid w:val="003C4D72"/>
    <w:rsid w:val="003C5B00"/>
    <w:rsid w:val="003C6080"/>
    <w:rsid w:val="003C7F54"/>
    <w:rsid w:val="003D0347"/>
    <w:rsid w:val="003D0726"/>
    <w:rsid w:val="003D4EDC"/>
    <w:rsid w:val="003E0EE5"/>
    <w:rsid w:val="003E302D"/>
    <w:rsid w:val="003E6E2A"/>
    <w:rsid w:val="003F770E"/>
    <w:rsid w:val="00400A14"/>
    <w:rsid w:val="00401129"/>
    <w:rsid w:val="00402666"/>
    <w:rsid w:val="00402ED7"/>
    <w:rsid w:val="0040382E"/>
    <w:rsid w:val="004100B5"/>
    <w:rsid w:val="004102F7"/>
    <w:rsid w:val="00413703"/>
    <w:rsid w:val="004137CE"/>
    <w:rsid w:val="0041695C"/>
    <w:rsid w:val="00417A17"/>
    <w:rsid w:val="00423541"/>
    <w:rsid w:val="00424BD8"/>
    <w:rsid w:val="00425018"/>
    <w:rsid w:val="0042522A"/>
    <w:rsid w:val="00425AC5"/>
    <w:rsid w:val="00426ABB"/>
    <w:rsid w:val="00427AFC"/>
    <w:rsid w:val="00430A87"/>
    <w:rsid w:val="004317B9"/>
    <w:rsid w:val="0043647A"/>
    <w:rsid w:val="00440750"/>
    <w:rsid w:val="00442EB6"/>
    <w:rsid w:val="00443FDB"/>
    <w:rsid w:val="00445D1B"/>
    <w:rsid w:val="00446164"/>
    <w:rsid w:val="004478D1"/>
    <w:rsid w:val="00447FA9"/>
    <w:rsid w:val="00450F56"/>
    <w:rsid w:val="004511F1"/>
    <w:rsid w:val="00454242"/>
    <w:rsid w:val="004612FE"/>
    <w:rsid w:val="00462D9C"/>
    <w:rsid w:val="00463113"/>
    <w:rsid w:val="0046412F"/>
    <w:rsid w:val="00466569"/>
    <w:rsid w:val="00467D17"/>
    <w:rsid w:val="004705A1"/>
    <w:rsid w:val="00474062"/>
    <w:rsid w:val="00476594"/>
    <w:rsid w:val="0048013C"/>
    <w:rsid w:val="0048468D"/>
    <w:rsid w:val="00484A62"/>
    <w:rsid w:val="0048602C"/>
    <w:rsid w:val="0048658C"/>
    <w:rsid w:val="00486691"/>
    <w:rsid w:val="00487B75"/>
    <w:rsid w:val="00490A8F"/>
    <w:rsid w:val="00491306"/>
    <w:rsid w:val="00493D8F"/>
    <w:rsid w:val="0049632F"/>
    <w:rsid w:val="00496368"/>
    <w:rsid w:val="00496ED9"/>
    <w:rsid w:val="004976A0"/>
    <w:rsid w:val="004A0CFE"/>
    <w:rsid w:val="004A0FEE"/>
    <w:rsid w:val="004A17E0"/>
    <w:rsid w:val="004A1A92"/>
    <w:rsid w:val="004A580D"/>
    <w:rsid w:val="004B1AD5"/>
    <w:rsid w:val="004B4A55"/>
    <w:rsid w:val="004B4E57"/>
    <w:rsid w:val="004B79EF"/>
    <w:rsid w:val="004B7AA4"/>
    <w:rsid w:val="004C086F"/>
    <w:rsid w:val="004C088E"/>
    <w:rsid w:val="004C18C0"/>
    <w:rsid w:val="004C503D"/>
    <w:rsid w:val="004C5563"/>
    <w:rsid w:val="004C59C9"/>
    <w:rsid w:val="004C5EC8"/>
    <w:rsid w:val="004C62AB"/>
    <w:rsid w:val="004C718C"/>
    <w:rsid w:val="004D09DF"/>
    <w:rsid w:val="004D0DBD"/>
    <w:rsid w:val="004D0DD8"/>
    <w:rsid w:val="004D202C"/>
    <w:rsid w:val="004D6B6F"/>
    <w:rsid w:val="004E1975"/>
    <w:rsid w:val="004E2BB0"/>
    <w:rsid w:val="004E3769"/>
    <w:rsid w:val="004E4BAC"/>
    <w:rsid w:val="004F1B63"/>
    <w:rsid w:val="004F6B1A"/>
    <w:rsid w:val="004F77FC"/>
    <w:rsid w:val="005025AB"/>
    <w:rsid w:val="00502E90"/>
    <w:rsid w:val="005041A6"/>
    <w:rsid w:val="00512B7F"/>
    <w:rsid w:val="00513444"/>
    <w:rsid w:val="0051366C"/>
    <w:rsid w:val="005200CE"/>
    <w:rsid w:val="005214D0"/>
    <w:rsid w:val="005234B0"/>
    <w:rsid w:val="00523D33"/>
    <w:rsid w:val="00524628"/>
    <w:rsid w:val="00525643"/>
    <w:rsid w:val="00525F54"/>
    <w:rsid w:val="00526F71"/>
    <w:rsid w:val="0053129A"/>
    <w:rsid w:val="005320C4"/>
    <w:rsid w:val="00542735"/>
    <w:rsid w:val="00544562"/>
    <w:rsid w:val="0054610B"/>
    <w:rsid w:val="00547D5A"/>
    <w:rsid w:val="00551BE2"/>
    <w:rsid w:val="005544C1"/>
    <w:rsid w:val="00554A37"/>
    <w:rsid w:val="0055604D"/>
    <w:rsid w:val="0055608C"/>
    <w:rsid w:val="005561AA"/>
    <w:rsid w:val="00557927"/>
    <w:rsid w:val="00560E0E"/>
    <w:rsid w:val="00561666"/>
    <w:rsid w:val="00561CC8"/>
    <w:rsid w:val="00562667"/>
    <w:rsid w:val="00562C8D"/>
    <w:rsid w:val="005634FF"/>
    <w:rsid w:val="00565943"/>
    <w:rsid w:val="00566FB7"/>
    <w:rsid w:val="00574E1A"/>
    <w:rsid w:val="00574EB5"/>
    <w:rsid w:val="00575A00"/>
    <w:rsid w:val="0057678C"/>
    <w:rsid w:val="005802D8"/>
    <w:rsid w:val="005809BA"/>
    <w:rsid w:val="00580CAB"/>
    <w:rsid w:val="00581605"/>
    <w:rsid w:val="005828C8"/>
    <w:rsid w:val="00586F3E"/>
    <w:rsid w:val="0059199B"/>
    <w:rsid w:val="00591F40"/>
    <w:rsid w:val="0059462D"/>
    <w:rsid w:val="005A5237"/>
    <w:rsid w:val="005A6A38"/>
    <w:rsid w:val="005A74E0"/>
    <w:rsid w:val="005A77F8"/>
    <w:rsid w:val="005B055E"/>
    <w:rsid w:val="005B18B6"/>
    <w:rsid w:val="005B36F8"/>
    <w:rsid w:val="005B46A6"/>
    <w:rsid w:val="005B4DD1"/>
    <w:rsid w:val="005C056C"/>
    <w:rsid w:val="005C5D0E"/>
    <w:rsid w:val="005C63E1"/>
    <w:rsid w:val="005C72F5"/>
    <w:rsid w:val="005C77F9"/>
    <w:rsid w:val="005D1C21"/>
    <w:rsid w:val="005D3F31"/>
    <w:rsid w:val="005D75F5"/>
    <w:rsid w:val="005E02BE"/>
    <w:rsid w:val="005E2BA1"/>
    <w:rsid w:val="005E3D8B"/>
    <w:rsid w:val="005E3FE4"/>
    <w:rsid w:val="005F353A"/>
    <w:rsid w:val="005F53B0"/>
    <w:rsid w:val="005F586F"/>
    <w:rsid w:val="005F74F9"/>
    <w:rsid w:val="00600617"/>
    <w:rsid w:val="00601AFA"/>
    <w:rsid w:val="0060220D"/>
    <w:rsid w:val="00602DA1"/>
    <w:rsid w:val="00602DAD"/>
    <w:rsid w:val="006033D9"/>
    <w:rsid w:val="006128BA"/>
    <w:rsid w:val="0061528A"/>
    <w:rsid w:val="00621928"/>
    <w:rsid w:val="00622B70"/>
    <w:rsid w:val="00622EF7"/>
    <w:rsid w:val="00623F1D"/>
    <w:rsid w:val="00625650"/>
    <w:rsid w:val="00626433"/>
    <w:rsid w:val="006268FD"/>
    <w:rsid w:val="00630643"/>
    <w:rsid w:val="006345FC"/>
    <w:rsid w:val="00635F97"/>
    <w:rsid w:val="00637206"/>
    <w:rsid w:val="00642EAC"/>
    <w:rsid w:val="0064594F"/>
    <w:rsid w:val="006464B5"/>
    <w:rsid w:val="006474B4"/>
    <w:rsid w:val="00651A7C"/>
    <w:rsid w:val="006527A6"/>
    <w:rsid w:val="00652BAC"/>
    <w:rsid w:val="006539E2"/>
    <w:rsid w:val="00653E72"/>
    <w:rsid w:val="0066018B"/>
    <w:rsid w:val="00663CD3"/>
    <w:rsid w:val="00663E49"/>
    <w:rsid w:val="00667094"/>
    <w:rsid w:val="006715CE"/>
    <w:rsid w:val="00676478"/>
    <w:rsid w:val="0068037A"/>
    <w:rsid w:val="0068069C"/>
    <w:rsid w:val="0068324C"/>
    <w:rsid w:val="00684C44"/>
    <w:rsid w:val="00687E81"/>
    <w:rsid w:val="00690086"/>
    <w:rsid w:val="0069191C"/>
    <w:rsid w:val="006934C7"/>
    <w:rsid w:val="00694006"/>
    <w:rsid w:val="006971B0"/>
    <w:rsid w:val="006A0A31"/>
    <w:rsid w:val="006A0F04"/>
    <w:rsid w:val="006A1271"/>
    <w:rsid w:val="006A211E"/>
    <w:rsid w:val="006A50A7"/>
    <w:rsid w:val="006A6DBC"/>
    <w:rsid w:val="006B121B"/>
    <w:rsid w:val="006B1688"/>
    <w:rsid w:val="006B17AC"/>
    <w:rsid w:val="006B4089"/>
    <w:rsid w:val="006B40CF"/>
    <w:rsid w:val="006C1FFD"/>
    <w:rsid w:val="006C37EF"/>
    <w:rsid w:val="006C65D7"/>
    <w:rsid w:val="006D0CB7"/>
    <w:rsid w:val="006D3A5F"/>
    <w:rsid w:val="006D6F5B"/>
    <w:rsid w:val="006D7705"/>
    <w:rsid w:val="006E131C"/>
    <w:rsid w:val="006E53A3"/>
    <w:rsid w:val="006E6159"/>
    <w:rsid w:val="006F0F3E"/>
    <w:rsid w:val="006F2ED0"/>
    <w:rsid w:val="00700134"/>
    <w:rsid w:val="00700E13"/>
    <w:rsid w:val="00700F57"/>
    <w:rsid w:val="00701D3A"/>
    <w:rsid w:val="00702BC5"/>
    <w:rsid w:val="00703514"/>
    <w:rsid w:val="00706D63"/>
    <w:rsid w:val="0070797E"/>
    <w:rsid w:val="0071072C"/>
    <w:rsid w:val="0071716B"/>
    <w:rsid w:val="00723D4B"/>
    <w:rsid w:val="00725348"/>
    <w:rsid w:val="00725C0E"/>
    <w:rsid w:val="0074147A"/>
    <w:rsid w:val="00742E6F"/>
    <w:rsid w:val="007443CA"/>
    <w:rsid w:val="007448A1"/>
    <w:rsid w:val="00745FA9"/>
    <w:rsid w:val="007469A4"/>
    <w:rsid w:val="00747F8D"/>
    <w:rsid w:val="00750334"/>
    <w:rsid w:val="0075190F"/>
    <w:rsid w:val="007549E2"/>
    <w:rsid w:val="0075672D"/>
    <w:rsid w:val="00760D99"/>
    <w:rsid w:val="007623A9"/>
    <w:rsid w:val="00762F24"/>
    <w:rsid w:val="00763EAF"/>
    <w:rsid w:val="007658F7"/>
    <w:rsid w:val="00765F45"/>
    <w:rsid w:val="0076742B"/>
    <w:rsid w:val="0077016D"/>
    <w:rsid w:val="00771CB4"/>
    <w:rsid w:val="00773C20"/>
    <w:rsid w:val="00774930"/>
    <w:rsid w:val="007770C9"/>
    <w:rsid w:val="0078063E"/>
    <w:rsid w:val="00781720"/>
    <w:rsid w:val="00782281"/>
    <w:rsid w:val="00784B6E"/>
    <w:rsid w:val="007924BA"/>
    <w:rsid w:val="007930E3"/>
    <w:rsid w:val="00793782"/>
    <w:rsid w:val="00794719"/>
    <w:rsid w:val="0079536F"/>
    <w:rsid w:val="007A1D68"/>
    <w:rsid w:val="007A48B2"/>
    <w:rsid w:val="007A4DE9"/>
    <w:rsid w:val="007A5222"/>
    <w:rsid w:val="007A76CF"/>
    <w:rsid w:val="007B328D"/>
    <w:rsid w:val="007B3EC0"/>
    <w:rsid w:val="007B4962"/>
    <w:rsid w:val="007C064F"/>
    <w:rsid w:val="007C080E"/>
    <w:rsid w:val="007C0B5D"/>
    <w:rsid w:val="007C2211"/>
    <w:rsid w:val="007C2CCC"/>
    <w:rsid w:val="007C70A4"/>
    <w:rsid w:val="007D15C6"/>
    <w:rsid w:val="007D1EF6"/>
    <w:rsid w:val="007E0425"/>
    <w:rsid w:val="007E0F4A"/>
    <w:rsid w:val="007E46F8"/>
    <w:rsid w:val="007F12B0"/>
    <w:rsid w:val="007F21E2"/>
    <w:rsid w:val="007F4F0F"/>
    <w:rsid w:val="007F7D9A"/>
    <w:rsid w:val="00802093"/>
    <w:rsid w:val="00804D44"/>
    <w:rsid w:val="008063CE"/>
    <w:rsid w:val="0081020F"/>
    <w:rsid w:val="008103D1"/>
    <w:rsid w:val="008122DA"/>
    <w:rsid w:val="00821B90"/>
    <w:rsid w:val="00822E0E"/>
    <w:rsid w:val="008233FB"/>
    <w:rsid w:val="00833A1F"/>
    <w:rsid w:val="00836CA5"/>
    <w:rsid w:val="00836E22"/>
    <w:rsid w:val="008416F1"/>
    <w:rsid w:val="00841BB7"/>
    <w:rsid w:val="00850576"/>
    <w:rsid w:val="0085140C"/>
    <w:rsid w:val="00851CC2"/>
    <w:rsid w:val="0085224B"/>
    <w:rsid w:val="0085274A"/>
    <w:rsid w:val="00853DB0"/>
    <w:rsid w:val="0085543B"/>
    <w:rsid w:val="00860173"/>
    <w:rsid w:val="008612FE"/>
    <w:rsid w:val="00863097"/>
    <w:rsid w:val="0087470A"/>
    <w:rsid w:val="00875323"/>
    <w:rsid w:val="00875881"/>
    <w:rsid w:val="0088090E"/>
    <w:rsid w:val="00881ADD"/>
    <w:rsid w:val="00882C69"/>
    <w:rsid w:val="00884B5A"/>
    <w:rsid w:val="00885A23"/>
    <w:rsid w:val="00891895"/>
    <w:rsid w:val="008924F0"/>
    <w:rsid w:val="008A3A89"/>
    <w:rsid w:val="008A4E7F"/>
    <w:rsid w:val="008A5F02"/>
    <w:rsid w:val="008B13E3"/>
    <w:rsid w:val="008B2464"/>
    <w:rsid w:val="008B3BD3"/>
    <w:rsid w:val="008B3BF2"/>
    <w:rsid w:val="008B5DD0"/>
    <w:rsid w:val="008C03C8"/>
    <w:rsid w:val="008C237C"/>
    <w:rsid w:val="008C31AA"/>
    <w:rsid w:val="008C4407"/>
    <w:rsid w:val="008C495C"/>
    <w:rsid w:val="008C7A50"/>
    <w:rsid w:val="008D0C18"/>
    <w:rsid w:val="008D0F6F"/>
    <w:rsid w:val="008D166A"/>
    <w:rsid w:val="008D296C"/>
    <w:rsid w:val="008D471B"/>
    <w:rsid w:val="008D4EC7"/>
    <w:rsid w:val="008E12B8"/>
    <w:rsid w:val="008E2E95"/>
    <w:rsid w:val="008E521F"/>
    <w:rsid w:val="008E5744"/>
    <w:rsid w:val="008E5907"/>
    <w:rsid w:val="008E5AF5"/>
    <w:rsid w:val="008E6049"/>
    <w:rsid w:val="008E6D82"/>
    <w:rsid w:val="008F2779"/>
    <w:rsid w:val="008F2F24"/>
    <w:rsid w:val="008F43C7"/>
    <w:rsid w:val="008F4D0E"/>
    <w:rsid w:val="008F5750"/>
    <w:rsid w:val="008F5D8E"/>
    <w:rsid w:val="008F6981"/>
    <w:rsid w:val="008F76B2"/>
    <w:rsid w:val="00900232"/>
    <w:rsid w:val="00900A36"/>
    <w:rsid w:val="009013B7"/>
    <w:rsid w:val="0090155F"/>
    <w:rsid w:val="00902E70"/>
    <w:rsid w:val="00903B1C"/>
    <w:rsid w:val="009055A5"/>
    <w:rsid w:val="00911185"/>
    <w:rsid w:val="00911239"/>
    <w:rsid w:val="00915101"/>
    <w:rsid w:val="00916262"/>
    <w:rsid w:val="00917529"/>
    <w:rsid w:val="00921174"/>
    <w:rsid w:val="00923B90"/>
    <w:rsid w:val="00925D6C"/>
    <w:rsid w:val="00926945"/>
    <w:rsid w:val="009308B2"/>
    <w:rsid w:val="00931527"/>
    <w:rsid w:val="0093300B"/>
    <w:rsid w:val="00934344"/>
    <w:rsid w:val="009379F5"/>
    <w:rsid w:val="00940744"/>
    <w:rsid w:val="0094263C"/>
    <w:rsid w:val="009434B9"/>
    <w:rsid w:val="009509D0"/>
    <w:rsid w:val="00954F12"/>
    <w:rsid w:val="0095505A"/>
    <w:rsid w:val="00955CBF"/>
    <w:rsid w:val="00956572"/>
    <w:rsid w:val="009566F8"/>
    <w:rsid w:val="00960531"/>
    <w:rsid w:val="00960E40"/>
    <w:rsid w:val="00961EFF"/>
    <w:rsid w:val="00963F3F"/>
    <w:rsid w:val="009645D8"/>
    <w:rsid w:val="00966794"/>
    <w:rsid w:val="009678F5"/>
    <w:rsid w:val="00970A18"/>
    <w:rsid w:val="00983675"/>
    <w:rsid w:val="00983D60"/>
    <w:rsid w:val="0098677D"/>
    <w:rsid w:val="00991999"/>
    <w:rsid w:val="00994965"/>
    <w:rsid w:val="009964F6"/>
    <w:rsid w:val="009A2223"/>
    <w:rsid w:val="009A4B06"/>
    <w:rsid w:val="009A59B3"/>
    <w:rsid w:val="009A5D28"/>
    <w:rsid w:val="009B14A7"/>
    <w:rsid w:val="009B1E78"/>
    <w:rsid w:val="009B51BE"/>
    <w:rsid w:val="009B5E77"/>
    <w:rsid w:val="009B79C8"/>
    <w:rsid w:val="009B7BDA"/>
    <w:rsid w:val="009C2C98"/>
    <w:rsid w:val="009C4903"/>
    <w:rsid w:val="009C7BEC"/>
    <w:rsid w:val="009D109E"/>
    <w:rsid w:val="009D35FD"/>
    <w:rsid w:val="009D4F06"/>
    <w:rsid w:val="009D5EDA"/>
    <w:rsid w:val="009E2CC0"/>
    <w:rsid w:val="009E3425"/>
    <w:rsid w:val="009E50B0"/>
    <w:rsid w:val="009E55FF"/>
    <w:rsid w:val="009E6138"/>
    <w:rsid w:val="009F182B"/>
    <w:rsid w:val="009F3FB3"/>
    <w:rsid w:val="00A0209E"/>
    <w:rsid w:val="00A03DFD"/>
    <w:rsid w:val="00A05484"/>
    <w:rsid w:val="00A103FA"/>
    <w:rsid w:val="00A10761"/>
    <w:rsid w:val="00A109A7"/>
    <w:rsid w:val="00A13CB5"/>
    <w:rsid w:val="00A14629"/>
    <w:rsid w:val="00A16055"/>
    <w:rsid w:val="00A16C54"/>
    <w:rsid w:val="00A177E9"/>
    <w:rsid w:val="00A17910"/>
    <w:rsid w:val="00A218A8"/>
    <w:rsid w:val="00A21C50"/>
    <w:rsid w:val="00A2598D"/>
    <w:rsid w:val="00A260C6"/>
    <w:rsid w:val="00A266C3"/>
    <w:rsid w:val="00A31B92"/>
    <w:rsid w:val="00A32B54"/>
    <w:rsid w:val="00A35CB5"/>
    <w:rsid w:val="00A36F0A"/>
    <w:rsid w:val="00A3784C"/>
    <w:rsid w:val="00A45999"/>
    <w:rsid w:val="00A50110"/>
    <w:rsid w:val="00A5135A"/>
    <w:rsid w:val="00A515E8"/>
    <w:rsid w:val="00A51E63"/>
    <w:rsid w:val="00A52FD1"/>
    <w:rsid w:val="00A56000"/>
    <w:rsid w:val="00A56025"/>
    <w:rsid w:val="00A56E17"/>
    <w:rsid w:val="00A56F6F"/>
    <w:rsid w:val="00A631BA"/>
    <w:rsid w:val="00A66FB3"/>
    <w:rsid w:val="00A711D6"/>
    <w:rsid w:val="00A75610"/>
    <w:rsid w:val="00A77FD4"/>
    <w:rsid w:val="00A81385"/>
    <w:rsid w:val="00A82127"/>
    <w:rsid w:val="00A916AF"/>
    <w:rsid w:val="00A91E5C"/>
    <w:rsid w:val="00A92512"/>
    <w:rsid w:val="00A94CC0"/>
    <w:rsid w:val="00AA0B31"/>
    <w:rsid w:val="00AA22BA"/>
    <w:rsid w:val="00AA3C98"/>
    <w:rsid w:val="00AA4D96"/>
    <w:rsid w:val="00AB0C3D"/>
    <w:rsid w:val="00AB18B0"/>
    <w:rsid w:val="00AB4674"/>
    <w:rsid w:val="00AB5F1B"/>
    <w:rsid w:val="00AB69B0"/>
    <w:rsid w:val="00AB6FBD"/>
    <w:rsid w:val="00AC0C04"/>
    <w:rsid w:val="00AC1EF3"/>
    <w:rsid w:val="00AC38AE"/>
    <w:rsid w:val="00AC3FAE"/>
    <w:rsid w:val="00AC5E63"/>
    <w:rsid w:val="00AC63BC"/>
    <w:rsid w:val="00AD2D0E"/>
    <w:rsid w:val="00AD7DB1"/>
    <w:rsid w:val="00AE05DF"/>
    <w:rsid w:val="00AE2C4C"/>
    <w:rsid w:val="00AE32BD"/>
    <w:rsid w:val="00AE3563"/>
    <w:rsid w:val="00AE432D"/>
    <w:rsid w:val="00AF4179"/>
    <w:rsid w:val="00AF7A70"/>
    <w:rsid w:val="00B0116D"/>
    <w:rsid w:val="00B01697"/>
    <w:rsid w:val="00B04AE3"/>
    <w:rsid w:val="00B06CD0"/>
    <w:rsid w:val="00B070E3"/>
    <w:rsid w:val="00B11205"/>
    <w:rsid w:val="00B130D1"/>
    <w:rsid w:val="00B13ACC"/>
    <w:rsid w:val="00B1478D"/>
    <w:rsid w:val="00B160E1"/>
    <w:rsid w:val="00B168E5"/>
    <w:rsid w:val="00B270E8"/>
    <w:rsid w:val="00B31A64"/>
    <w:rsid w:val="00B33F02"/>
    <w:rsid w:val="00B34B5B"/>
    <w:rsid w:val="00B35954"/>
    <w:rsid w:val="00B377F1"/>
    <w:rsid w:val="00B529BC"/>
    <w:rsid w:val="00B55AF5"/>
    <w:rsid w:val="00B56877"/>
    <w:rsid w:val="00B61407"/>
    <w:rsid w:val="00B6212C"/>
    <w:rsid w:val="00B63299"/>
    <w:rsid w:val="00B64BAC"/>
    <w:rsid w:val="00B70E32"/>
    <w:rsid w:val="00B77273"/>
    <w:rsid w:val="00B80E8C"/>
    <w:rsid w:val="00B82EA1"/>
    <w:rsid w:val="00B847B6"/>
    <w:rsid w:val="00B90E9D"/>
    <w:rsid w:val="00B92BD2"/>
    <w:rsid w:val="00B93361"/>
    <w:rsid w:val="00B947A4"/>
    <w:rsid w:val="00B96F2C"/>
    <w:rsid w:val="00BA0D53"/>
    <w:rsid w:val="00BA13FD"/>
    <w:rsid w:val="00BA1CAE"/>
    <w:rsid w:val="00BA5505"/>
    <w:rsid w:val="00BB1D83"/>
    <w:rsid w:val="00BB6AEE"/>
    <w:rsid w:val="00BC0260"/>
    <w:rsid w:val="00BC1157"/>
    <w:rsid w:val="00BC1CC9"/>
    <w:rsid w:val="00BC22DA"/>
    <w:rsid w:val="00BC586D"/>
    <w:rsid w:val="00BC6A0D"/>
    <w:rsid w:val="00BD0326"/>
    <w:rsid w:val="00BD072C"/>
    <w:rsid w:val="00BD0CF7"/>
    <w:rsid w:val="00BD1516"/>
    <w:rsid w:val="00BD47F0"/>
    <w:rsid w:val="00BD48BB"/>
    <w:rsid w:val="00BD588A"/>
    <w:rsid w:val="00BD65D6"/>
    <w:rsid w:val="00BD6FD9"/>
    <w:rsid w:val="00BD7404"/>
    <w:rsid w:val="00BD7AEB"/>
    <w:rsid w:val="00BE0B6A"/>
    <w:rsid w:val="00BE5B8E"/>
    <w:rsid w:val="00BE61BC"/>
    <w:rsid w:val="00BF0FCD"/>
    <w:rsid w:val="00BF1152"/>
    <w:rsid w:val="00BF23A9"/>
    <w:rsid w:val="00BF2574"/>
    <w:rsid w:val="00BF5440"/>
    <w:rsid w:val="00BF5A86"/>
    <w:rsid w:val="00C0037A"/>
    <w:rsid w:val="00C02FE0"/>
    <w:rsid w:val="00C12473"/>
    <w:rsid w:val="00C13001"/>
    <w:rsid w:val="00C15628"/>
    <w:rsid w:val="00C16EA9"/>
    <w:rsid w:val="00C176FD"/>
    <w:rsid w:val="00C20409"/>
    <w:rsid w:val="00C20857"/>
    <w:rsid w:val="00C21640"/>
    <w:rsid w:val="00C222EA"/>
    <w:rsid w:val="00C2252A"/>
    <w:rsid w:val="00C2463E"/>
    <w:rsid w:val="00C27AAB"/>
    <w:rsid w:val="00C33622"/>
    <w:rsid w:val="00C3592E"/>
    <w:rsid w:val="00C35EAC"/>
    <w:rsid w:val="00C36103"/>
    <w:rsid w:val="00C36249"/>
    <w:rsid w:val="00C376CF"/>
    <w:rsid w:val="00C42BBF"/>
    <w:rsid w:val="00C42CD6"/>
    <w:rsid w:val="00C45676"/>
    <w:rsid w:val="00C46ADA"/>
    <w:rsid w:val="00C47E91"/>
    <w:rsid w:val="00C52F79"/>
    <w:rsid w:val="00C55F0F"/>
    <w:rsid w:val="00C5658E"/>
    <w:rsid w:val="00C6069C"/>
    <w:rsid w:val="00C617E5"/>
    <w:rsid w:val="00C65452"/>
    <w:rsid w:val="00C6559A"/>
    <w:rsid w:val="00C71F28"/>
    <w:rsid w:val="00C728A3"/>
    <w:rsid w:val="00C74FC8"/>
    <w:rsid w:val="00C7508F"/>
    <w:rsid w:val="00C7530B"/>
    <w:rsid w:val="00C75C06"/>
    <w:rsid w:val="00C80173"/>
    <w:rsid w:val="00C80366"/>
    <w:rsid w:val="00C81122"/>
    <w:rsid w:val="00C81949"/>
    <w:rsid w:val="00C82604"/>
    <w:rsid w:val="00C85637"/>
    <w:rsid w:val="00C866D0"/>
    <w:rsid w:val="00C86804"/>
    <w:rsid w:val="00C8685D"/>
    <w:rsid w:val="00C8792E"/>
    <w:rsid w:val="00C9084B"/>
    <w:rsid w:val="00C9356E"/>
    <w:rsid w:val="00C953AA"/>
    <w:rsid w:val="00C953F9"/>
    <w:rsid w:val="00C96ED1"/>
    <w:rsid w:val="00CA2226"/>
    <w:rsid w:val="00CA2682"/>
    <w:rsid w:val="00CA788E"/>
    <w:rsid w:val="00CB0D5D"/>
    <w:rsid w:val="00CB17C4"/>
    <w:rsid w:val="00CB38B7"/>
    <w:rsid w:val="00CB41AA"/>
    <w:rsid w:val="00CB7F0B"/>
    <w:rsid w:val="00CC0E55"/>
    <w:rsid w:val="00CC0FE8"/>
    <w:rsid w:val="00CC4729"/>
    <w:rsid w:val="00CD0EC5"/>
    <w:rsid w:val="00CE0080"/>
    <w:rsid w:val="00CE131B"/>
    <w:rsid w:val="00CE316B"/>
    <w:rsid w:val="00CE3505"/>
    <w:rsid w:val="00CE3561"/>
    <w:rsid w:val="00CE3A4D"/>
    <w:rsid w:val="00CE4076"/>
    <w:rsid w:val="00CE4E12"/>
    <w:rsid w:val="00CE63BD"/>
    <w:rsid w:val="00CF11D5"/>
    <w:rsid w:val="00CF4504"/>
    <w:rsid w:val="00CF4AA8"/>
    <w:rsid w:val="00CF60E2"/>
    <w:rsid w:val="00CF61FD"/>
    <w:rsid w:val="00CF6B13"/>
    <w:rsid w:val="00D01501"/>
    <w:rsid w:val="00D0364D"/>
    <w:rsid w:val="00D05387"/>
    <w:rsid w:val="00D059A6"/>
    <w:rsid w:val="00D119A2"/>
    <w:rsid w:val="00D20423"/>
    <w:rsid w:val="00D25352"/>
    <w:rsid w:val="00D25946"/>
    <w:rsid w:val="00D261AA"/>
    <w:rsid w:val="00D26285"/>
    <w:rsid w:val="00D26B78"/>
    <w:rsid w:val="00D27534"/>
    <w:rsid w:val="00D278C8"/>
    <w:rsid w:val="00D30C2B"/>
    <w:rsid w:val="00D310DB"/>
    <w:rsid w:val="00D31CEC"/>
    <w:rsid w:val="00D3277C"/>
    <w:rsid w:val="00D33316"/>
    <w:rsid w:val="00D455E4"/>
    <w:rsid w:val="00D45FFA"/>
    <w:rsid w:val="00D47BAA"/>
    <w:rsid w:val="00D47C50"/>
    <w:rsid w:val="00D50382"/>
    <w:rsid w:val="00D50F05"/>
    <w:rsid w:val="00D50F15"/>
    <w:rsid w:val="00D52719"/>
    <w:rsid w:val="00D56981"/>
    <w:rsid w:val="00D6135D"/>
    <w:rsid w:val="00D64039"/>
    <w:rsid w:val="00D64F1C"/>
    <w:rsid w:val="00D65C6E"/>
    <w:rsid w:val="00D66B05"/>
    <w:rsid w:val="00D66CC1"/>
    <w:rsid w:val="00D6741B"/>
    <w:rsid w:val="00D72648"/>
    <w:rsid w:val="00D732D7"/>
    <w:rsid w:val="00D74CAD"/>
    <w:rsid w:val="00D773D3"/>
    <w:rsid w:val="00D834AA"/>
    <w:rsid w:val="00D836C3"/>
    <w:rsid w:val="00D8435D"/>
    <w:rsid w:val="00D85978"/>
    <w:rsid w:val="00D8608A"/>
    <w:rsid w:val="00D87731"/>
    <w:rsid w:val="00D87B96"/>
    <w:rsid w:val="00D90FCD"/>
    <w:rsid w:val="00D969E2"/>
    <w:rsid w:val="00D96B3C"/>
    <w:rsid w:val="00D97A1B"/>
    <w:rsid w:val="00DA0511"/>
    <w:rsid w:val="00DA3AF2"/>
    <w:rsid w:val="00DA4C6E"/>
    <w:rsid w:val="00DA6A92"/>
    <w:rsid w:val="00DA73C6"/>
    <w:rsid w:val="00DB10A5"/>
    <w:rsid w:val="00DB397D"/>
    <w:rsid w:val="00DB41F3"/>
    <w:rsid w:val="00DB531F"/>
    <w:rsid w:val="00DB5BB9"/>
    <w:rsid w:val="00DB6105"/>
    <w:rsid w:val="00DC1095"/>
    <w:rsid w:val="00DC36A7"/>
    <w:rsid w:val="00DC53C1"/>
    <w:rsid w:val="00DC7BC0"/>
    <w:rsid w:val="00DD084B"/>
    <w:rsid w:val="00DD4997"/>
    <w:rsid w:val="00DD5F4A"/>
    <w:rsid w:val="00DD6884"/>
    <w:rsid w:val="00DD6BEB"/>
    <w:rsid w:val="00DD7127"/>
    <w:rsid w:val="00DD77A0"/>
    <w:rsid w:val="00DD7DFF"/>
    <w:rsid w:val="00DE1FFC"/>
    <w:rsid w:val="00DE55EF"/>
    <w:rsid w:val="00DE5FB9"/>
    <w:rsid w:val="00DF0762"/>
    <w:rsid w:val="00DF0F27"/>
    <w:rsid w:val="00DF34DE"/>
    <w:rsid w:val="00DF6F8F"/>
    <w:rsid w:val="00DF70A9"/>
    <w:rsid w:val="00E01590"/>
    <w:rsid w:val="00E024ED"/>
    <w:rsid w:val="00E02D86"/>
    <w:rsid w:val="00E02F4D"/>
    <w:rsid w:val="00E1421E"/>
    <w:rsid w:val="00E16082"/>
    <w:rsid w:val="00E24525"/>
    <w:rsid w:val="00E26879"/>
    <w:rsid w:val="00E26A9C"/>
    <w:rsid w:val="00E3183A"/>
    <w:rsid w:val="00E31A8D"/>
    <w:rsid w:val="00E31C76"/>
    <w:rsid w:val="00E32D2D"/>
    <w:rsid w:val="00E362DA"/>
    <w:rsid w:val="00E36814"/>
    <w:rsid w:val="00E3709A"/>
    <w:rsid w:val="00E400FB"/>
    <w:rsid w:val="00E46070"/>
    <w:rsid w:val="00E4723D"/>
    <w:rsid w:val="00E52384"/>
    <w:rsid w:val="00E54B8A"/>
    <w:rsid w:val="00E54E26"/>
    <w:rsid w:val="00E55342"/>
    <w:rsid w:val="00E55A09"/>
    <w:rsid w:val="00E55EE5"/>
    <w:rsid w:val="00E56ABC"/>
    <w:rsid w:val="00E62F5E"/>
    <w:rsid w:val="00E62FFF"/>
    <w:rsid w:val="00E63719"/>
    <w:rsid w:val="00E727DF"/>
    <w:rsid w:val="00E73117"/>
    <w:rsid w:val="00E742F5"/>
    <w:rsid w:val="00E744C4"/>
    <w:rsid w:val="00E77F6C"/>
    <w:rsid w:val="00E80F89"/>
    <w:rsid w:val="00E81E47"/>
    <w:rsid w:val="00E85786"/>
    <w:rsid w:val="00E92BFB"/>
    <w:rsid w:val="00E9628F"/>
    <w:rsid w:val="00E96E97"/>
    <w:rsid w:val="00E97D41"/>
    <w:rsid w:val="00EA05A6"/>
    <w:rsid w:val="00EA072F"/>
    <w:rsid w:val="00EA0FDA"/>
    <w:rsid w:val="00EA431D"/>
    <w:rsid w:val="00EA67C5"/>
    <w:rsid w:val="00EB036F"/>
    <w:rsid w:val="00EB0DAF"/>
    <w:rsid w:val="00EB0F71"/>
    <w:rsid w:val="00EB61C4"/>
    <w:rsid w:val="00EB62CD"/>
    <w:rsid w:val="00EC115B"/>
    <w:rsid w:val="00EC166E"/>
    <w:rsid w:val="00EC41C6"/>
    <w:rsid w:val="00EC5656"/>
    <w:rsid w:val="00EC5E9D"/>
    <w:rsid w:val="00EC7CD6"/>
    <w:rsid w:val="00ED0F40"/>
    <w:rsid w:val="00ED2245"/>
    <w:rsid w:val="00ED2276"/>
    <w:rsid w:val="00ED3B4A"/>
    <w:rsid w:val="00ED4CFC"/>
    <w:rsid w:val="00ED4DF7"/>
    <w:rsid w:val="00EE08F5"/>
    <w:rsid w:val="00EE2A3C"/>
    <w:rsid w:val="00EE5AF5"/>
    <w:rsid w:val="00EE62C7"/>
    <w:rsid w:val="00EE68FA"/>
    <w:rsid w:val="00EE7E85"/>
    <w:rsid w:val="00EF1120"/>
    <w:rsid w:val="00EF3434"/>
    <w:rsid w:val="00EF35CD"/>
    <w:rsid w:val="00EF37D0"/>
    <w:rsid w:val="00EF4306"/>
    <w:rsid w:val="00EF7284"/>
    <w:rsid w:val="00F0210A"/>
    <w:rsid w:val="00F029B3"/>
    <w:rsid w:val="00F05317"/>
    <w:rsid w:val="00F05AE0"/>
    <w:rsid w:val="00F05F1B"/>
    <w:rsid w:val="00F06875"/>
    <w:rsid w:val="00F06DB3"/>
    <w:rsid w:val="00F1355D"/>
    <w:rsid w:val="00F135B4"/>
    <w:rsid w:val="00F148A5"/>
    <w:rsid w:val="00F16445"/>
    <w:rsid w:val="00F164E1"/>
    <w:rsid w:val="00F17060"/>
    <w:rsid w:val="00F17EDB"/>
    <w:rsid w:val="00F2137E"/>
    <w:rsid w:val="00F2403B"/>
    <w:rsid w:val="00F3022F"/>
    <w:rsid w:val="00F3061C"/>
    <w:rsid w:val="00F32878"/>
    <w:rsid w:val="00F3309A"/>
    <w:rsid w:val="00F339B1"/>
    <w:rsid w:val="00F33BDE"/>
    <w:rsid w:val="00F3448B"/>
    <w:rsid w:val="00F359CA"/>
    <w:rsid w:val="00F36AC0"/>
    <w:rsid w:val="00F3779A"/>
    <w:rsid w:val="00F434A2"/>
    <w:rsid w:val="00F43FEA"/>
    <w:rsid w:val="00F50CA7"/>
    <w:rsid w:val="00F56484"/>
    <w:rsid w:val="00F57404"/>
    <w:rsid w:val="00F60648"/>
    <w:rsid w:val="00F64DEA"/>
    <w:rsid w:val="00F7143C"/>
    <w:rsid w:val="00F7165F"/>
    <w:rsid w:val="00F735CA"/>
    <w:rsid w:val="00F7425A"/>
    <w:rsid w:val="00F74B77"/>
    <w:rsid w:val="00F75808"/>
    <w:rsid w:val="00F77FFE"/>
    <w:rsid w:val="00F838B0"/>
    <w:rsid w:val="00F839C9"/>
    <w:rsid w:val="00F859D0"/>
    <w:rsid w:val="00F863B1"/>
    <w:rsid w:val="00FA03C7"/>
    <w:rsid w:val="00FA37AD"/>
    <w:rsid w:val="00FA68A3"/>
    <w:rsid w:val="00FB3094"/>
    <w:rsid w:val="00FC080C"/>
    <w:rsid w:val="00FC15F9"/>
    <w:rsid w:val="00FC3DE0"/>
    <w:rsid w:val="00FC4E8E"/>
    <w:rsid w:val="00FD53CC"/>
    <w:rsid w:val="00FD592D"/>
    <w:rsid w:val="00FD7053"/>
    <w:rsid w:val="00FD7ACD"/>
    <w:rsid w:val="00FE2D1A"/>
    <w:rsid w:val="00FE57C9"/>
    <w:rsid w:val="00FF0229"/>
    <w:rsid w:val="00FF0ADF"/>
    <w:rsid w:val="00FF4061"/>
    <w:rsid w:val="00FF4A0B"/>
    <w:rsid w:val="00FF52E0"/>
    <w:rsid w:val="01007E42"/>
    <w:rsid w:val="01275D20"/>
    <w:rsid w:val="01382A12"/>
    <w:rsid w:val="013B6778"/>
    <w:rsid w:val="017734C4"/>
    <w:rsid w:val="01864D83"/>
    <w:rsid w:val="0186662C"/>
    <w:rsid w:val="019A5532"/>
    <w:rsid w:val="01AD7F9E"/>
    <w:rsid w:val="020F7B7E"/>
    <w:rsid w:val="02300566"/>
    <w:rsid w:val="02336AD7"/>
    <w:rsid w:val="029E7AD0"/>
    <w:rsid w:val="02BF0561"/>
    <w:rsid w:val="02D9052D"/>
    <w:rsid w:val="02E25560"/>
    <w:rsid w:val="02F545EC"/>
    <w:rsid w:val="02FA30D3"/>
    <w:rsid w:val="03090322"/>
    <w:rsid w:val="032759B1"/>
    <w:rsid w:val="036F159C"/>
    <w:rsid w:val="037C56F7"/>
    <w:rsid w:val="03A07AD7"/>
    <w:rsid w:val="03D64BD8"/>
    <w:rsid w:val="044C330C"/>
    <w:rsid w:val="045033E4"/>
    <w:rsid w:val="045B4B6C"/>
    <w:rsid w:val="045C795F"/>
    <w:rsid w:val="04614F5C"/>
    <w:rsid w:val="04996AE3"/>
    <w:rsid w:val="04AC0A1D"/>
    <w:rsid w:val="04AC72EC"/>
    <w:rsid w:val="04B264A5"/>
    <w:rsid w:val="04B61C3D"/>
    <w:rsid w:val="050D2A9B"/>
    <w:rsid w:val="05190704"/>
    <w:rsid w:val="05294D6D"/>
    <w:rsid w:val="054B7DEE"/>
    <w:rsid w:val="057B7AFF"/>
    <w:rsid w:val="0580226C"/>
    <w:rsid w:val="059B2E14"/>
    <w:rsid w:val="05AA531D"/>
    <w:rsid w:val="05CD3179"/>
    <w:rsid w:val="05D067D9"/>
    <w:rsid w:val="05E929A0"/>
    <w:rsid w:val="05EB7EE5"/>
    <w:rsid w:val="062939F3"/>
    <w:rsid w:val="066D42D7"/>
    <w:rsid w:val="06750C66"/>
    <w:rsid w:val="069E19F4"/>
    <w:rsid w:val="069E3276"/>
    <w:rsid w:val="06DB7470"/>
    <w:rsid w:val="06E67013"/>
    <w:rsid w:val="06EF58D3"/>
    <w:rsid w:val="07116147"/>
    <w:rsid w:val="075E76FE"/>
    <w:rsid w:val="078E28EA"/>
    <w:rsid w:val="079B0BC0"/>
    <w:rsid w:val="07B34DB3"/>
    <w:rsid w:val="07DA3226"/>
    <w:rsid w:val="0846578D"/>
    <w:rsid w:val="0855720F"/>
    <w:rsid w:val="085B4F44"/>
    <w:rsid w:val="088D5F5C"/>
    <w:rsid w:val="09413B13"/>
    <w:rsid w:val="094C565A"/>
    <w:rsid w:val="096D5AA7"/>
    <w:rsid w:val="0997077C"/>
    <w:rsid w:val="09D813BD"/>
    <w:rsid w:val="09F44A61"/>
    <w:rsid w:val="09FD11BF"/>
    <w:rsid w:val="0A071C4A"/>
    <w:rsid w:val="0A260FC3"/>
    <w:rsid w:val="0A2B6A3F"/>
    <w:rsid w:val="0A5C3441"/>
    <w:rsid w:val="0A6759BD"/>
    <w:rsid w:val="0A9A363C"/>
    <w:rsid w:val="0A9D26A2"/>
    <w:rsid w:val="0AB823C4"/>
    <w:rsid w:val="0AC029DA"/>
    <w:rsid w:val="0ACA4546"/>
    <w:rsid w:val="0AFE07E8"/>
    <w:rsid w:val="0B1600C0"/>
    <w:rsid w:val="0B3C19E4"/>
    <w:rsid w:val="0B825441"/>
    <w:rsid w:val="0BA17A99"/>
    <w:rsid w:val="0BA525D8"/>
    <w:rsid w:val="0BD50CE3"/>
    <w:rsid w:val="0C1B56E5"/>
    <w:rsid w:val="0C2F6006"/>
    <w:rsid w:val="0C426CB3"/>
    <w:rsid w:val="0C5056AF"/>
    <w:rsid w:val="0C5B37C6"/>
    <w:rsid w:val="0C602928"/>
    <w:rsid w:val="0C8352C9"/>
    <w:rsid w:val="0C88726E"/>
    <w:rsid w:val="0C965601"/>
    <w:rsid w:val="0CCB7B51"/>
    <w:rsid w:val="0CF97E21"/>
    <w:rsid w:val="0CFC91A6"/>
    <w:rsid w:val="0D343B13"/>
    <w:rsid w:val="0D467D02"/>
    <w:rsid w:val="0D584ACF"/>
    <w:rsid w:val="0D613FF5"/>
    <w:rsid w:val="0D814A68"/>
    <w:rsid w:val="0D8F1B47"/>
    <w:rsid w:val="0D957AD2"/>
    <w:rsid w:val="0DC134A7"/>
    <w:rsid w:val="0DE03C98"/>
    <w:rsid w:val="0E3800D8"/>
    <w:rsid w:val="0E4D03C4"/>
    <w:rsid w:val="0E512BF8"/>
    <w:rsid w:val="0E8F4646"/>
    <w:rsid w:val="0EB149AF"/>
    <w:rsid w:val="0EF46240"/>
    <w:rsid w:val="0F17113B"/>
    <w:rsid w:val="0F465E03"/>
    <w:rsid w:val="0F4E1CE0"/>
    <w:rsid w:val="0F620FFF"/>
    <w:rsid w:val="0F681E22"/>
    <w:rsid w:val="0F6C20F8"/>
    <w:rsid w:val="0F9262E5"/>
    <w:rsid w:val="0FEE60A0"/>
    <w:rsid w:val="0FFF095A"/>
    <w:rsid w:val="100876ED"/>
    <w:rsid w:val="100B5B75"/>
    <w:rsid w:val="101163ED"/>
    <w:rsid w:val="10390CED"/>
    <w:rsid w:val="10797991"/>
    <w:rsid w:val="10866286"/>
    <w:rsid w:val="108D7FEC"/>
    <w:rsid w:val="10BB5682"/>
    <w:rsid w:val="10C34A85"/>
    <w:rsid w:val="10EB0A61"/>
    <w:rsid w:val="10F96CD3"/>
    <w:rsid w:val="110D477C"/>
    <w:rsid w:val="11230728"/>
    <w:rsid w:val="113B6F72"/>
    <w:rsid w:val="114317C8"/>
    <w:rsid w:val="117030E3"/>
    <w:rsid w:val="117E3EBF"/>
    <w:rsid w:val="11A2201B"/>
    <w:rsid w:val="11A63895"/>
    <w:rsid w:val="11AA0E33"/>
    <w:rsid w:val="11BB40A7"/>
    <w:rsid w:val="11D465DE"/>
    <w:rsid w:val="11F35E10"/>
    <w:rsid w:val="121E003E"/>
    <w:rsid w:val="123238F4"/>
    <w:rsid w:val="124E6914"/>
    <w:rsid w:val="12A577C7"/>
    <w:rsid w:val="12D84CD4"/>
    <w:rsid w:val="12F51579"/>
    <w:rsid w:val="12FD7CCA"/>
    <w:rsid w:val="13031039"/>
    <w:rsid w:val="13042B7A"/>
    <w:rsid w:val="13045AD6"/>
    <w:rsid w:val="131909C4"/>
    <w:rsid w:val="131F2662"/>
    <w:rsid w:val="1321604C"/>
    <w:rsid w:val="135B1EF4"/>
    <w:rsid w:val="137139DD"/>
    <w:rsid w:val="138F6B1C"/>
    <w:rsid w:val="13B66E90"/>
    <w:rsid w:val="13BB2900"/>
    <w:rsid w:val="13BD51A2"/>
    <w:rsid w:val="13C139AF"/>
    <w:rsid w:val="13E01C4A"/>
    <w:rsid w:val="14316FE0"/>
    <w:rsid w:val="14333776"/>
    <w:rsid w:val="144E16AB"/>
    <w:rsid w:val="144F6715"/>
    <w:rsid w:val="147A16BB"/>
    <w:rsid w:val="147A7595"/>
    <w:rsid w:val="14AA5797"/>
    <w:rsid w:val="14DE1D5E"/>
    <w:rsid w:val="154D743D"/>
    <w:rsid w:val="15667555"/>
    <w:rsid w:val="15967767"/>
    <w:rsid w:val="159F5238"/>
    <w:rsid w:val="15A97268"/>
    <w:rsid w:val="15CF1DD7"/>
    <w:rsid w:val="15E224A7"/>
    <w:rsid w:val="16150220"/>
    <w:rsid w:val="164342FA"/>
    <w:rsid w:val="165770B0"/>
    <w:rsid w:val="16594C62"/>
    <w:rsid w:val="169D39E1"/>
    <w:rsid w:val="16A15B19"/>
    <w:rsid w:val="16A204E2"/>
    <w:rsid w:val="16A22BEB"/>
    <w:rsid w:val="16AC1941"/>
    <w:rsid w:val="16CB645F"/>
    <w:rsid w:val="16CF33D0"/>
    <w:rsid w:val="16E06F4E"/>
    <w:rsid w:val="171820A2"/>
    <w:rsid w:val="171877C6"/>
    <w:rsid w:val="17247087"/>
    <w:rsid w:val="17571001"/>
    <w:rsid w:val="176D79DE"/>
    <w:rsid w:val="17707BBF"/>
    <w:rsid w:val="17776970"/>
    <w:rsid w:val="179C52FC"/>
    <w:rsid w:val="179E6119"/>
    <w:rsid w:val="17BA1FA3"/>
    <w:rsid w:val="17CF624F"/>
    <w:rsid w:val="18031F06"/>
    <w:rsid w:val="181270D8"/>
    <w:rsid w:val="183A7AB3"/>
    <w:rsid w:val="18402742"/>
    <w:rsid w:val="184C0325"/>
    <w:rsid w:val="185C4B83"/>
    <w:rsid w:val="18892E95"/>
    <w:rsid w:val="18C029B7"/>
    <w:rsid w:val="190C0B53"/>
    <w:rsid w:val="190E016C"/>
    <w:rsid w:val="190F0FCB"/>
    <w:rsid w:val="19443F78"/>
    <w:rsid w:val="194B1CE0"/>
    <w:rsid w:val="19C31523"/>
    <w:rsid w:val="1A1423DA"/>
    <w:rsid w:val="1A1773DF"/>
    <w:rsid w:val="1A3C0806"/>
    <w:rsid w:val="1A3F5D4A"/>
    <w:rsid w:val="1A7365FC"/>
    <w:rsid w:val="1AAF797C"/>
    <w:rsid w:val="1ACA77FB"/>
    <w:rsid w:val="1ACC5BF8"/>
    <w:rsid w:val="1ACD7E07"/>
    <w:rsid w:val="1AD774CB"/>
    <w:rsid w:val="1ADE715D"/>
    <w:rsid w:val="1B1E67F8"/>
    <w:rsid w:val="1B200CF6"/>
    <w:rsid w:val="1B3042C6"/>
    <w:rsid w:val="1B307AC9"/>
    <w:rsid w:val="1B390BDC"/>
    <w:rsid w:val="1B7A4C56"/>
    <w:rsid w:val="1B8E7170"/>
    <w:rsid w:val="1B8F11F0"/>
    <w:rsid w:val="1BBD111D"/>
    <w:rsid w:val="1BDF474C"/>
    <w:rsid w:val="1BE0443F"/>
    <w:rsid w:val="1BFB8410"/>
    <w:rsid w:val="1C471722"/>
    <w:rsid w:val="1C5C588F"/>
    <w:rsid w:val="1C7D67DC"/>
    <w:rsid w:val="1C9722E6"/>
    <w:rsid w:val="1C983F97"/>
    <w:rsid w:val="1CB1569A"/>
    <w:rsid w:val="1CB313F6"/>
    <w:rsid w:val="1CC55FB4"/>
    <w:rsid w:val="1CEF0D6A"/>
    <w:rsid w:val="1CF41A83"/>
    <w:rsid w:val="1CFB6B14"/>
    <w:rsid w:val="1CFB76CA"/>
    <w:rsid w:val="1D3C45B0"/>
    <w:rsid w:val="1D4028B0"/>
    <w:rsid w:val="1D8700C5"/>
    <w:rsid w:val="1E00462C"/>
    <w:rsid w:val="1E1C5E73"/>
    <w:rsid w:val="1E3D5BFF"/>
    <w:rsid w:val="1E3F5B0A"/>
    <w:rsid w:val="1E402DD2"/>
    <w:rsid w:val="1E5572D8"/>
    <w:rsid w:val="1E5B585E"/>
    <w:rsid w:val="1E703E54"/>
    <w:rsid w:val="1E870D71"/>
    <w:rsid w:val="1EA0459D"/>
    <w:rsid w:val="1EB21D4C"/>
    <w:rsid w:val="1EBD4792"/>
    <w:rsid w:val="1ECC5D06"/>
    <w:rsid w:val="1ED42809"/>
    <w:rsid w:val="1EF26162"/>
    <w:rsid w:val="1F1F0559"/>
    <w:rsid w:val="1F3A5060"/>
    <w:rsid w:val="1F3C63CC"/>
    <w:rsid w:val="1F3FF21B"/>
    <w:rsid w:val="1F6A2CF4"/>
    <w:rsid w:val="1F742D88"/>
    <w:rsid w:val="1F9F2549"/>
    <w:rsid w:val="1FAD065A"/>
    <w:rsid w:val="1FCC5382"/>
    <w:rsid w:val="1FD86B10"/>
    <w:rsid w:val="1FE54E36"/>
    <w:rsid w:val="1FFD6FC8"/>
    <w:rsid w:val="202279CC"/>
    <w:rsid w:val="202F6611"/>
    <w:rsid w:val="2033770A"/>
    <w:rsid w:val="20441B19"/>
    <w:rsid w:val="2054523F"/>
    <w:rsid w:val="20656673"/>
    <w:rsid w:val="20663493"/>
    <w:rsid w:val="2069018D"/>
    <w:rsid w:val="20A0219D"/>
    <w:rsid w:val="20B87A68"/>
    <w:rsid w:val="20BF45FE"/>
    <w:rsid w:val="20C70459"/>
    <w:rsid w:val="20D23AAA"/>
    <w:rsid w:val="20F63287"/>
    <w:rsid w:val="2102069D"/>
    <w:rsid w:val="21082292"/>
    <w:rsid w:val="212C12C6"/>
    <w:rsid w:val="21717AB6"/>
    <w:rsid w:val="219E0070"/>
    <w:rsid w:val="21C76111"/>
    <w:rsid w:val="21C9221A"/>
    <w:rsid w:val="21CA2D01"/>
    <w:rsid w:val="220821C8"/>
    <w:rsid w:val="22160B82"/>
    <w:rsid w:val="221B6805"/>
    <w:rsid w:val="223C454D"/>
    <w:rsid w:val="22447EAE"/>
    <w:rsid w:val="22794DD7"/>
    <w:rsid w:val="228952D6"/>
    <w:rsid w:val="228F219A"/>
    <w:rsid w:val="2297314D"/>
    <w:rsid w:val="229F23A9"/>
    <w:rsid w:val="22A279E3"/>
    <w:rsid w:val="22BA2B41"/>
    <w:rsid w:val="22BD2FB3"/>
    <w:rsid w:val="22D26F9A"/>
    <w:rsid w:val="22D44CE4"/>
    <w:rsid w:val="22EB176E"/>
    <w:rsid w:val="23225981"/>
    <w:rsid w:val="237D59EF"/>
    <w:rsid w:val="23AE5916"/>
    <w:rsid w:val="23AF69F1"/>
    <w:rsid w:val="23B12896"/>
    <w:rsid w:val="23CB0902"/>
    <w:rsid w:val="23CB16FF"/>
    <w:rsid w:val="23DB1525"/>
    <w:rsid w:val="23F316BB"/>
    <w:rsid w:val="23F643EA"/>
    <w:rsid w:val="241F6080"/>
    <w:rsid w:val="244514B2"/>
    <w:rsid w:val="24763848"/>
    <w:rsid w:val="247C12B5"/>
    <w:rsid w:val="24827E18"/>
    <w:rsid w:val="24932711"/>
    <w:rsid w:val="24963225"/>
    <w:rsid w:val="24A95456"/>
    <w:rsid w:val="24C31569"/>
    <w:rsid w:val="25377C12"/>
    <w:rsid w:val="258A15BC"/>
    <w:rsid w:val="25902E9C"/>
    <w:rsid w:val="25A473BD"/>
    <w:rsid w:val="25B0273C"/>
    <w:rsid w:val="25CD7667"/>
    <w:rsid w:val="25D242CC"/>
    <w:rsid w:val="25D45C3E"/>
    <w:rsid w:val="25DD61F7"/>
    <w:rsid w:val="25E81861"/>
    <w:rsid w:val="26034EF6"/>
    <w:rsid w:val="260D004E"/>
    <w:rsid w:val="260E6047"/>
    <w:rsid w:val="263D0137"/>
    <w:rsid w:val="263D5C2C"/>
    <w:rsid w:val="26AF716B"/>
    <w:rsid w:val="26DF0774"/>
    <w:rsid w:val="26E141BE"/>
    <w:rsid w:val="26ED796A"/>
    <w:rsid w:val="27126E5B"/>
    <w:rsid w:val="27437FDF"/>
    <w:rsid w:val="274D7C7A"/>
    <w:rsid w:val="276E7580"/>
    <w:rsid w:val="2772962B"/>
    <w:rsid w:val="279E1806"/>
    <w:rsid w:val="279F27E3"/>
    <w:rsid w:val="27D56FF1"/>
    <w:rsid w:val="281E11E4"/>
    <w:rsid w:val="28325190"/>
    <w:rsid w:val="283320F3"/>
    <w:rsid w:val="28A11C01"/>
    <w:rsid w:val="28B92147"/>
    <w:rsid w:val="293624BD"/>
    <w:rsid w:val="294D49C5"/>
    <w:rsid w:val="296231D6"/>
    <w:rsid w:val="298C42D1"/>
    <w:rsid w:val="29A04A38"/>
    <w:rsid w:val="29AE0A4F"/>
    <w:rsid w:val="29BA0A21"/>
    <w:rsid w:val="29DD397F"/>
    <w:rsid w:val="29F96ACE"/>
    <w:rsid w:val="2A085B9E"/>
    <w:rsid w:val="2A19597B"/>
    <w:rsid w:val="2A1F006B"/>
    <w:rsid w:val="2A23324E"/>
    <w:rsid w:val="2A376441"/>
    <w:rsid w:val="2A6C2D68"/>
    <w:rsid w:val="2A7439F6"/>
    <w:rsid w:val="2A9A7346"/>
    <w:rsid w:val="2AFD4EC5"/>
    <w:rsid w:val="2AFF1738"/>
    <w:rsid w:val="2B031C51"/>
    <w:rsid w:val="2B03200B"/>
    <w:rsid w:val="2B046437"/>
    <w:rsid w:val="2B0512F6"/>
    <w:rsid w:val="2B1B420B"/>
    <w:rsid w:val="2B376F2C"/>
    <w:rsid w:val="2B417276"/>
    <w:rsid w:val="2B5A5895"/>
    <w:rsid w:val="2B5F2348"/>
    <w:rsid w:val="2B667E35"/>
    <w:rsid w:val="2BFB2A32"/>
    <w:rsid w:val="2C5242B5"/>
    <w:rsid w:val="2C6F67D3"/>
    <w:rsid w:val="2C852F06"/>
    <w:rsid w:val="2C981CCD"/>
    <w:rsid w:val="2C9F53AF"/>
    <w:rsid w:val="2CBA641B"/>
    <w:rsid w:val="2D040C32"/>
    <w:rsid w:val="2D0757A6"/>
    <w:rsid w:val="2D6055AE"/>
    <w:rsid w:val="2D772055"/>
    <w:rsid w:val="2D982E0B"/>
    <w:rsid w:val="2DA96B06"/>
    <w:rsid w:val="2DB53B3B"/>
    <w:rsid w:val="2DCC44FF"/>
    <w:rsid w:val="2E072654"/>
    <w:rsid w:val="2E5E1319"/>
    <w:rsid w:val="2E6F38EF"/>
    <w:rsid w:val="2EC24EAE"/>
    <w:rsid w:val="2EEC789B"/>
    <w:rsid w:val="2F47109C"/>
    <w:rsid w:val="2F4B2213"/>
    <w:rsid w:val="2F673496"/>
    <w:rsid w:val="2F9075F6"/>
    <w:rsid w:val="2F9A594D"/>
    <w:rsid w:val="2FE56A96"/>
    <w:rsid w:val="2FF3519E"/>
    <w:rsid w:val="301D237D"/>
    <w:rsid w:val="3039192C"/>
    <w:rsid w:val="307B4A76"/>
    <w:rsid w:val="30895A7D"/>
    <w:rsid w:val="30F13355"/>
    <w:rsid w:val="311618AA"/>
    <w:rsid w:val="313279B0"/>
    <w:rsid w:val="31400E6A"/>
    <w:rsid w:val="315F70CD"/>
    <w:rsid w:val="317F3D7D"/>
    <w:rsid w:val="31960D20"/>
    <w:rsid w:val="319E3872"/>
    <w:rsid w:val="31A435DE"/>
    <w:rsid w:val="31BC3FD8"/>
    <w:rsid w:val="31CD0C24"/>
    <w:rsid w:val="31F0559B"/>
    <w:rsid w:val="31FF60CF"/>
    <w:rsid w:val="322963D4"/>
    <w:rsid w:val="322F1197"/>
    <w:rsid w:val="323734B9"/>
    <w:rsid w:val="324E528F"/>
    <w:rsid w:val="32621833"/>
    <w:rsid w:val="32642296"/>
    <w:rsid w:val="327E1741"/>
    <w:rsid w:val="32A01606"/>
    <w:rsid w:val="32C94A9C"/>
    <w:rsid w:val="32D504DD"/>
    <w:rsid w:val="32D93D68"/>
    <w:rsid w:val="32E120A3"/>
    <w:rsid w:val="332D454F"/>
    <w:rsid w:val="333E32C2"/>
    <w:rsid w:val="334E1463"/>
    <w:rsid w:val="33A96A3D"/>
    <w:rsid w:val="33B25B57"/>
    <w:rsid w:val="33BB0AF6"/>
    <w:rsid w:val="34253751"/>
    <w:rsid w:val="3454129D"/>
    <w:rsid w:val="346C23C7"/>
    <w:rsid w:val="348E3F5F"/>
    <w:rsid w:val="34A07D70"/>
    <w:rsid w:val="34AE125F"/>
    <w:rsid w:val="34D84426"/>
    <w:rsid w:val="34D85063"/>
    <w:rsid w:val="352548D7"/>
    <w:rsid w:val="35285EE8"/>
    <w:rsid w:val="352A70A8"/>
    <w:rsid w:val="359B5E22"/>
    <w:rsid w:val="359C1AAB"/>
    <w:rsid w:val="35A63D95"/>
    <w:rsid w:val="35AB3B2B"/>
    <w:rsid w:val="35B11597"/>
    <w:rsid w:val="35B52E6F"/>
    <w:rsid w:val="35C73E54"/>
    <w:rsid w:val="35E71D9B"/>
    <w:rsid w:val="360B3E62"/>
    <w:rsid w:val="363E315D"/>
    <w:rsid w:val="364E1FAC"/>
    <w:rsid w:val="366A062B"/>
    <w:rsid w:val="367F29FE"/>
    <w:rsid w:val="36C24DA9"/>
    <w:rsid w:val="36C26B8E"/>
    <w:rsid w:val="36E41E01"/>
    <w:rsid w:val="370857E2"/>
    <w:rsid w:val="3744619F"/>
    <w:rsid w:val="3758218E"/>
    <w:rsid w:val="375F48B5"/>
    <w:rsid w:val="37613F34"/>
    <w:rsid w:val="376A1CD2"/>
    <w:rsid w:val="37797AAB"/>
    <w:rsid w:val="37965565"/>
    <w:rsid w:val="3797120D"/>
    <w:rsid w:val="3835641A"/>
    <w:rsid w:val="384B6B15"/>
    <w:rsid w:val="38594211"/>
    <w:rsid w:val="389649C5"/>
    <w:rsid w:val="391B5D3E"/>
    <w:rsid w:val="39270A65"/>
    <w:rsid w:val="3971655D"/>
    <w:rsid w:val="397E7F11"/>
    <w:rsid w:val="398B3947"/>
    <w:rsid w:val="39B2215A"/>
    <w:rsid w:val="39BA1ADC"/>
    <w:rsid w:val="39EB13FC"/>
    <w:rsid w:val="3A735F50"/>
    <w:rsid w:val="3A8D08BE"/>
    <w:rsid w:val="3A9434EA"/>
    <w:rsid w:val="3A9C6157"/>
    <w:rsid w:val="3ACD3F0C"/>
    <w:rsid w:val="3AE83416"/>
    <w:rsid w:val="3B0357CB"/>
    <w:rsid w:val="3B1E1277"/>
    <w:rsid w:val="3B234735"/>
    <w:rsid w:val="3B241639"/>
    <w:rsid w:val="3B260B6F"/>
    <w:rsid w:val="3B2958E9"/>
    <w:rsid w:val="3B2B10A6"/>
    <w:rsid w:val="3B340B10"/>
    <w:rsid w:val="3B4342F2"/>
    <w:rsid w:val="3BAC54A0"/>
    <w:rsid w:val="3BB450D2"/>
    <w:rsid w:val="3BB83A55"/>
    <w:rsid w:val="3BD2609C"/>
    <w:rsid w:val="3C016259"/>
    <w:rsid w:val="3C124C08"/>
    <w:rsid w:val="3C70334F"/>
    <w:rsid w:val="3C797D13"/>
    <w:rsid w:val="3C806348"/>
    <w:rsid w:val="3CD2615F"/>
    <w:rsid w:val="3CD5085D"/>
    <w:rsid w:val="3CDB450B"/>
    <w:rsid w:val="3CF257C9"/>
    <w:rsid w:val="3D11205B"/>
    <w:rsid w:val="3D3D55B3"/>
    <w:rsid w:val="3D50398D"/>
    <w:rsid w:val="3D5619DA"/>
    <w:rsid w:val="3D567C46"/>
    <w:rsid w:val="3D604ED5"/>
    <w:rsid w:val="3D612740"/>
    <w:rsid w:val="3DE25DB3"/>
    <w:rsid w:val="3DE6670E"/>
    <w:rsid w:val="3DEB0352"/>
    <w:rsid w:val="3E072CF2"/>
    <w:rsid w:val="3E584CB2"/>
    <w:rsid w:val="3E772975"/>
    <w:rsid w:val="3E7A463F"/>
    <w:rsid w:val="3E7F33BB"/>
    <w:rsid w:val="3E925B12"/>
    <w:rsid w:val="3EFB0FE0"/>
    <w:rsid w:val="3EFE2548"/>
    <w:rsid w:val="3F0128C7"/>
    <w:rsid w:val="3F12480E"/>
    <w:rsid w:val="3F50722A"/>
    <w:rsid w:val="3F645D9C"/>
    <w:rsid w:val="3F7F384B"/>
    <w:rsid w:val="3F8E1AF4"/>
    <w:rsid w:val="3FA35235"/>
    <w:rsid w:val="3FCB2B69"/>
    <w:rsid w:val="3FEA1746"/>
    <w:rsid w:val="3FFD4490"/>
    <w:rsid w:val="405A34BE"/>
    <w:rsid w:val="40650AB8"/>
    <w:rsid w:val="40A73A11"/>
    <w:rsid w:val="40D50F73"/>
    <w:rsid w:val="40E765BD"/>
    <w:rsid w:val="410D6E30"/>
    <w:rsid w:val="41412351"/>
    <w:rsid w:val="414E6719"/>
    <w:rsid w:val="416D4D8C"/>
    <w:rsid w:val="417318F1"/>
    <w:rsid w:val="417A46D4"/>
    <w:rsid w:val="419345E1"/>
    <w:rsid w:val="41940CDA"/>
    <w:rsid w:val="41AA2509"/>
    <w:rsid w:val="41C95FF2"/>
    <w:rsid w:val="41CB44C7"/>
    <w:rsid w:val="41CF0BCF"/>
    <w:rsid w:val="41D06209"/>
    <w:rsid w:val="41D369A2"/>
    <w:rsid w:val="41D427C4"/>
    <w:rsid w:val="41E04248"/>
    <w:rsid w:val="41ED7F1B"/>
    <w:rsid w:val="42042CCA"/>
    <w:rsid w:val="421968BE"/>
    <w:rsid w:val="42304FD0"/>
    <w:rsid w:val="42812A86"/>
    <w:rsid w:val="42A73D90"/>
    <w:rsid w:val="42A745BE"/>
    <w:rsid w:val="42B56350"/>
    <w:rsid w:val="42D52D57"/>
    <w:rsid w:val="432C5504"/>
    <w:rsid w:val="43365770"/>
    <w:rsid w:val="43482809"/>
    <w:rsid w:val="43727FC7"/>
    <w:rsid w:val="43794BD1"/>
    <w:rsid w:val="43893439"/>
    <w:rsid w:val="439006C3"/>
    <w:rsid w:val="439A33AF"/>
    <w:rsid w:val="439B6B5D"/>
    <w:rsid w:val="43A74DA3"/>
    <w:rsid w:val="43B57B21"/>
    <w:rsid w:val="43EC536A"/>
    <w:rsid w:val="44707082"/>
    <w:rsid w:val="44AA509B"/>
    <w:rsid w:val="44C409AF"/>
    <w:rsid w:val="44CB6471"/>
    <w:rsid w:val="44D30996"/>
    <w:rsid w:val="44D70159"/>
    <w:rsid w:val="4504471C"/>
    <w:rsid w:val="45177902"/>
    <w:rsid w:val="4552547F"/>
    <w:rsid w:val="4567448A"/>
    <w:rsid w:val="45681F0D"/>
    <w:rsid w:val="457075C5"/>
    <w:rsid w:val="45791C6C"/>
    <w:rsid w:val="45AE54CC"/>
    <w:rsid w:val="45B24076"/>
    <w:rsid w:val="45D05F89"/>
    <w:rsid w:val="45D556E6"/>
    <w:rsid w:val="460008CE"/>
    <w:rsid w:val="46212412"/>
    <w:rsid w:val="462A7CD9"/>
    <w:rsid w:val="463005F9"/>
    <w:rsid w:val="46550474"/>
    <w:rsid w:val="467B49EC"/>
    <w:rsid w:val="46A301C2"/>
    <w:rsid w:val="46A72A43"/>
    <w:rsid w:val="46A83331"/>
    <w:rsid w:val="46B215A3"/>
    <w:rsid w:val="46C36755"/>
    <w:rsid w:val="46D027AA"/>
    <w:rsid w:val="46E25A89"/>
    <w:rsid w:val="47242D51"/>
    <w:rsid w:val="47396823"/>
    <w:rsid w:val="475922C0"/>
    <w:rsid w:val="476D5EBB"/>
    <w:rsid w:val="47711558"/>
    <w:rsid w:val="47723768"/>
    <w:rsid w:val="47850C76"/>
    <w:rsid w:val="478C6E32"/>
    <w:rsid w:val="47D124DD"/>
    <w:rsid w:val="47D9353C"/>
    <w:rsid w:val="47E54F55"/>
    <w:rsid w:val="48121C7F"/>
    <w:rsid w:val="48961FF5"/>
    <w:rsid w:val="489F3C1E"/>
    <w:rsid w:val="48A25DD0"/>
    <w:rsid w:val="48DD2962"/>
    <w:rsid w:val="493F2716"/>
    <w:rsid w:val="49490BB1"/>
    <w:rsid w:val="494B36B3"/>
    <w:rsid w:val="495476AD"/>
    <w:rsid w:val="496135FE"/>
    <w:rsid w:val="49692915"/>
    <w:rsid w:val="49C121F9"/>
    <w:rsid w:val="49F7814C"/>
    <w:rsid w:val="4A3847B0"/>
    <w:rsid w:val="4A3F772C"/>
    <w:rsid w:val="4A492B02"/>
    <w:rsid w:val="4A584C12"/>
    <w:rsid w:val="4A5A794F"/>
    <w:rsid w:val="4A6603DD"/>
    <w:rsid w:val="4A6A35CA"/>
    <w:rsid w:val="4A6E7668"/>
    <w:rsid w:val="4A7F4E6E"/>
    <w:rsid w:val="4ABC719B"/>
    <w:rsid w:val="4B040E73"/>
    <w:rsid w:val="4B054806"/>
    <w:rsid w:val="4B323DAD"/>
    <w:rsid w:val="4B6C0448"/>
    <w:rsid w:val="4B992729"/>
    <w:rsid w:val="4BBE607F"/>
    <w:rsid w:val="4BDF0B0D"/>
    <w:rsid w:val="4BF14E5C"/>
    <w:rsid w:val="4BF6455A"/>
    <w:rsid w:val="4C2C72E7"/>
    <w:rsid w:val="4C865A5A"/>
    <w:rsid w:val="4C8748C8"/>
    <w:rsid w:val="4CA33855"/>
    <w:rsid w:val="4CB2203E"/>
    <w:rsid w:val="4D2F1ADF"/>
    <w:rsid w:val="4D397E04"/>
    <w:rsid w:val="4D5B3007"/>
    <w:rsid w:val="4D5D33E1"/>
    <w:rsid w:val="4D62295A"/>
    <w:rsid w:val="4D7D54F9"/>
    <w:rsid w:val="4D83282D"/>
    <w:rsid w:val="4D902EEE"/>
    <w:rsid w:val="4DA700F4"/>
    <w:rsid w:val="4DB91463"/>
    <w:rsid w:val="4DD26CD8"/>
    <w:rsid w:val="4DE16570"/>
    <w:rsid w:val="4E0C32DE"/>
    <w:rsid w:val="4E0C3500"/>
    <w:rsid w:val="4E1C06D9"/>
    <w:rsid w:val="4E663FE6"/>
    <w:rsid w:val="4E7E4C8F"/>
    <w:rsid w:val="4E80056E"/>
    <w:rsid w:val="4EBC4081"/>
    <w:rsid w:val="4ED02D42"/>
    <w:rsid w:val="4ED03900"/>
    <w:rsid w:val="4F377CE8"/>
    <w:rsid w:val="4F48599F"/>
    <w:rsid w:val="4F4C5A76"/>
    <w:rsid w:val="4F604C84"/>
    <w:rsid w:val="4F7A0880"/>
    <w:rsid w:val="4F8109DF"/>
    <w:rsid w:val="4F887115"/>
    <w:rsid w:val="4F96706C"/>
    <w:rsid w:val="4F9F1B0F"/>
    <w:rsid w:val="4FA060F5"/>
    <w:rsid w:val="4FB3702B"/>
    <w:rsid w:val="4FC915F8"/>
    <w:rsid w:val="5019241B"/>
    <w:rsid w:val="50421741"/>
    <w:rsid w:val="5049763A"/>
    <w:rsid w:val="504E4277"/>
    <w:rsid w:val="506F3038"/>
    <w:rsid w:val="509F6808"/>
    <w:rsid w:val="50AD73D9"/>
    <w:rsid w:val="50EC0A07"/>
    <w:rsid w:val="50F07683"/>
    <w:rsid w:val="51302E4B"/>
    <w:rsid w:val="51316332"/>
    <w:rsid w:val="514166CC"/>
    <w:rsid w:val="516721B8"/>
    <w:rsid w:val="516C70A1"/>
    <w:rsid w:val="51847A09"/>
    <w:rsid w:val="51891E4E"/>
    <w:rsid w:val="51A5192F"/>
    <w:rsid w:val="51CC09E2"/>
    <w:rsid w:val="51FC22FA"/>
    <w:rsid w:val="52487FD9"/>
    <w:rsid w:val="526976E5"/>
    <w:rsid w:val="52AD009F"/>
    <w:rsid w:val="52F45CCD"/>
    <w:rsid w:val="5302247A"/>
    <w:rsid w:val="53315390"/>
    <w:rsid w:val="533A5121"/>
    <w:rsid w:val="534B0C47"/>
    <w:rsid w:val="5360776D"/>
    <w:rsid w:val="537261AA"/>
    <w:rsid w:val="538519D1"/>
    <w:rsid w:val="53AF4069"/>
    <w:rsid w:val="53E411F3"/>
    <w:rsid w:val="541817FE"/>
    <w:rsid w:val="542E7C72"/>
    <w:rsid w:val="544D59FD"/>
    <w:rsid w:val="548119C7"/>
    <w:rsid w:val="549A0936"/>
    <w:rsid w:val="54A25691"/>
    <w:rsid w:val="550479F9"/>
    <w:rsid w:val="55134720"/>
    <w:rsid w:val="55216B22"/>
    <w:rsid w:val="552B1DC7"/>
    <w:rsid w:val="554054D5"/>
    <w:rsid w:val="55601788"/>
    <w:rsid w:val="5565242B"/>
    <w:rsid w:val="558B0EF2"/>
    <w:rsid w:val="55DF0ED8"/>
    <w:rsid w:val="55F65867"/>
    <w:rsid w:val="56195DC5"/>
    <w:rsid w:val="564311D2"/>
    <w:rsid w:val="56552184"/>
    <w:rsid w:val="5671771B"/>
    <w:rsid w:val="568862B2"/>
    <w:rsid w:val="569F5204"/>
    <w:rsid w:val="56A40F80"/>
    <w:rsid w:val="56E30A23"/>
    <w:rsid w:val="56F67265"/>
    <w:rsid w:val="56F805D3"/>
    <w:rsid w:val="56F96063"/>
    <w:rsid w:val="571132F2"/>
    <w:rsid w:val="5722219D"/>
    <w:rsid w:val="57261542"/>
    <w:rsid w:val="572F2122"/>
    <w:rsid w:val="5732282D"/>
    <w:rsid w:val="57513E3C"/>
    <w:rsid w:val="575E71D1"/>
    <w:rsid w:val="576535CF"/>
    <w:rsid w:val="57656AAF"/>
    <w:rsid w:val="57751198"/>
    <w:rsid w:val="57780285"/>
    <w:rsid w:val="57895841"/>
    <w:rsid w:val="57CB7122"/>
    <w:rsid w:val="57D1078B"/>
    <w:rsid w:val="57F34BE3"/>
    <w:rsid w:val="580F49BF"/>
    <w:rsid w:val="583A4F4D"/>
    <w:rsid w:val="5848718F"/>
    <w:rsid w:val="5862744B"/>
    <w:rsid w:val="5877099A"/>
    <w:rsid w:val="587A7553"/>
    <w:rsid w:val="58B33C93"/>
    <w:rsid w:val="58C67724"/>
    <w:rsid w:val="58F632BA"/>
    <w:rsid w:val="58F74373"/>
    <w:rsid w:val="590E1344"/>
    <w:rsid w:val="592310BA"/>
    <w:rsid w:val="592B2BC8"/>
    <w:rsid w:val="5932697F"/>
    <w:rsid w:val="5945570A"/>
    <w:rsid w:val="59610748"/>
    <w:rsid w:val="596774DC"/>
    <w:rsid w:val="59843CBF"/>
    <w:rsid w:val="598532F1"/>
    <w:rsid w:val="598A1022"/>
    <w:rsid w:val="599A70AF"/>
    <w:rsid w:val="59B44E5D"/>
    <w:rsid w:val="59B93578"/>
    <w:rsid w:val="59C60319"/>
    <w:rsid w:val="5A05797A"/>
    <w:rsid w:val="5A3E69B5"/>
    <w:rsid w:val="5A551748"/>
    <w:rsid w:val="5A636A25"/>
    <w:rsid w:val="5AED0147"/>
    <w:rsid w:val="5AFFCAD6"/>
    <w:rsid w:val="5B5267B9"/>
    <w:rsid w:val="5B5437AD"/>
    <w:rsid w:val="5B5F034D"/>
    <w:rsid w:val="5B635363"/>
    <w:rsid w:val="5B64318C"/>
    <w:rsid w:val="5B6F3FA6"/>
    <w:rsid w:val="5B7A2A80"/>
    <w:rsid w:val="5BBB34D5"/>
    <w:rsid w:val="5BC05588"/>
    <w:rsid w:val="5BD42E24"/>
    <w:rsid w:val="5BD54579"/>
    <w:rsid w:val="5BD73053"/>
    <w:rsid w:val="5BE21F66"/>
    <w:rsid w:val="5BFB37A6"/>
    <w:rsid w:val="5C105BD9"/>
    <w:rsid w:val="5C240C7B"/>
    <w:rsid w:val="5C2D74DD"/>
    <w:rsid w:val="5C4E0F6B"/>
    <w:rsid w:val="5C5E6503"/>
    <w:rsid w:val="5C7D4E09"/>
    <w:rsid w:val="5C8D51F6"/>
    <w:rsid w:val="5CA52AF5"/>
    <w:rsid w:val="5CB963A2"/>
    <w:rsid w:val="5CBE4D60"/>
    <w:rsid w:val="5CC41C0D"/>
    <w:rsid w:val="5CCE1A7B"/>
    <w:rsid w:val="5CE42D12"/>
    <w:rsid w:val="5CE60C3C"/>
    <w:rsid w:val="5D5D1C57"/>
    <w:rsid w:val="5D5D7AEC"/>
    <w:rsid w:val="5D807C6A"/>
    <w:rsid w:val="5DB07B64"/>
    <w:rsid w:val="5DBD142B"/>
    <w:rsid w:val="5DDE2965"/>
    <w:rsid w:val="5DE55D4F"/>
    <w:rsid w:val="5E0B635A"/>
    <w:rsid w:val="5E1F1A63"/>
    <w:rsid w:val="5E5645E4"/>
    <w:rsid w:val="5E995F2D"/>
    <w:rsid w:val="5EA11D24"/>
    <w:rsid w:val="5ED02091"/>
    <w:rsid w:val="5EF54261"/>
    <w:rsid w:val="5EF66F80"/>
    <w:rsid w:val="5EFD3DCB"/>
    <w:rsid w:val="5F185AF6"/>
    <w:rsid w:val="5F323D85"/>
    <w:rsid w:val="5F57F058"/>
    <w:rsid w:val="5F5919A6"/>
    <w:rsid w:val="5F82440E"/>
    <w:rsid w:val="5FC63381"/>
    <w:rsid w:val="5FDF9793"/>
    <w:rsid w:val="5FE408D5"/>
    <w:rsid w:val="5FE46263"/>
    <w:rsid w:val="5FFA59D7"/>
    <w:rsid w:val="5FFAED98"/>
    <w:rsid w:val="600013DA"/>
    <w:rsid w:val="60105948"/>
    <w:rsid w:val="60210B27"/>
    <w:rsid w:val="60992FAF"/>
    <w:rsid w:val="60AE14F9"/>
    <w:rsid w:val="60DC1E35"/>
    <w:rsid w:val="61097879"/>
    <w:rsid w:val="610B3038"/>
    <w:rsid w:val="611A56E5"/>
    <w:rsid w:val="612739B4"/>
    <w:rsid w:val="614316C0"/>
    <w:rsid w:val="61492DC1"/>
    <w:rsid w:val="6157463B"/>
    <w:rsid w:val="615E1267"/>
    <w:rsid w:val="617E4947"/>
    <w:rsid w:val="617F65DF"/>
    <w:rsid w:val="618C3680"/>
    <w:rsid w:val="619157A0"/>
    <w:rsid w:val="61945342"/>
    <w:rsid w:val="61AD7FAC"/>
    <w:rsid w:val="61B5355E"/>
    <w:rsid w:val="61B7477A"/>
    <w:rsid w:val="61B9082C"/>
    <w:rsid w:val="61E37987"/>
    <w:rsid w:val="62012E19"/>
    <w:rsid w:val="620C4DF8"/>
    <w:rsid w:val="621F43E9"/>
    <w:rsid w:val="62552691"/>
    <w:rsid w:val="62597D2F"/>
    <w:rsid w:val="626252E0"/>
    <w:rsid w:val="629848C7"/>
    <w:rsid w:val="62CB2EE1"/>
    <w:rsid w:val="62FE72D8"/>
    <w:rsid w:val="63140E8B"/>
    <w:rsid w:val="632259C4"/>
    <w:rsid w:val="63263D0D"/>
    <w:rsid w:val="63397A37"/>
    <w:rsid w:val="634D2D5C"/>
    <w:rsid w:val="635D18E3"/>
    <w:rsid w:val="6360745C"/>
    <w:rsid w:val="63610695"/>
    <w:rsid w:val="63632B45"/>
    <w:rsid w:val="6373260F"/>
    <w:rsid w:val="63856413"/>
    <w:rsid w:val="63C139AA"/>
    <w:rsid w:val="63D201A3"/>
    <w:rsid w:val="63D515CC"/>
    <w:rsid w:val="63EFB33F"/>
    <w:rsid w:val="64003D27"/>
    <w:rsid w:val="64091EEC"/>
    <w:rsid w:val="64135FBD"/>
    <w:rsid w:val="644763D7"/>
    <w:rsid w:val="64666FB3"/>
    <w:rsid w:val="646E04C5"/>
    <w:rsid w:val="649548FB"/>
    <w:rsid w:val="64AA4A64"/>
    <w:rsid w:val="64AD388C"/>
    <w:rsid w:val="64B60830"/>
    <w:rsid w:val="64CD3230"/>
    <w:rsid w:val="64D81CF5"/>
    <w:rsid w:val="65010540"/>
    <w:rsid w:val="65420BAE"/>
    <w:rsid w:val="656025E6"/>
    <w:rsid w:val="65A45561"/>
    <w:rsid w:val="65EA2081"/>
    <w:rsid w:val="66324275"/>
    <w:rsid w:val="66467A2D"/>
    <w:rsid w:val="66582833"/>
    <w:rsid w:val="667557A4"/>
    <w:rsid w:val="66C14C96"/>
    <w:rsid w:val="66C66E69"/>
    <w:rsid w:val="66CA425F"/>
    <w:rsid w:val="66EA470B"/>
    <w:rsid w:val="67194F46"/>
    <w:rsid w:val="67333F4D"/>
    <w:rsid w:val="673D3AD3"/>
    <w:rsid w:val="67722E8F"/>
    <w:rsid w:val="677F4CA4"/>
    <w:rsid w:val="67AA791C"/>
    <w:rsid w:val="680447AD"/>
    <w:rsid w:val="681253D0"/>
    <w:rsid w:val="68464F3B"/>
    <w:rsid w:val="684A64D9"/>
    <w:rsid w:val="685A6D95"/>
    <w:rsid w:val="689B44E8"/>
    <w:rsid w:val="68A32F09"/>
    <w:rsid w:val="68B94F59"/>
    <w:rsid w:val="68C0194D"/>
    <w:rsid w:val="68C2718F"/>
    <w:rsid w:val="68C65D6E"/>
    <w:rsid w:val="68F2680E"/>
    <w:rsid w:val="6924250F"/>
    <w:rsid w:val="69271690"/>
    <w:rsid w:val="694B4443"/>
    <w:rsid w:val="694C0E55"/>
    <w:rsid w:val="696033A5"/>
    <w:rsid w:val="696533DD"/>
    <w:rsid w:val="698E4AF7"/>
    <w:rsid w:val="69A16F46"/>
    <w:rsid w:val="69C55233"/>
    <w:rsid w:val="69EB0D20"/>
    <w:rsid w:val="6A2A726A"/>
    <w:rsid w:val="6A5434EE"/>
    <w:rsid w:val="6A624D6D"/>
    <w:rsid w:val="6A782E9C"/>
    <w:rsid w:val="6A932B4B"/>
    <w:rsid w:val="6ABA6175"/>
    <w:rsid w:val="6ACF716D"/>
    <w:rsid w:val="6AD3621D"/>
    <w:rsid w:val="6AE866A8"/>
    <w:rsid w:val="6AF619D0"/>
    <w:rsid w:val="6AF76340"/>
    <w:rsid w:val="6AFE6109"/>
    <w:rsid w:val="6B051D29"/>
    <w:rsid w:val="6B386EE4"/>
    <w:rsid w:val="6B676306"/>
    <w:rsid w:val="6B6D718E"/>
    <w:rsid w:val="6B711B7A"/>
    <w:rsid w:val="6BA84604"/>
    <w:rsid w:val="6BD004F2"/>
    <w:rsid w:val="6BD43669"/>
    <w:rsid w:val="6BE8725E"/>
    <w:rsid w:val="6BEF1D3E"/>
    <w:rsid w:val="6C086311"/>
    <w:rsid w:val="6C0E2848"/>
    <w:rsid w:val="6C152647"/>
    <w:rsid w:val="6C255D33"/>
    <w:rsid w:val="6C2F6077"/>
    <w:rsid w:val="6C3034BA"/>
    <w:rsid w:val="6C5D26DE"/>
    <w:rsid w:val="6C6608D6"/>
    <w:rsid w:val="6C785AF0"/>
    <w:rsid w:val="6C7D5484"/>
    <w:rsid w:val="6C9852E5"/>
    <w:rsid w:val="6CBB0C24"/>
    <w:rsid w:val="6CD858AC"/>
    <w:rsid w:val="6CDD418B"/>
    <w:rsid w:val="6CFA7D7F"/>
    <w:rsid w:val="6D3A5EA2"/>
    <w:rsid w:val="6D7144E0"/>
    <w:rsid w:val="6D8D7A35"/>
    <w:rsid w:val="6DBD1347"/>
    <w:rsid w:val="6DBFDD8F"/>
    <w:rsid w:val="6E2A7591"/>
    <w:rsid w:val="6E3D6B3C"/>
    <w:rsid w:val="6E4F523E"/>
    <w:rsid w:val="6E5729A2"/>
    <w:rsid w:val="6E583A1F"/>
    <w:rsid w:val="6E60752F"/>
    <w:rsid w:val="6E775C66"/>
    <w:rsid w:val="6EAA495D"/>
    <w:rsid w:val="6EAB742B"/>
    <w:rsid w:val="6EB0558D"/>
    <w:rsid w:val="6EC6113E"/>
    <w:rsid w:val="6EC97476"/>
    <w:rsid w:val="6EFD3659"/>
    <w:rsid w:val="6EFDB3C5"/>
    <w:rsid w:val="6EFF1080"/>
    <w:rsid w:val="6F170E2C"/>
    <w:rsid w:val="6F1C670B"/>
    <w:rsid w:val="6F45287E"/>
    <w:rsid w:val="6F502821"/>
    <w:rsid w:val="6F571E34"/>
    <w:rsid w:val="6F6878D5"/>
    <w:rsid w:val="6F791792"/>
    <w:rsid w:val="6F7E6BF3"/>
    <w:rsid w:val="6FBD7CEA"/>
    <w:rsid w:val="6FED1DD7"/>
    <w:rsid w:val="70531535"/>
    <w:rsid w:val="70576505"/>
    <w:rsid w:val="705F43B5"/>
    <w:rsid w:val="70BF0D6E"/>
    <w:rsid w:val="70E01DD1"/>
    <w:rsid w:val="7101745D"/>
    <w:rsid w:val="71146B51"/>
    <w:rsid w:val="71147230"/>
    <w:rsid w:val="71161C74"/>
    <w:rsid w:val="71597165"/>
    <w:rsid w:val="717256AD"/>
    <w:rsid w:val="718544F1"/>
    <w:rsid w:val="718B0B03"/>
    <w:rsid w:val="71D6300A"/>
    <w:rsid w:val="71DE2066"/>
    <w:rsid w:val="71F66BBC"/>
    <w:rsid w:val="720A152D"/>
    <w:rsid w:val="721F1D01"/>
    <w:rsid w:val="7222649A"/>
    <w:rsid w:val="72705EB5"/>
    <w:rsid w:val="727A084C"/>
    <w:rsid w:val="728B0F06"/>
    <w:rsid w:val="72920E52"/>
    <w:rsid w:val="72D11304"/>
    <w:rsid w:val="72FE63A5"/>
    <w:rsid w:val="730B4011"/>
    <w:rsid w:val="730C4186"/>
    <w:rsid w:val="73192D4C"/>
    <w:rsid w:val="7341102A"/>
    <w:rsid w:val="736B0572"/>
    <w:rsid w:val="737974C3"/>
    <w:rsid w:val="73A17E6A"/>
    <w:rsid w:val="73BE751A"/>
    <w:rsid w:val="73DC5FDA"/>
    <w:rsid w:val="73E16D57"/>
    <w:rsid w:val="73EE0AE6"/>
    <w:rsid w:val="73F6569B"/>
    <w:rsid w:val="7453624B"/>
    <w:rsid w:val="746049BA"/>
    <w:rsid w:val="74874E5A"/>
    <w:rsid w:val="748F53FE"/>
    <w:rsid w:val="74A227F4"/>
    <w:rsid w:val="74A2568B"/>
    <w:rsid w:val="74C47F76"/>
    <w:rsid w:val="751F585B"/>
    <w:rsid w:val="753CC434"/>
    <w:rsid w:val="75471901"/>
    <w:rsid w:val="754E3DD7"/>
    <w:rsid w:val="7564174C"/>
    <w:rsid w:val="756D360D"/>
    <w:rsid w:val="7573132B"/>
    <w:rsid w:val="758B6A1E"/>
    <w:rsid w:val="75AC7227"/>
    <w:rsid w:val="75C341B4"/>
    <w:rsid w:val="75DC3A8B"/>
    <w:rsid w:val="76021882"/>
    <w:rsid w:val="76160679"/>
    <w:rsid w:val="761715C6"/>
    <w:rsid w:val="766574D1"/>
    <w:rsid w:val="767C3DB4"/>
    <w:rsid w:val="76857663"/>
    <w:rsid w:val="768F2CE9"/>
    <w:rsid w:val="76A41635"/>
    <w:rsid w:val="76B0701A"/>
    <w:rsid w:val="76C911B5"/>
    <w:rsid w:val="76D21C62"/>
    <w:rsid w:val="76DE1045"/>
    <w:rsid w:val="770C4DA3"/>
    <w:rsid w:val="771463D1"/>
    <w:rsid w:val="772F843A"/>
    <w:rsid w:val="774A39DA"/>
    <w:rsid w:val="774C4567"/>
    <w:rsid w:val="7756667A"/>
    <w:rsid w:val="77777CEB"/>
    <w:rsid w:val="779B02BA"/>
    <w:rsid w:val="77CA4292"/>
    <w:rsid w:val="77D64484"/>
    <w:rsid w:val="77D7C5EB"/>
    <w:rsid w:val="77E45A61"/>
    <w:rsid w:val="77E55459"/>
    <w:rsid w:val="77E7A2C3"/>
    <w:rsid w:val="77E922B4"/>
    <w:rsid w:val="784C0886"/>
    <w:rsid w:val="786258A4"/>
    <w:rsid w:val="786835AA"/>
    <w:rsid w:val="787A60AB"/>
    <w:rsid w:val="78CE1FD7"/>
    <w:rsid w:val="78D0463B"/>
    <w:rsid w:val="78D131C3"/>
    <w:rsid w:val="78D6344A"/>
    <w:rsid w:val="78EFA7F7"/>
    <w:rsid w:val="7906595E"/>
    <w:rsid w:val="7917686A"/>
    <w:rsid w:val="7919122A"/>
    <w:rsid w:val="791E0FD9"/>
    <w:rsid w:val="794B7201"/>
    <w:rsid w:val="795B0ABE"/>
    <w:rsid w:val="798B1783"/>
    <w:rsid w:val="79B2108A"/>
    <w:rsid w:val="79B37DD6"/>
    <w:rsid w:val="79CE0777"/>
    <w:rsid w:val="79FF0A44"/>
    <w:rsid w:val="7A417E6A"/>
    <w:rsid w:val="7A4708DF"/>
    <w:rsid w:val="7A92024C"/>
    <w:rsid w:val="7A98347A"/>
    <w:rsid w:val="7AA222D1"/>
    <w:rsid w:val="7AF352F0"/>
    <w:rsid w:val="7B0B5BD1"/>
    <w:rsid w:val="7B1820A6"/>
    <w:rsid w:val="7B997B63"/>
    <w:rsid w:val="7BA53398"/>
    <w:rsid w:val="7BC42E96"/>
    <w:rsid w:val="7BC71689"/>
    <w:rsid w:val="7BE20360"/>
    <w:rsid w:val="7BFD0DBE"/>
    <w:rsid w:val="7C1A1A2B"/>
    <w:rsid w:val="7C336153"/>
    <w:rsid w:val="7C435CA9"/>
    <w:rsid w:val="7C78688F"/>
    <w:rsid w:val="7C867510"/>
    <w:rsid w:val="7CDF725D"/>
    <w:rsid w:val="7CE502B1"/>
    <w:rsid w:val="7CF01DBB"/>
    <w:rsid w:val="7D0C534E"/>
    <w:rsid w:val="7D21376C"/>
    <w:rsid w:val="7D287BA2"/>
    <w:rsid w:val="7D622331"/>
    <w:rsid w:val="7D6B1DF6"/>
    <w:rsid w:val="7D6B5ADC"/>
    <w:rsid w:val="7D8B198E"/>
    <w:rsid w:val="7D934831"/>
    <w:rsid w:val="7DD75B87"/>
    <w:rsid w:val="7DF65849"/>
    <w:rsid w:val="7DFC7E2B"/>
    <w:rsid w:val="7E092EFD"/>
    <w:rsid w:val="7E0D1328"/>
    <w:rsid w:val="7E122B46"/>
    <w:rsid w:val="7E262275"/>
    <w:rsid w:val="7E2676D0"/>
    <w:rsid w:val="7E303953"/>
    <w:rsid w:val="7E41121F"/>
    <w:rsid w:val="7E4F73AA"/>
    <w:rsid w:val="7E6F3632"/>
    <w:rsid w:val="7E74200D"/>
    <w:rsid w:val="7E755665"/>
    <w:rsid w:val="7E7B6F9A"/>
    <w:rsid w:val="7E7EA9A5"/>
    <w:rsid w:val="7EA22277"/>
    <w:rsid w:val="7EB263BA"/>
    <w:rsid w:val="7EB414BB"/>
    <w:rsid w:val="7EC63541"/>
    <w:rsid w:val="7EED4B13"/>
    <w:rsid w:val="7EF269EF"/>
    <w:rsid w:val="7EFB1945"/>
    <w:rsid w:val="7F552F6B"/>
    <w:rsid w:val="7F5E7C3D"/>
    <w:rsid w:val="7F76E9EE"/>
    <w:rsid w:val="7F8B1A78"/>
    <w:rsid w:val="7FA418D8"/>
    <w:rsid w:val="7FA43E35"/>
    <w:rsid w:val="7FA92784"/>
    <w:rsid w:val="7FABE30B"/>
    <w:rsid w:val="7FABEBBD"/>
    <w:rsid w:val="7FC80001"/>
    <w:rsid w:val="7FCB6C02"/>
    <w:rsid w:val="7FDD570F"/>
    <w:rsid w:val="7FEF4422"/>
    <w:rsid w:val="7FF7EA3E"/>
    <w:rsid w:val="7FFDB0F8"/>
    <w:rsid w:val="956DEF58"/>
    <w:rsid w:val="9B7F1341"/>
    <w:rsid w:val="9FDF6DA7"/>
    <w:rsid w:val="A3FDC672"/>
    <w:rsid w:val="A7FB0F6D"/>
    <w:rsid w:val="AE4F7F76"/>
    <w:rsid w:val="BBBF1B3C"/>
    <w:rsid w:val="BD3FC7F7"/>
    <w:rsid w:val="BF54450E"/>
    <w:rsid w:val="C2DDBFF8"/>
    <w:rsid w:val="CB37900F"/>
    <w:rsid w:val="CCBBEEBC"/>
    <w:rsid w:val="CFBDF31E"/>
    <w:rsid w:val="D9DFD8D1"/>
    <w:rsid w:val="DBBF2CE4"/>
    <w:rsid w:val="DFD62E34"/>
    <w:rsid w:val="DFFEDBB6"/>
    <w:rsid w:val="E5F7A98C"/>
    <w:rsid w:val="E773BD3C"/>
    <w:rsid w:val="E7DFC362"/>
    <w:rsid w:val="EE760BC3"/>
    <w:rsid w:val="EEEF85B3"/>
    <w:rsid w:val="EF5F2A44"/>
    <w:rsid w:val="EF71809E"/>
    <w:rsid w:val="EFBE6BFA"/>
    <w:rsid w:val="EFBF669C"/>
    <w:rsid w:val="F08B1361"/>
    <w:rsid w:val="F3770B88"/>
    <w:rsid w:val="F6E11D94"/>
    <w:rsid w:val="F6EF15E7"/>
    <w:rsid w:val="F779C027"/>
    <w:rsid w:val="F77F0969"/>
    <w:rsid w:val="F7FF52C5"/>
    <w:rsid w:val="FAFF04CE"/>
    <w:rsid w:val="FB3606D3"/>
    <w:rsid w:val="FBC63BAB"/>
    <w:rsid w:val="FC7ECCC1"/>
    <w:rsid w:val="FCFB247B"/>
    <w:rsid w:val="FD7FEF93"/>
    <w:rsid w:val="FDD7EE14"/>
    <w:rsid w:val="FDFAD684"/>
    <w:rsid w:val="FDFBBEF7"/>
    <w:rsid w:val="FFAF2634"/>
    <w:rsid w:val="FFFD0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uiPriority="0" w:name="toc 6"/>
    <w:lsdException w:uiPriority="0" w:name="toc 7"/>
    <w:lsdException w:uiPriority="0" w:name="toc 8"/>
    <w:lsdException w:uiPriority="0" w:name="toc 9"/>
    <w:lsdException w:qFormat="1"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paragraph" w:styleId="4">
    <w:name w:val="heading 1"/>
    <w:basedOn w:val="1"/>
    <w:next w:val="1"/>
    <w:link w:val="87"/>
    <w:qFormat/>
    <w:uiPriority w:val="0"/>
    <w:pPr>
      <w:keepNext/>
      <w:keepLines/>
      <w:spacing w:before="120" w:after="120"/>
      <w:jc w:val="center"/>
      <w:outlineLvl w:val="0"/>
    </w:pPr>
    <w:rPr>
      <w:b/>
      <w:kern w:val="44"/>
      <w:sz w:val="44"/>
    </w:rPr>
  </w:style>
  <w:style w:type="paragraph" w:styleId="5">
    <w:name w:val="heading 2"/>
    <w:basedOn w:val="1"/>
    <w:next w:val="6"/>
    <w:qFormat/>
    <w:uiPriority w:val="0"/>
    <w:pPr>
      <w:keepNext/>
      <w:keepLines/>
      <w:spacing w:before="140" w:after="140" w:line="413" w:lineRule="auto"/>
      <w:jc w:val="center"/>
      <w:outlineLvl w:val="1"/>
    </w:pPr>
    <w:rPr>
      <w:rFonts w:ascii="Arial" w:hAnsi="Arial"/>
      <w:b/>
      <w:sz w:val="28"/>
    </w:rPr>
  </w:style>
  <w:style w:type="paragraph" w:styleId="7">
    <w:name w:val="heading 3"/>
    <w:basedOn w:val="1"/>
    <w:next w:val="1"/>
    <w:link w:val="49"/>
    <w:qFormat/>
    <w:uiPriority w:val="0"/>
    <w:pPr>
      <w:keepNext/>
      <w:keepLines/>
      <w:spacing w:before="260" w:after="260" w:line="416" w:lineRule="auto"/>
      <w:outlineLvl w:val="2"/>
    </w:pPr>
    <w:rPr>
      <w:b/>
      <w:bCs/>
      <w:sz w:val="32"/>
      <w:szCs w:val="32"/>
    </w:rPr>
  </w:style>
  <w:style w:type="paragraph" w:styleId="8">
    <w:name w:val="heading 4"/>
    <w:basedOn w:val="1"/>
    <w:next w:val="6"/>
    <w:qFormat/>
    <w:uiPriority w:val="0"/>
    <w:pPr>
      <w:keepNext/>
      <w:keepLines/>
      <w:outlineLvl w:val="3"/>
    </w:pPr>
    <w:rPr>
      <w:rFonts w:ascii="Arial" w:hAnsi="Arial" w:eastAsia="黑体"/>
      <w:bCs/>
      <w:kern w:val="0"/>
      <w:sz w:val="24"/>
      <w:szCs w:val="28"/>
    </w:rPr>
  </w:style>
  <w:style w:type="paragraph" w:styleId="9">
    <w:name w:val="heading 5"/>
    <w:basedOn w:val="1"/>
    <w:next w:val="1"/>
    <w:link w:val="51"/>
    <w:qFormat/>
    <w:uiPriority w:val="0"/>
    <w:pPr>
      <w:keepNext/>
      <w:keepLines/>
      <w:spacing w:before="280" w:after="290" w:line="376" w:lineRule="auto"/>
      <w:outlineLvl w:val="4"/>
    </w:pPr>
    <w:rPr>
      <w:b/>
      <w:bCs/>
      <w:sz w:val="28"/>
      <w:szCs w:val="28"/>
    </w:rPr>
  </w:style>
  <w:style w:type="paragraph" w:styleId="10">
    <w:name w:val="heading 6"/>
    <w:basedOn w:val="1"/>
    <w:next w:val="1"/>
    <w:link w:val="55"/>
    <w:qFormat/>
    <w:uiPriority w:val="0"/>
    <w:pPr>
      <w:keepNext/>
      <w:keepLines/>
      <w:spacing w:before="240" w:after="64" w:line="320" w:lineRule="auto"/>
      <w:outlineLvl w:val="5"/>
    </w:pPr>
    <w:rPr>
      <w:rFonts w:ascii="Calibri Light" w:hAnsi="Calibri Light" w:eastAsia="宋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pPr>
    <w:rPr>
      <w:szCs w:val="20"/>
    </w:rPr>
  </w:style>
  <w:style w:type="paragraph" w:styleId="3">
    <w:name w:val="toc 5"/>
    <w:basedOn w:val="1"/>
    <w:next w:val="1"/>
    <w:qFormat/>
    <w:uiPriority w:val="39"/>
    <w:pPr>
      <w:ind w:left="840"/>
      <w:jc w:val="left"/>
    </w:pPr>
    <w:rPr>
      <w:rFonts w:asciiTheme="minorHAnsi" w:hAnsiTheme="minorHAnsi"/>
      <w:sz w:val="20"/>
      <w:szCs w:val="20"/>
    </w:rPr>
  </w:style>
  <w:style w:type="paragraph" w:styleId="6">
    <w:name w:val="Normal Indent"/>
    <w:basedOn w:val="1"/>
    <w:next w:val="1"/>
    <w:link w:val="52"/>
    <w:unhideWhenUsed/>
    <w:qFormat/>
    <w:uiPriority w:val="0"/>
    <w:pPr>
      <w:ind w:firstLine="420"/>
    </w:pPr>
    <w:rPr>
      <w:szCs w:val="20"/>
    </w:rPr>
  </w:style>
  <w:style w:type="paragraph" w:styleId="11">
    <w:name w:val="caption"/>
    <w:basedOn w:val="1"/>
    <w:next w:val="1"/>
    <w:link w:val="84"/>
    <w:unhideWhenUsed/>
    <w:qFormat/>
    <w:uiPriority w:val="0"/>
    <w:rPr>
      <w:rFonts w:eastAsia="黑体" w:asciiTheme="majorHAnsi" w:hAnsiTheme="majorHAnsi" w:cstheme="majorBidi"/>
      <w:sz w:val="20"/>
      <w:szCs w:val="20"/>
    </w:rPr>
  </w:style>
  <w:style w:type="paragraph" w:styleId="12">
    <w:name w:val="annotation text"/>
    <w:basedOn w:val="1"/>
    <w:link w:val="43"/>
    <w:unhideWhenUsed/>
    <w:qFormat/>
    <w:uiPriority w:val="0"/>
    <w:pPr>
      <w:jc w:val="left"/>
    </w:pPr>
    <w:rPr>
      <w:rFonts w:hint="eastAsia" w:ascii="等线" w:hAnsi="等线" w:eastAsia="等线"/>
      <w:szCs w:val="22"/>
    </w:rPr>
  </w:style>
  <w:style w:type="paragraph" w:styleId="13">
    <w:name w:val="Body Text Indent"/>
    <w:basedOn w:val="1"/>
    <w:next w:val="14"/>
    <w:semiHidden/>
    <w:unhideWhenUsed/>
    <w:qFormat/>
    <w:uiPriority w:val="99"/>
    <w:pPr>
      <w:spacing w:after="120"/>
      <w:ind w:left="420" w:leftChars="200"/>
    </w:pPr>
  </w:style>
  <w:style w:type="paragraph" w:styleId="14">
    <w:name w:val="toc 4"/>
    <w:basedOn w:val="1"/>
    <w:next w:val="1"/>
    <w:qFormat/>
    <w:uiPriority w:val="39"/>
    <w:pPr>
      <w:ind w:left="630"/>
      <w:jc w:val="left"/>
    </w:pPr>
    <w:rPr>
      <w:sz w:val="18"/>
      <w:szCs w:val="18"/>
    </w:rPr>
  </w:style>
  <w:style w:type="paragraph" w:styleId="15">
    <w:name w:val="Block Text"/>
    <w:basedOn w:val="1"/>
    <w:next w:val="1"/>
    <w:qFormat/>
    <w:uiPriority w:val="0"/>
    <w:pPr>
      <w:ind w:left="105" w:right="353" w:firstLine="720"/>
      <w:jc w:val="center"/>
    </w:pPr>
    <w:rPr>
      <w:rFonts w:eastAsia="楷体_GB2312"/>
      <w:sz w:val="24"/>
    </w:rPr>
  </w:style>
  <w:style w:type="paragraph" w:styleId="16">
    <w:name w:val="toc 3"/>
    <w:basedOn w:val="1"/>
    <w:next w:val="1"/>
    <w:unhideWhenUsed/>
    <w:qFormat/>
    <w:uiPriority w:val="39"/>
    <w:pPr>
      <w:widowControl/>
      <w:spacing w:after="100" w:line="259" w:lineRule="auto"/>
      <w:ind w:left="440"/>
      <w:jc w:val="left"/>
    </w:pPr>
    <w:rPr>
      <w:rFonts w:eastAsia="宋体"/>
      <w:kern w:val="0"/>
      <w:sz w:val="22"/>
      <w:szCs w:val="22"/>
    </w:rPr>
  </w:style>
  <w:style w:type="paragraph" w:styleId="17">
    <w:name w:val="Plain Text"/>
    <w:basedOn w:val="1"/>
    <w:link w:val="47"/>
    <w:qFormat/>
    <w:uiPriority w:val="0"/>
    <w:rPr>
      <w:rFonts w:ascii="宋体" w:hAnsi="Courier New" w:cs="Courier New"/>
      <w:szCs w:val="21"/>
    </w:rPr>
  </w:style>
  <w:style w:type="paragraph" w:styleId="18">
    <w:name w:val="Date"/>
    <w:basedOn w:val="1"/>
    <w:next w:val="1"/>
    <w:link w:val="54"/>
    <w:qFormat/>
    <w:uiPriority w:val="0"/>
    <w:rPr>
      <w:rFonts w:ascii="Times New Roman" w:hAnsi="Times New Roman" w:eastAsia="宋体"/>
      <w:sz w:val="28"/>
      <w:szCs w:val="20"/>
    </w:rPr>
  </w:style>
  <w:style w:type="paragraph" w:styleId="19">
    <w:name w:val="Balloon Text"/>
    <w:basedOn w:val="1"/>
    <w:link w:val="53"/>
    <w:qFormat/>
    <w:uiPriority w:val="99"/>
    <w:rPr>
      <w:sz w:val="18"/>
      <w:szCs w:val="18"/>
    </w:rPr>
  </w:style>
  <w:style w:type="paragraph" w:styleId="20">
    <w:name w:val="footer"/>
    <w:basedOn w:val="1"/>
    <w:link w:val="96"/>
    <w:qFormat/>
    <w:uiPriority w:val="99"/>
    <w:pPr>
      <w:tabs>
        <w:tab w:val="center" w:pos="4153"/>
        <w:tab w:val="right" w:pos="8306"/>
      </w:tabs>
      <w:snapToGrid w:val="0"/>
      <w:jc w:val="left"/>
    </w:pPr>
    <w:rPr>
      <w:sz w:val="18"/>
    </w:rPr>
  </w:style>
  <w:style w:type="paragraph" w:styleId="21">
    <w:name w:val="header"/>
    <w:basedOn w:val="1"/>
    <w:link w:val="7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pPr>
      <w:widowControl/>
      <w:spacing w:after="100" w:line="259" w:lineRule="auto"/>
      <w:jc w:val="left"/>
    </w:pPr>
    <w:rPr>
      <w:rFonts w:eastAsia="宋体"/>
      <w:kern w:val="0"/>
      <w:sz w:val="22"/>
      <w:szCs w:val="22"/>
    </w:rPr>
  </w:style>
  <w:style w:type="paragraph" w:styleId="23">
    <w:name w:val="index heading"/>
    <w:basedOn w:val="1"/>
    <w:next w:val="24"/>
    <w:qFormat/>
    <w:uiPriority w:val="0"/>
    <w:rPr>
      <w:rFonts w:ascii="Times New Roman" w:hAnsi="Times New Roman" w:eastAsia="宋体"/>
      <w:szCs w:val="20"/>
    </w:rPr>
  </w:style>
  <w:style w:type="paragraph" w:styleId="24">
    <w:name w:val="index 1"/>
    <w:basedOn w:val="1"/>
    <w:next w:val="1"/>
    <w:unhideWhenUsed/>
    <w:qFormat/>
    <w:uiPriority w:val="0"/>
  </w:style>
  <w:style w:type="paragraph" w:styleId="25">
    <w:name w:val="footnote text"/>
    <w:basedOn w:val="1"/>
    <w:link w:val="95"/>
    <w:unhideWhenUsed/>
    <w:qFormat/>
    <w:uiPriority w:val="99"/>
    <w:pPr>
      <w:snapToGrid w:val="0"/>
      <w:jc w:val="left"/>
    </w:pPr>
    <w:rPr>
      <w:rFonts w:ascii="仿宋_GB2312" w:hAnsi="新宋体" w:eastAsia="仿宋_GB2312"/>
      <w:sz w:val="18"/>
      <w:szCs w:val="18"/>
    </w:rPr>
  </w:style>
  <w:style w:type="paragraph" w:styleId="26">
    <w:name w:val="toc 2"/>
    <w:basedOn w:val="1"/>
    <w:next w:val="1"/>
    <w:unhideWhenUsed/>
    <w:qFormat/>
    <w:uiPriority w:val="39"/>
    <w:pPr>
      <w:widowControl/>
      <w:spacing w:after="100" w:line="259" w:lineRule="auto"/>
      <w:ind w:left="220"/>
      <w:jc w:val="left"/>
    </w:pPr>
    <w:rPr>
      <w:rFonts w:eastAsia="宋体"/>
      <w:kern w:val="0"/>
      <w:sz w:val="22"/>
      <w:szCs w:val="22"/>
    </w:rPr>
  </w:style>
  <w:style w:type="paragraph" w:styleId="27">
    <w:name w:val="Body Text 2"/>
    <w:basedOn w:val="1"/>
    <w:qFormat/>
    <w:uiPriority w:val="99"/>
    <w:pPr>
      <w:spacing w:line="360" w:lineRule="auto"/>
    </w:pPr>
    <w:rPr>
      <w:rFonts w:ascii="仿宋_GB2312" w:eastAsia="仿宋_GB2312"/>
      <w:sz w:val="32"/>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9">
    <w:name w:val="Title"/>
    <w:basedOn w:val="1"/>
    <w:next w:val="1"/>
    <w:link w:val="44"/>
    <w:qFormat/>
    <w:uiPriority w:val="10"/>
    <w:pPr>
      <w:spacing w:before="240" w:after="60"/>
      <w:jc w:val="center"/>
      <w:outlineLvl w:val="0"/>
    </w:pPr>
    <w:rPr>
      <w:rFonts w:ascii="Calibri Light" w:hAnsi="Calibri Light" w:eastAsia="宋体"/>
      <w:b/>
      <w:bCs/>
      <w:sz w:val="32"/>
      <w:szCs w:val="32"/>
    </w:rPr>
  </w:style>
  <w:style w:type="paragraph" w:styleId="30">
    <w:name w:val="annotation subject"/>
    <w:basedOn w:val="12"/>
    <w:next w:val="12"/>
    <w:link w:val="48"/>
    <w:unhideWhenUsed/>
    <w:qFormat/>
    <w:uiPriority w:val="99"/>
    <w:rPr>
      <w:b/>
      <w:bCs/>
    </w:rPr>
  </w:style>
  <w:style w:type="paragraph" w:styleId="31">
    <w:name w:val="Body Text First Indent"/>
    <w:basedOn w:val="2"/>
    <w:next w:val="32"/>
    <w:qFormat/>
    <w:uiPriority w:val="0"/>
    <w:pPr>
      <w:spacing w:after="120" w:line="240" w:lineRule="auto"/>
      <w:ind w:firstLine="100" w:firstLineChars="100"/>
    </w:pPr>
    <w:rPr>
      <w:szCs w:val="24"/>
    </w:rPr>
  </w:style>
  <w:style w:type="paragraph" w:styleId="32">
    <w:name w:val="Body Text First Indent 2"/>
    <w:basedOn w:val="13"/>
    <w:next w:val="2"/>
    <w:link w:val="88"/>
    <w:qFormat/>
    <w:uiPriority w:val="0"/>
    <w:pPr>
      <w:tabs>
        <w:tab w:val="left" w:pos="630"/>
      </w:tabs>
      <w:ind w:firstLine="420" w:firstLineChars="300"/>
    </w:pPr>
    <w:rPr>
      <w:rFonts w:ascii="Verdana" w:hAnsi="Verdana" w:eastAsia="宋体"/>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basedOn w:val="35"/>
    <w:unhideWhenUsed/>
    <w:qFormat/>
    <w:uiPriority w:val="99"/>
    <w:rPr>
      <w:sz w:val="21"/>
      <w:szCs w:val="21"/>
    </w:rPr>
  </w:style>
  <w:style w:type="paragraph" w:customStyle="1" w:styleId="40">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character" w:customStyle="1" w:styleId="41">
    <w:name w:val="批注文字 字符"/>
    <w:qFormat/>
    <w:uiPriority w:val="99"/>
    <w:rPr>
      <w:szCs w:val="24"/>
    </w:rPr>
  </w:style>
  <w:style w:type="character" w:customStyle="1" w:styleId="42">
    <w:name w:val="纯文本 字符"/>
    <w:qFormat/>
    <w:locked/>
    <w:uiPriority w:val="0"/>
    <w:rPr>
      <w:rFonts w:ascii="宋体" w:hAnsi="Courier New"/>
      <w:kern w:val="2"/>
      <w:sz w:val="21"/>
      <w:szCs w:val="21"/>
    </w:rPr>
  </w:style>
  <w:style w:type="character" w:customStyle="1" w:styleId="43">
    <w:name w:val="批注文字 Char"/>
    <w:link w:val="12"/>
    <w:qFormat/>
    <w:uiPriority w:val="99"/>
    <w:rPr>
      <w:rFonts w:ascii="Calibri" w:hAnsi="Calibri" w:eastAsia="仿宋"/>
      <w:kern w:val="2"/>
      <w:sz w:val="21"/>
      <w:szCs w:val="24"/>
    </w:rPr>
  </w:style>
  <w:style w:type="character" w:customStyle="1" w:styleId="44">
    <w:name w:val="标题 Char"/>
    <w:link w:val="29"/>
    <w:qFormat/>
    <w:uiPriority w:val="10"/>
    <w:rPr>
      <w:rFonts w:ascii="Calibri Light" w:hAnsi="Calibri Light" w:cs="Times New Roman"/>
      <w:b/>
      <w:bCs/>
      <w:kern w:val="2"/>
      <w:sz w:val="32"/>
      <w:szCs w:val="32"/>
    </w:rPr>
  </w:style>
  <w:style w:type="character" w:customStyle="1" w:styleId="45">
    <w:name w:val="列出段落 Char"/>
    <w:link w:val="46"/>
    <w:qFormat/>
    <w:uiPriority w:val="34"/>
    <w:rPr>
      <w:rFonts w:ascii="Calibri" w:hAnsi="Calibri" w:eastAsia="仿宋"/>
      <w:kern w:val="2"/>
      <w:sz w:val="21"/>
      <w:szCs w:val="24"/>
    </w:rPr>
  </w:style>
  <w:style w:type="paragraph" w:styleId="46">
    <w:name w:val="List Paragraph"/>
    <w:basedOn w:val="1"/>
    <w:link w:val="45"/>
    <w:qFormat/>
    <w:uiPriority w:val="34"/>
    <w:pPr>
      <w:ind w:firstLine="420" w:firstLineChars="200"/>
    </w:pPr>
  </w:style>
  <w:style w:type="character" w:customStyle="1" w:styleId="47">
    <w:name w:val="纯文本 Char1"/>
    <w:link w:val="17"/>
    <w:qFormat/>
    <w:locked/>
    <w:uiPriority w:val="0"/>
    <w:rPr>
      <w:rFonts w:ascii="宋体" w:hAnsi="Courier New" w:eastAsia="仿宋" w:cs="Courier New"/>
      <w:kern w:val="2"/>
      <w:sz w:val="21"/>
      <w:szCs w:val="21"/>
    </w:rPr>
  </w:style>
  <w:style w:type="character" w:customStyle="1" w:styleId="48">
    <w:name w:val="批注主题 Char"/>
    <w:link w:val="30"/>
    <w:semiHidden/>
    <w:qFormat/>
    <w:uiPriority w:val="99"/>
    <w:rPr>
      <w:rFonts w:ascii="Calibri" w:hAnsi="Calibri" w:eastAsia="仿宋"/>
      <w:b/>
      <w:bCs/>
      <w:kern w:val="2"/>
      <w:sz w:val="21"/>
      <w:szCs w:val="24"/>
    </w:rPr>
  </w:style>
  <w:style w:type="character" w:customStyle="1" w:styleId="49">
    <w:name w:val="标题 3 Char"/>
    <w:link w:val="7"/>
    <w:qFormat/>
    <w:uiPriority w:val="0"/>
    <w:rPr>
      <w:rFonts w:ascii="Calibri" w:hAnsi="Calibri" w:eastAsia="仿宋"/>
      <w:b/>
      <w:bCs/>
      <w:kern w:val="2"/>
      <w:sz w:val="32"/>
      <w:szCs w:val="32"/>
    </w:rPr>
  </w:style>
  <w:style w:type="character" w:customStyle="1" w:styleId="50">
    <w:name w:val="纯文本 Char"/>
    <w:qFormat/>
    <w:uiPriority w:val="99"/>
    <w:rPr>
      <w:rFonts w:ascii="宋体" w:hAnsi="Courier New" w:eastAsia="宋体"/>
      <w:kern w:val="2"/>
      <w:sz w:val="24"/>
      <w:szCs w:val="21"/>
      <w:lang w:val="en-US" w:eastAsia="zh-CN" w:bidi="ar-SA"/>
    </w:rPr>
  </w:style>
  <w:style w:type="character" w:customStyle="1" w:styleId="51">
    <w:name w:val="标题 5 Char"/>
    <w:link w:val="9"/>
    <w:qFormat/>
    <w:uiPriority w:val="0"/>
    <w:rPr>
      <w:rFonts w:ascii="Calibri" w:hAnsi="Calibri" w:eastAsia="仿宋"/>
      <w:b/>
      <w:bCs/>
      <w:kern w:val="2"/>
      <w:sz w:val="28"/>
      <w:szCs w:val="28"/>
    </w:rPr>
  </w:style>
  <w:style w:type="character" w:customStyle="1" w:styleId="52">
    <w:name w:val="正文缩进 Char"/>
    <w:link w:val="6"/>
    <w:qFormat/>
    <w:locked/>
    <w:uiPriority w:val="0"/>
    <w:rPr>
      <w:rFonts w:ascii="Calibri" w:hAnsi="Calibri" w:eastAsia="仿宋"/>
      <w:kern w:val="2"/>
      <w:sz w:val="21"/>
    </w:rPr>
  </w:style>
  <w:style w:type="character" w:customStyle="1" w:styleId="53">
    <w:name w:val="批注框文本 Char"/>
    <w:link w:val="19"/>
    <w:qFormat/>
    <w:uiPriority w:val="99"/>
    <w:rPr>
      <w:rFonts w:ascii="Calibri" w:hAnsi="Calibri" w:eastAsia="仿宋" w:cs="Times New Roman"/>
      <w:kern w:val="2"/>
      <w:sz w:val="18"/>
      <w:szCs w:val="18"/>
    </w:rPr>
  </w:style>
  <w:style w:type="character" w:customStyle="1" w:styleId="54">
    <w:name w:val="日期 Char"/>
    <w:link w:val="18"/>
    <w:qFormat/>
    <w:uiPriority w:val="0"/>
    <w:rPr>
      <w:kern w:val="2"/>
      <w:sz w:val="28"/>
    </w:rPr>
  </w:style>
  <w:style w:type="character" w:customStyle="1" w:styleId="55">
    <w:name w:val="标题 6 Char"/>
    <w:link w:val="10"/>
    <w:qFormat/>
    <w:uiPriority w:val="0"/>
    <w:rPr>
      <w:rFonts w:ascii="Calibri Light" w:hAnsi="Calibri Light" w:eastAsia="宋体" w:cs="Times New Roman"/>
      <w:b/>
      <w:bCs/>
      <w:kern w:val="2"/>
      <w:sz w:val="24"/>
      <w:szCs w:val="24"/>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Table Paragraph"/>
    <w:basedOn w:val="1"/>
    <w:qFormat/>
    <w:uiPriority w:val="1"/>
    <w:pPr>
      <w:autoSpaceDE w:val="0"/>
      <w:autoSpaceDN w:val="0"/>
      <w:adjustRightInd w:val="0"/>
      <w:jc w:val="left"/>
    </w:pPr>
    <w:rPr>
      <w:rFonts w:ascii="宋体" w:hAnsi="Times New Roman" w:cs="宋体"/>
      <w:kern w:val="0"/>
      <w:sz w:val="24"/>
    </w:rPr>
  </w:style>
  <w:style w:type="paragraph" w:customStyle="1" w:styleId="58">
    <w:name w:val="样式N"/>
    <w:basedOn w:val="59"/>
    <w:qFormat/>
    <w:uiPriority w:val="0"/>
    <w:rPr>
      <w:sz w:val="30"/>
    </w:rPr>
  </w:style>
  <w:style w:type="paragraph" w:customStyle="1" w:styleId="59">
    <w:name w:val="样式H"/>
    <w:basedOn w:val="4"/>
    <w:next w:val="1"/>
    <w:qFormat/>
    <w:uiPriority w:val="0"/>
    <w:pPr>
      <w:spacing w:before="100" w:line="500" w:lineRule="exact"/>
    </w:pPr>
  </w:style>
  <w:style w:type="paragraph" w:customStyle="1" w:styleId="6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WPSOffice手动目录 2"/>
    <w:qFormat/>
    <w:uiPriority w:val="0"/>
    <w:pPr>
      <w:ind w:left="200" w:leftChars="200"/>
    </w:pPr>
    <w:rPr>
      <w:rFonts w:ascii="Calibri" w:hAnsi="Calibri" w:eastAsia="宋体" w:cs="Times New Roman"/>
      <w:lang w:val="en-US" w:eastAsia="zh-CN" w:bidi="ar-SA"/>
    </w:rPr>
  </w:style>
  <w:style w:type="paragraph" w:customStyle="1" w:styleId="62">
    <w:name w:val="WPSOffice手动目录 3"/>
    <w:qFormat/>
    <w:uiPriority w:val="0"/>
    <w:pPr>
      <w:ind w:left="400" w:leftChars="400"/>
    </w:pPr>
    <w:rPr>
      <w:rFonts w:ascii="Calibri" w:hAnsi="Calibri" w:eastAsia="宋体" w:cs="Times New Roman"/>
      <w:lang w:val="en-US" w:eastAsia="zh-CN" w:bidi="ar-SA"/>
    </w:rPr>
  </w:style>
  <w:style w:type="paragraph" w:customStyle="1" w:styleId="63">
    <w:name w:val="修订1"/>
    <w:unhideWhenUsed/>
    <w:qFormat/>
    <w:uiPriority w:val="99"/>
    <w:rPr>
      <w:rFonts w:ascii="Calibri" w:hAnsi="Calibri" w:eastAsia="仿宋" w:cs="Times New Roman"/>
      <w:kern w:val="2"/>
      <w:sz w:val="21"/>
      <w:szCs w:val="24"/>
      <w:lang w:val="en-US" w:eastAsia="zh-CN" w:bidi="ar-SA"/>
    </w:rPr>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图"/>
    <w:basedOn w:val="1"/>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szCs w:val="20"/>
    </w:rPr>
  </w:style>
  <w:style w:type="paragraph" w:customStyle="1" w:styleId="67">
    <w:name w:val="TOC 标题1"/>
    <w:basedOn w:val="4"/>
    <w:next w:val="1"/>
    <w:qFormat/>
    <w:uiPriority w:val="39"/>
    <w:pPr>
      <w:widowControl/>
      <w:spacing w:before="240" w:after="0" w:line="259" w:lineRule="auto"/>
      <w:jc w:val="left"/>
      <w:outlineLvl w:val="9"/>
    </w:pPr>
    <w:rPr>
      <w:rFonts w:ascii="Calibri Light" w:hAnsi="Calibri Light" w:eastAsia="宋体"/>
      <w:b w:val="0"/>
      <w:color w:val="2E74B5"/>
      <w:kern w:val="0"/>
      <w:sz w:val="32"/>
      <w:szCs w:val="32"/>
    </w:rPr>
  </w:style>
  <w:style w:type="paragraph" w:customStyle="1" w:styleId="68">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69">
    <w:name w:val="列出段落11"/>
    <w:basedOn w:val="1"/>
    <w:qFormat/>
    <w:uiPriority w:val="34"/>
    <w:pPr>
      <w:ind w:firstLine="420" w:firstLineChars="200"/>
    </w:pPr>
    <w:rPr>
      <w:rFonts w:eastAsia="宋体"/>
      <w:szCs w:val="22"/>
      <w:lang w:val="zh-CN"/>
    </w:rPr>
  </w:style>
  <w:style w:type="paragraph" w:customStyle="1" w:styleId="70">
    <w:name w:val="正文_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表格文字"/>
    <w:basedOn w:val="1"/>
    <w:qFormat/>
    <w:uiPriority w:val="0"/>
    <w:pPr>
      <w:spacing w:before="25" w:after="25" w:line="300" w:lineRule="auto"/>
    </w:pPr>
    <w:rPr>
      <w:rFonts w:ascii="Times" w:hAnsi="Times" w:eastAsia="宋体"/>
      <w:spacing w:val="10"/>
      <w:kern w:val="0"/>
      <w:sz w:val="24"/>
      <w:szCs w:val="20"/>
    </w:rPr>
  </w:style>
  <w:style w:type="character" w:customStyle="1" w:styleId="72">
    <w:name w:val="正文缩进 字符"/>
    <w:qFormat/>
    <w:locked/>
    <w:uiPriority w:val="0"/>
    <w:rPr>
      <w:rFonts w:ascii="Calibri" w:hAnsi="Calibri" w:eastAsia="仿宋"/>
      <w:kern w:val="2"/>
      <w:sz w:val="21"/>
      <w:szCs w:val="24"/>
    </w:rPr>
  </w:style>
  <w:style w:type="character" w:customStyle="1" w:styleId="73">
    <w:name w:val="批注文字 字符1"/>
    <w:qFormat/>
    <w:uiPriority w:val="0"/>
    <w:rPr>
      <w:rFonts w:ascii="Calibri" w:hAnsi="Calibri" w:eastAsia="仿宋"/>
      <w:kern w:val="2"/>
      <w:sz w:val="21"/>
      <w:szCs w:val="24"/>
    </w:rPr>
  </w:style>
  <w:style w:type="paragraph" w:customStyle="1" w:styleId="74">
    <w:name w:val="Char Char4"/>
    <w:basedOn w:val="1"/>
    <w:qFormat/>
    <w:uiPriority w:val="0"/>
    <w:pPr>
      <w:tabs>
        <w:tab w:val="left" w:pos="360"/>
      </w:tabs>
    </w:pPr>
    <w:rPr>
      <w:rFonts w:eastAsia="宋体"/>
      <w:sz w:val="24"/>
    </w:rPr>
  </w:style>
  <w:style w:type="paragraph" w:customStyle="1" w:styleId="75">
    <w:name w:val="修订2"/>
    <w:hidden/>
    <w:semiHidden/>
    <w:qFormat/>
    <w:uiPriority w:val="99"/>
    <w:rPr>
      <w:rFonts w:ascii="Calibri" w:hAnsi="Calibri" w:eastAsia="仿宋" w:cs="Times New Roman"/>
      <w:kern w:val="2"/>
      <w:sz w:val="21"/>
      <w:szCs w:val="24"/>
      <w:lang w:val="en-US" w:eastAsia="zh-CN" w:bidi="ar-SA"/>
    </w:rPr>
  </w:style>
  <w:style w:type="paragraph" w:customStyle="1" w:styleId="7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77">
    <w:name w:val="Normal_25_0"/>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78">
    <w:name w:val="页眉 Char"/>
    <w:link w:val="21"/>
    <w:qFormat/>
    <w:uiPriority w:val="99"/>
    <w:rPr>
      <w:rFonts w:ascii="Calibri" w:hAnsi="Calibri" w:eastAsia="仿宋"/>
      <w:kern w:val="2"/>
      <w:sz w:val="18"/>
      <w:szCs w:val="24"/>
    </w:rPr>
  </w:style>
  <w:style w:type="paragraph" w:customStyle="1" w:styleId="79">
    <w:name w:val="列出段落1"/>
    <w:basedOn w:val="1"/>
    <w:qFormat/>
    <w:uiPriority w:val="0"/>
    <w:pPr>
      <w:spacing w:line="360" w:lineRule="auto"/>
      <w:ind w:firstLine="420" w:firstLineChars="200"/>
    </w:pPr>
    <w:rPr>
      <w:szCs w:val="22"/>
    </w:rPr>
  </w:style>
  <w:style w:type="paragraph" w:customStyle="1" w:styleId="80">
    <w:name w:val="正文2"/>
    <w:basedOn w:val="11"/>
    <w:qFormat/>
    <w:uiPriority w:val="0"/>
    <w:pPr>
      <w:jc w:val="left"/>
    </w:pPr>
    <w:rPr>
      <w:rFonts w:ascii="等线 Light" w:hAnsi="等线 Light" w:eastAsia="宋体" w:cs="Times New Roman"/>
      <w:sz w:val="24"/>
      <w:szCs w:val="22"/>
    </w:rPr>
  </w:style>
  <w:style w:type="paragraph" w:customStyle="1" w:styleId="81">
    <w:name w:val="正文_0"/>
    <w:qFormat/>
    <w:uiPriority w:val="0"/>
    <w:rPr>
      <w:rFonts w:ascii="Times New Roman" w:hAnsi="Times New Roman" w:eastAsia="宋体" w:cs="Times New Roman"/>
      <w:sz w:val="21"/>
      <w:lang w:val="en-US" w:eastAsia="zh-CN" w:bidi="ar-SA"/>
    </w:rPr>
  </w:style>
  <w:style w:type="paragraph" w:customStyle="1" w:styleId="82">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83">
    <w:name w:val="修订3"/>
    <w:hidden/>
    <w:semiHidden/>
    <w:qFormat/>
    <w:uiPriority w:val="99"/>
    <w:rPr>
      <w:rFonts w:ascii="Calibri" w:hAnsi="Calibri" w:eastAsia="仿宋" w:cs="Times New Roman"/>
      <w:kern w:val="2"/>
      <w:sz w:val="21"/>
      <w:szCs w:val="24"/>
      <w:lang w:val="en-US" w:eastAsia="zh-CN" w:bidi="ar-SA"/>
    </w:rPr>
  </w:style>
  <w:style w:type="character" w:customStyle="1" w:styleId="84">
    <w:name w:val="题注 Char"/>
    <w:link w:val="11"/>
    <w:qFormat/>
    <w:uiPriority w:val="0"/>
    <w:rPr>
      <w:rFonts w:eastAsia="黑体" w:asciiTheme="majorHAnsi" w:hAnsiTheme="majorHAnsi" w:cstheme="majorBidi"/>
      <w:kern w:val="2"/>
    </w:rPr>
  </w:style>
  <w:style w:type="paragraph" w:customStyle="1" w:styleId="85">
    <w:name w:val="修订4"/>
    <w:hidden/>
    <w:semiHidden/>
    <w:qFormat/>
    <w:uiPriority w:val="99"/>
    <w:rPr>
      <w:rFonts w:ascii="Calibri" w:hAnsi="Calibri" w:eastAsia="仿宋" w:cs="Times New Roman"/>
      <w:kern w:val="2"/>
      <w:sz w:val="21"/>
      <w:szCs w:val="24"/>
      <w:lang w:val="en-US" w:eastAsia="zh-CN" w:bidi="ar-SA"/>
    </w:rPr>
  </w:style>
  <w:style w:type="paragraph" w:customStyle="1" w:styleId="86">
    <w:name w:val="修订5"/>
    <w:hidden/>
    <w:semiHidden/>
    <w:qFormat/>
    <w:uiPriority w:val="99"/>
    <w:rPr>
      <w:rFonts w:ascii="Calibri" w:hAnsi="Calibri" w:eastAsia="仿宋" w:cs="Times New Roman"/>
      <w:kern w:val="2"/>
      <w:sz w:val="21"/>
      <w:szCs w:val="24"/>
      <w:lang w:val="en-US" w:eastAsia="zh-CN" w:bidi="ar-SA"/>
    </w:rPr>
  </w:style>
  <w:style w:type="character" w:customStyle="1" w:styleId="87">
    <w:name w:val="标题 1 Char"/>
    <w:basedOn w:val="35"/>
    <w:link w:val="4"/>
    <w:qFormat/>
    <w:uiPriority w:val="0"/>
    <w:rPr>
      <w:rFonts w:ascii="Calibri" w:hAnsi="Calibri" w:eastAsia="仿宋"/>
      <w:b/>
      <w:kern w:val="44"/>
      <w:sz w:val="44"/>
      <w:szCs w:val="24"/>
    </w:rPr>
  </w:style>
  <w:style w:type="character" w:customStyle="1" w:styleId="88">
    <w:name w:val="正文首行缩进 2 Char"/>
    <w:basedOn w:val="35"/>
    <w:link w:val="32"/>
    <w:qFormat/>
    <w:uiPriority w:val="0"/>
    <w:rPr>
      <w:rFonts w:ascii="Verdana" w:hAnsi="Verdana"/>
      <w:kern w:val="2"/>
      <w:sz w:val="21"/>
      <w:szCs w:val="24"/>
    </w:rPr>
  </w:style>
  <w:style w:type="paragraph" w:customStyle="1" w:styleId="89">
    <w:name w:val="_Style 3"/>
    <w:basedOn w:val="1"/>
    <w:qFormat/>
    <w:uiPriority w:val="0"/>
    <w:pPr>
      <w:ind w:firstLine="420" w:firstLineChars="200"/>
    </w:pPr>
    <w:rPr>
      <w:rFonts w:ascii="Times New Roman" w:hAnsi="Times New Roman" w:eastAsia="宋体"/>
      <w:sz w:val="20"/>
    </w:rPr>
  </w:style>
  <w:style w:type="paragraph" w:customStyle="1" w:styleId="9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91">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92">
    <w:name w:val="修订6"/>
    <w:hidden/>
    <w:semiHidden/>
    <w:qFormat/>
    <w:uiPriority w:val="99"/>
    <w:rPr>
      <w:rFonts w:ascii="Calibri" w:hAnsi="Calibri" w:eastAsia="仿宋" w:cs="Times New Roman"/>
      <w:kern w:val="2"/>
      <w:sz w:val="21"/>
      <w:szCs w:val="24"/>
      <w:lang w:val="en-US" w:eastAsia="zh-CN" w:bidi="ar-SA"/>
    </w:rPr>
  </w:style>
  <w:style w:type="paragraph" w:customStyle="1" w:styleId="93">
    <w:name w:val="修订7"/>
    <w:hidden/>
    <w:semiHidden/>
    <w:qFormat/>
    <w:uiPriority w:val="99"/>
    <w:rPr>
      <w:rFonts w:ascii="Calibri" w:hAnsi="Calibri" w:eastAsia="仿宋" w:cs="Times New Roman"/>
      <w:kern w:val="2"/>
      <w:sz w:val="21"/>
      <w:szCs w:val="24"/>
      <w:lang w:val="en-US" w:eastAsia="zh-CN" w:bidi="ar-SA"/>
    </w:rPr>
  </w:style>
  <w:style w:type="paragraph" w:customStyle="1" w:styleId="94">
    <w:name w:val="修订8"/>
    <w:hidden/>
    <w:unhideWhenUsed/>
    <w:qFormat/>
    <w:uiPriority w:val="99"/>
    <w:rPr>
      <w:rFonts w:ascii="Calibri" w:hAnsi="Calibri" w:eastAsia="仿宋" w:cs="Times New Roman"/>
      <w:kern w:val="2"/>
      <w:sz w:val="21"/>
      <w:szCs w:val="24"/>
      <w:lang w:val="en-US" w:eastAsia="zh-CN" w:bidi="ar-SA"/>
    </w:rPr>
  </w:style>
  <w:style w:type="character" w:customStyle="1" w:styleId="95">
    <w:name w:val="脚注文本 Char"/>
    <w:basedOn w:val="35"/>
    <w:link w:val="25"/>
    <w:qFormat/>
    <w:uiPriority w:val="99"/>
    <w:rPr>
      <w:rFonts w:ascii="仿宋_GB2312" w:hAnsi="新宋体" w:eastAsia="仿宋_GB2312"/>
      <w:kern w:val="2"/>
      <w:sz w:val="18"/>
      <w:szCs w:val="18"/>
    </w:rPr>
  </w:style>
  <w:style w:type="character" w:customStyle="1" w:styleId="96">
    <w:name w:val="页脚 Char"/>
    <w:basedOn w:val="35"/>
    <w:link w:val="20"/>
    <w:qFormat/>
    <w:uiPriority w:val="99"/>
    <w:rPr>
      <w:rFonts w:ascii="Calibri" w:hAnsi="Calibri" w:eastAsia="仿宋"/>
      <w:kern w:val="2"/>
      <w:sz w:val="18"/>
      <w:szCs w:val="24"/>
    </w:rPr>
  </w:style>
  <w:style w:type="paragraph" w:customStyle="1" w:styleId="97">
    <w:name w:val="修订9"/>
    <w:hidden/>
    <w:semiHidden/>
    <w:qFormat/>
    <w:uiPriority w:val="99"/>
    <w:rPr>
      <w:rFonts w:ascii="Calibri" w:hAnsi="Calibri" w:eastAsia="仿宋" w:cs="Times New Roman"/>
      <w:kern w:val="2"/>
      <w:sz w:val="21"/>
      <w:szCs w:val="24"/>
      <w:lang w:val="en-US" w:eastAsia="zh-CN" w:bidi="ar-SA"/>
    </w:rPr>
  </w:style>
  <w:style w:type="paragraph" w:customStyle="1" w:styleId="98">
    <w:name w:val="修订10"/>
    <w:hidden/>
    <w:unhideWhenUsed/>
    <w:qFormat/>
    <w:uiPriority w:val="99"/>
    <w:rPr>
      <w:rFonts w:ascii="Calibri" w:hAnsi="Calibri" w:eastAsia="仿宋" w:cs="Times New Roman"/>
      <w:kern w:val="2"/>
      <w:sz w:val="21"/>
      <w:szCs w:val="24"/>
      <w:lang w:val="en-US" w:eastAsia="zh-CN" w:bidi="ar-SA"/>
    </w:rPr>
  </w:style>
  <w:style w:type="paragraph" w:customStyle="1" w:styleId="99">
    <w:name w:val="p_text_indent_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0">
    <w:name w:val="fontstyle01"/>
    <w:basedOn w:val="35"/>
    <w:qFormat/>
    <w:uiPriority w:val="0"/>
    <w:rPr>
      <w:rFonts w:hint="eastAsia" w:ascii="微软雅黑" w:hAnsi="微软雅黑" w:eastAsia="微软雅黑"/>
      <w:color w:val="000000"/>
      <w:sz w:val="32"/>
      <w:szCs w:val="32"/>
    </w:rPr>
  </w:style>
  <w:style w:type="paragraph" w:customStyle="1" w:styleId="101">
    <w:name w:val="western"/>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2">
    <w:name w:val="占位符文本1"/>
    <w:basedOn w:val="35"/>
    <w:semiHidden/>
    <w:qFormat/>
    <w:uiPriority w:val="99"/>
    <w:rPr>
      <w:color w:val="808080"/>
    </w:rPr>
  </w:style>
  <w:style w:type="paragraph" w:customStyle="1" w:styleId="103">
    <w:name w:val="修订11"/>
    <w:hidden/>
    <w:unhideWhenUsed/>
    <w:qFormat/>
    <w:uiPriority w:val="99"/>
    <w:rPr>
      <w:rFonts w:ascii="Calibri" w:hAnsi="Calibri" w:eastAsia="仿宋" w:cs="Times New Roman"/>
      <w:kern w:val="2"/>
      <w:sz w:val="21"/>
      <w:szCs w:val="24"/>
      <w:lang w:val="en-US" w:eastAsia="zh-CN" w:bidi="ar-SA"/>
    </w:rPr>
  </w:style>
  <w:style w:type="paragraph" w:customStyle="1" w:styleId="104">
    <w:name w:val="正文格式"/>
    <w:basedOn w:val="1"/>
    <w:qFormat/>
    <w:uiPriority w:val="0"/>
    <w:pPr>
      <w:spacing w:before="156" w:beforeLines="50" w:after="156" w:afterLines="50" w:line="360" w:lineRule="auto"/>
    </w:pPr>
    <w:rPr>
      <w:szCs w:val="20"/>
    </w:rPr>
  </w:style>
  <w:style w:type="paragraph" w:customStyle="1" w:styleId="105">
    <w:name w:val="二级条标题"/>
    <w:basedOn w:val="1"/>
    <w:next w:val="106"/>
    <w:qFormat/>
    <w:uiPriority w:val="0"/>
    <w:pPr>
      <w:widowControl/>
      <w:tabs>
        <w:tab w:val="left" w:pos="2160"/>
      </w:tabs>
      <w:spacing w:before="50" w:after="50"/>
      <w:ind w:left="2160" w:hanging="360"/>
      <w:jc w:val="left"/>
      <w:outlineLvl w:val="3"/>
    </w:pPr>
    <w:rPr>
      <w:rFonts w:ascii="黑体" w:eastAsia="黑体"/>
      <w:kern w:val="0"/>
      <w:szCs w:val="21"/>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07">
    <w:name w:val="_Style 8"/>
    <w:basedOn w:val="2"/>
    <w:next w:val="31"/>
    <w:qFormat/>
    <w:uiPriority w:val="0"/>
    <w:pPr>
      <w:ind w:firstLine="420" w:firstLineChars="100"/>
    </w:pPr>
    <w:rPr>
      <w:rFonts w:eastAsiaTheme="minorEastAsia" w:cstheme="minorBidi"/>
    </w:rPr>
  </w:style>
  <w:style w:type="paragraph" w:customStyle="1" w:styleId="108">
    <w:name w:val="正文_1_0_0"/>
    <w:qFormat/>
    <w:uiPriority w:val="0"/>
    <w:rPr>
      <w:rFonts w:ascii="Times New Roman" w:hAnsi="Times New Roman" w:eastAsia="宋体" w:cs="Times New Roman"/>
      <w:sz w:val="21"/>
      <w:lang w:val="en-US" w:eastAsia="zh-CN" w:bidi="ar-SA"/>
    </w:rPr>
  </w:style>
  <w:style w:type="paragraph" w:customStyle="1" w:styleId="109">
    <w:name w:val="批注文字_0"/>
    <w:basedOn w:val="1"/>
    <w:qFormat/>
    <w:uiPriority w:val="99"/>
    <w:pPr>
      <w:jc w:val="left"/>
    </w:pPr>
    <w:rPr>
      <w:rFonts w:ascii="Times New Roman" w:hAnsi="Times New Roman" w:eastAsia="宋体"/>
    </w:rPr>
  </w:style>
  <w:style w:type="character" w:customStyle="1" w:styleId="110">
    <w:name w:val="text_jayku"/>
    <w:basedOn w:val="35"/>
    <w:qFormat/>
    <w:uiPriority w:val="0"/>
  </w:style>
  <w:style w:type="table" w:customStyle="1" w:styleId="111">
    <w:name w:val="Table Normal"/>
    <w:semiHidden/>
    <w:unhideWhenUsed/>
    <w:qFormat/>
    <w:uiPriority w:val="0"/>
    <w:tblPr>
      <w:tblCellMar>
        <w:top w:w="0" w:type="dxa"/>
        <w:left w:w="0" w:type="dxa"/>
        <w:bottom w:w="0" w:type="dxa"/>
        <w:right w:w="0" w:type="dxa"/>
      </w:tblCellMar>
    </w:tblPr>
  </w:style>
  <w:style w:type="table" w:customStyle="1" w:styleId="112">
    <w:name w:val="TableGrid"/>
    <w:basedOn w:val="33"/>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113">
    <w:name w:val="null3"/>
    <w:hidden/>
    <w:qFormat/>
    <w:uiPriority w:val="0"/>
    <w:rPr>
      <w:rFonts w:hint="eastAsia" w:asciiTheme="minorHAnsi" w:hAnsiTheme="minorHAnsi" w:eastAsiaTheme="minorEastAsia" w:cstheme="minorBidi"/>
      <w:lang w:val="en-US" w:eastAsia="zh-Hans"/>
    </w:rPr>
  </w:style>
  <w:style w:type="character" w:customStyle="1" w:styleId="114">
    <w:name w:val="font31"/>
    <w:basedOn w:val="35"/>
    <w:qFormat/>
    <w:uiPriority w:val="0"/>
    <w:rPr>
      <w:rFonts w:hint="eastAsia" w:ascii="宋体" w:hAnsi="宋体" w:eastAsia="宋体" w:cs="宋体"/>
      <w:color w:val="000000"/>
      <w:sz w:val="24"/>
      <w:szCs w:val="24"/>
      <w:u w:val="none"/>
    </w:rPr>
  </w:style>
  <w:style w:type="paragraph" w:customStyle="1" w:styleId="1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47444</Words>
  <Characters>49769</Characters>
  <Lines>401</Lines>
  <Paragraphs>113</Paragraphs>
  <TotalTime>20</TotalTime>
  <ScaleCrop>false</ScaleCrop>
  <LinksUpToDate>false</LinksUpToDate>
  <CharactersWithSpaces>50063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2024-05-14T04:22:00Z</dcterms:created>
  <dc:creator>HP</dc:creator>
  <cp:lastModifiedBy>范家侨</cp:lastModifiedBy>
  <cp:lastPrinted>2025-07-14T04:01:00Z</cp:lastPrinted>
  <dcterms:modified xsi:type="dcterms:W3CDTF">2025-09-17T08:34:44Z</dcterms:modified>
  <dc:title>服务类公开招标文件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C460CD3DD74640B3B5EB46308895EFCF</vt:lpwstr>
  </property>
  <property fmtid="{D5CDD505-2E9C-101B-9397-08002B2CF9AE}" pid="4" name="KSOTemplateDocerSaveRecord">
    <vt:lpwstr>eyJoZGlkIjoiMDBkYjBhZmVjZWZmNDgyY2EyNjk2MDNjZmZiNDJmMjYiLCJ1c2VySWQiOiI0NDU1NjQ2MTMifQ==</vt:lpwstr>
  </property>
</Properties>
</file>