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beforeLines="0" w:afterLines="0" w:line="6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阳江</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2025</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年税收营商环境白皮书</w:t>
      </w:r>
    </w:p>
    <w:p>
      <w:pPr>
        <w:keepNext w:val="0"/>
        <w:keepLines w:val="0"/>
        <w:pageBreakBefore w:val="0"/>
        <w:widowControl/>
        <w:kinsoku/>
        <w:wordWrap/>
        <w:overflowPunct/>
        <w:topLinePunct w:val="0"/>
        <w:bidi w:val="0"/>
        <w:spacing w:beforeLines="0" w:afterLines="0" w:line="6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beforeLines="0" w:afterLines="0" w:line="600" w:lineRule="exact"/>
        <w:jc w:val="center"/>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国家税务总局阳江市税务局</w:t>
      </w:r>
    </w:p>
    <w:p>
      <w:pPr>
        <w:keepNext w:val="0"/>
        <w:keepLines w:val="0"/>
        <w:pageBreakBefore w:val="0"/>
        <w:widowControl/>
        <w:kinsoku/>
        <w:wordWrap/>
        <w:overflowPunct/>
        <w:topLinePunct w:val="0"/>
        <w:bidi w:val="0"/>
        <w:spacing w:beforeLines="0" w:afterLines="0" w:line="6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line="240" w:lineRule="auto"/>
        <w:jc w:val="cente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序言</w:t>
      </w:r>
    </w:p>
    <w:p>
      <w:pPr>
        <w:pStyle w:val="7"/>
        <w:keepNext w:val="0"/>
        <w:keepLines w:val="0"/>
        <w:pageBreakBefore w:val="0"/>
        <w:widowControl/>
        <w:kinsoku/>
        <w:wordWrap/>
        <w:overflowPunct/>
        <w:topLinePunct w:val="0"/>
        <w:autoSpaceDE w:val="0"/>
        <w:autoSpaceDN w:val="0"/>
        <w:bidi w:val="0"/>
        <w:adjustRightInd w:val="0"/>
        <w:snapToGrid w:val="0"/>
        <w:spacing w:beforeLines="0" w:afterLines="0" w:line="600" w:lineRule="exact"/>
        <w:ind w:firstLine="640" w:firstLineChars="200"/>
        <w:jc w:val="both"/>
        <w:textAlignment w:val="baseline"/>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2025</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年以来，</w:t>
      </w:r>
      <w:r>
        <w:rPr>
          <w:rFonts w:hint="eastAsia" w:ascii="仿宋_GB2312" w:hAnsi="仿宋_GB2312" w:eastAsia="仿宋_GB2312" w:cs="仿宋_GB2312"/>
          <w:b w:val="0"/>
          <w:bCs w:val="0"/>
          <w:color w:val="000000" w:themeColor="text1"/>
          <w:kern w:val="0"/>
          <w:sz w:val="32"/>
          <w:szCs w:val="32"/>
          <w:highlight w:val="none"/>
          <w:shd w:val="clear" w:color="auto" w:fill="auto"/>
          <w:lang w:val="en-US" w:eastAsia="zh-CN"/>
          <w14:textFill>
            <w14:solidFill>
              <w14:schemeClr w14:val="tx1"/>
            </w14:solidFill>
          </w14:textFill>
        </w:rPr>
        <w:t>阳江市税务局深入学习贯彻习近平总书记关于优化营商环境的重要论述，贯彻落实阳江市委、市政府“433”工作安排和“营商环境年”的工作要求,积极对接世界银行营商环境成熟度评估工作，按照《阳江市优化营商环境条例》和《全省营商环境监测工作方案》的工作要求，积极发挥税收职能作用，深度融合税收征管改革成效，持续夯基础、优服务、联共治，在推动税收营商环境提优补差上实现新突破。</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在全省2025年营商环境监测中，</w:t>
      </w:r>
      <w:r>
        <w:rPr>
          <w:rFonts w:hint="eastAsia" w:ascii="仿宋_GB2312" w:hAnsi="仿宋_GB2312" w:cs="仿宋_GB2312"/>
          <w:b w:val="0"/>
          <w:bCs w:val="0"/>
          <w:snapToGrid w:val="0"/>
          <w:color w:val="000000" w:themeColor="text1"/>
          <w:kern w:val="0"/>
          <w:sz w:val="32"/>
          <w:szCs w:val="32"/>
          <w:highlight w:val="none"/>
          <w:shd w:val="clear" w:color="auto" w:fill="auto"/>
          <w:lang w:val="en-US" w:eastAsia="zh-CN" w:bidi="ar-SA"/>
          <w14:textFill>
            <w14:solidFill>
              <w14:schemeClr w14:val="tx1"/>
            </w14:solidFill>
          </w14:textFill>
        </w:rPr>
        <w:t>阳江</w:t>
      </w:r>
      <w:r>
        <w:rPr>
          <w:rFonts w:hint="eastAsia" w:ascii="仿宋_GB2312" w:hAnsi="仿宋_GB2312" w:eastAsia="仿宋_GB2312" w:cs="仿宋_GB2312"/>
          <w:b w:val="0"/>
          <w:bCs w:val="0"/>
          <w:snapToGrid w:val="0"/>
          <w:color w:val="000000" w:themeColor="text1"/>
          <w:kern w:val="0"/>
          <w:sz w:val="32"/>
          <w:szCs w:val="32"/>
          <w:highlight w:val="none"/>
          <w:shd w:val="clear" w:color="auto" w:fill="auto"/>
          <w:lang w:val="en-US" w:eastAsia="zh-CN" w:bidi="ar-SA"/>
          <w14:textFill>
            <w14:solidFill>
              <w14:schemeClr w14:val="tx1"/>
            </w14:solidFill>
          </w14:textFill>
        </w:rPr>
        <w:t>“纳税”指标取得突破性成绩，</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推动税收营商环境持续向新向好，让企业和群众办事更方便、更顺畅、更舒心，为奋力谱写中国式现代化阳江新篇章贡献新的税务力量。</w:t>
      </w:r>
    </w:p>
    <w:p>
      <w:pPr>
        <w:pStyle w:val="7"/>
        <w:keepNext w:val="0"/>
        <w:keepLines w:val="0"/>
        <w:pageBreakBefore w:val="0"/>
        <w:widowControl/>
        <w:kinsoku/>
        <w:wordWrap/>
        <w:overflowPunct/>
        <w:topLinePunct w:val="0"/>
        <w:autoSpaceDE w:val="0"/>
        <w:autoSpaceDN w:val="0"/>
        <w:bidi w:val="0"/>
        <w:adjustRightInd w:val="0"/>
        <w:snapToGrid w:val="0"/>
        <w:spacing w:beforeLines="0" w:afterLines="0" w:line="600" w:lineRule="exact"/>
        <w:ind w:firstLine="0"/>
        <w:jc w:val="both"/>
        <w:textAlignment w:val="baseline"/>
        <w:rPr>
          <w:rFonts w:hint="eastAsia" w:ascii="仿宋_GB2312" w:hAnsi="仿宋_GB2312" w:eastAsia="仿宋_GB2312" w:cs="仿宋_GB2312"/>
          <w:b w:val="0"/>
          <w:bCs w:val="0"/>
          <w:snapToGrid w:val="0"/>
          <w:color w:val="000000" w:themeColor="text1"/>
          <w:kern w:val="0"/>
          <w:sz w:val="32"/>
          <w:szCs w:val="32"/>
          <w:highlight w:val="none"/>
          <w:shd w:val="clear" w:color="auto" w:fill="auto"/>
          <w:lang w:val="en-US" w:eastAsia="zh-CN" w:bidi="ar-SA"/>
          <w14:textFill>
            <w14:solidFill>
              <w14:schemeClr w14:val="tx1"/>
            </w14:solidFill>
          </w14:textFill>
        </w:rPr>
      </w:pPr>
    </w:p>
    <w:p>
      <w:pPr>
        <w:keepNext w:val="0"/>
        <w:keepLines w:val="0"/>
        <w:pageBreakBefore w:val="0"/>
        <w:widowControl/>
        <w:kinsoku/>
        <w:wordWrap/>
        <w:overflowPunct/>
        <w:topLinePunct w:val="0"/>
        <w:bidi w:val="0"/>
        <w:spacing w:beforeLines="0" w:afterLines="0" w:line="600" w:lineRule="exact"/>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beforeLines="0" w:afterLines="0" w:line="600" w:lineRule="exact"/>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beforeLines="0" w:afterLines="0" w:line="600" w:lineRule="exact"/>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beforeLines="0" w:afterLines="0" w:line="600" w:lineRule="exact"/>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beforeLines="0" w:afterLines="0" w:line="600" w:lineRule="exact"/>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br w:type="page"/>
      </w:r>
    </w:p>
    <w:p>
      <w:pPr>
        <w:keepNext w:val="0"/>
        <w:keepLines w:val="0"/>
        <w:pageBreakBefore w:val="0"/>
        <w:widowControl/>
        <w:numPr>
          <w:ilvl w:val="0"/>
          <w:numId w:val="0"/>
        </w:numPr>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一、服务发展大局</w:t>
      </w:r>
      <w:r>
        <w:rPr>
          <w:rFonts w:hint="eastAsia" w:ascii="仿宋_GB2312" w:hAnsi="仿宋_GB2312" w:eastAsia="仿宋_GB2312" w:cs="仿宋_GB2312"/>
          <w:color w:val="000000" w:themeColor="text1"/>
          <w:sz w:val="32"/>
          <w:szCs w:val="32"/>
          <w:highlight w:val="none"/>
          <w14:textFill>
            <w14:solidFill>
              <w14:schemeClr w14:val="tx1"/>
            </w14:solidFill>
          </w14:textFill>
        </w:rPr>
        <w:t> </w:t>
      </w:r>
    </w:p>
    <w:p>
      <w:pPr>
        <w:keepNext w:val="0"/>
        <w:keepLines w:val="0"/>
        <w:pageBreakBefore w:val="0"/>
        <w:widowControl/>
        <w:numPr>
          <w:ilvl w:val="0"/>
          <w:numId w:val="0"/>
        </w:numPr>
        <w:kinsoku/>
        <w:wordWrap/>
        <w:overflowPunct/>
        <w:topLinePunct w:val="0"/>
        <w:bidi w:val="0"/>
        <w:spacing w:beforeLines="0" w:afterLines="0" w:line="600" w:lineRule="exact"/>
        <w:ind w:firstLine="643" w:firstLineChars="200"/>
        <w:jc w:val="both"/>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服务经济发展</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全市税务系统</w:t>
      </w:r>
      <w:r>
        <w:rPr>
          <w:rFonts w:hint="eastAsia" w:ascii="仿宋_GB2312" w:hAnsi="仿宋_GB2312" w:eastAsia="仿宋_GB2312" w:cs="仿宋_GB2312"/>
          <w:color w:val="000000" w:themeColor="text1"/>
          <w:sz w:val="32"/>
          <w:szCs w:val="32"/>
          <w:highlight w:val="none"/>
          <w14:textFill>
            <w14:solidFill>
              <w14:schemeClr w14:val="tx1"/>
            </w14:solidFill>
          </w14:textFill>
        </w:rPr>
        <w:t>组织税费收入</w:t>
      </w:r>
      <w:r>
        <w:rPr>
          <w:rFonts w:hint="eastAsia" w:ascii="仿宋_GB2312" w:hAnsi="仿宋_GB2312" w:eastAsia="仿宋_GB2312" w:cs="仿宋_GB2312"/>
          <w:color w:val="000000" w:themeColor="text1"/>
          <w:spacing w:val="0"/>
          <w:kern w:val="2"/>
          <w:sz w:val="32"/>
          <w:szCs w:val="32"/>
          <w:highlight w:val="none"/>
          <w:u w:val="none" w:color="auto"/>
          <w:lang w:val="en-US" w:eastAsia="zh-CN" w:bidi="ar"/>
          <w14:textFill>
            <w14:solidFill>
              <w14:schemeClr w14:val="tx1"/>
            </w14:solidFill>
          </w14:textFill>
        </w:rPr>
        <w:t>317.7</w:t>
      </w:r>
      <w:r>
        <w:rPr>
          <w:rFonts w:hint="eastAsia" w:ascii="仿宋_GB2312" w:hAnsi="仿宋_GB2312" w:cs="仿宋_GB2312"/>
          <w:color w:val="000000" w:themeColor="text1"/>
          <w:spacing w:val="0"/>
          <w:kern w:val="2"/>
          <w:sz w:val="32"/>
          <w:szCs w:val="32"/>
          <w:highlight w:val="none"/>
          <w:u w:val="none" w:color="auto"/>
          <w:lang w:val="en-US" w:eastAsia="zh-CN" w:bidi="ar"/>
          <w14:textFill>
            <w14:solidFill>
              <w14:schemeClr w14:val="tx1"/>
            </w14:solidFill>
          </w14:textFill>
        </w:rPr>
        <w:t>亿</w:t>
      </w:r>
      <w:r>
        <w:rPr>
          <w:rFonts w:hint="eastAsia" w:ascii="仿宋_GB2312" w:hAnsi="仿宋_GB2312" w:eastAsia="仿宋_GB2312" w:cs="仿宋_GB2312"/>
          <w:color w:val="000000" w:themeColor="text1"/>
          <w:sz w:val="32"/>
          <w:szCs w:val="32"/>
          <w:highlight w:val="none"/>
          <w14:textFill>
            <w14:solidFill>
              <w14:schemeClr w14:val="tx1"/>
            </w14:solidFill>
          </w14:textFill>
        </w:rPr>
        <w:t>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（含海关代征），同比增长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%，高于全省平均水平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个百分点，</w:t>
      </w:r>
      <w:r>
        <w:rPr>
          <w:rFonts w:hint="eastAsia" w:ascii="仿宋_GB2312" w:hAnsi="仿宋_GB2312" w:eastAsia="仿宋_GB2312" w:cs="仿宋_GB2312"/>
          <w:color w:val="000000" w:themeColor="text1"/>
          <w:sz w:val="32"/>
          <w:szCs w:val="32"/>
          <w:highlight w:val="none"/>
          <w:u w:val="none" w:color="auto"/>
          <w:lang w:val="en-US" w:eastAsia="zh-CN"/>
          <w14:textFill>
            <w14:solidFill>
              <w14:schemeClr w14:val="tx1"/>
            </w14:solidFill>
          </w14:textFill>
        </w:rPr>
        <w:t>办理出口退（免）税18.5亿元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切实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发挥税收职能作用，</w:t>
      </w:r>
      <w:r>
        <w:rPr>
          <w:rFonts w:hint="eastAsia" w:ascii="仿宋_GB2312" w:hAnsi="仿宋_GB2312" w:eastAsia="仿宋_GB2312" w:cs="仿宋_GB2312"/>
          <w:color w:val="000000" w:themeColor="text1"/>
          <w:sz w:val="32"/>
          <w:szCs w:val="32"/>
          <w:highlight w:val="none"/>
          <w14:textFill>
            <w14:solidFill>
              <w14:schemeClr w14:val="tx1"/>
            </w14:solidFill>
          </w14:textFill>
        </w:rPr>
        <w:t>扛起落实组合式税费支持政策的政治责任。</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服务</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党政决策</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黑体" w:eastAsia="仿宋_GB2312" w:cs="Times New Roman"/>
          <w:color w:val="000000" w:themeColor="text1"/>
          <w:kern w:val="2"/>
          <w:sz w:val="32"/>
          <w:szCs w:val="32"/>
          <w:highlight w:val="none"/>
          <w:u w:val="none" w:color="auto"/>
          <w:lang w:val="en-US" w:eastAsia="zh-CN" w:bidi="ar-SA"/>
          <w14:textFill>
            <w14:solidFill>
              <w14:schemeClr w14:val="tx1"/>
            </w14:solidFill>
          </w14:textFill>
        </w:rPr>
        <w:t>贯彻落实党中央决策部署和省委“1310”具体部署和市委“433”工作安排</w:t>
      </w:r>
      <w:r>
        <w:rPr>
          <w:rFonts w:hint="eastAsia" w:ascii="仿宋_GB2312" w:hAnsi="仿宋_GB2312" w:eastAsia="仿宋_GB2312" w:cs="仿宋_GB2312"/>
          <w:color w:val="000000" w:themeColor="text1"/>
          <w:spacing w:val="0"/>
          <w:kern w:val="2"/>
          <w:sz w:val="32"/>
          <w:szCs w:val="32"/>
          <w:highlight w:val="none"/>
          <w:u w:val="none" w:color="auto"/>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坚持以纳税人缴费人为中心，提升满意度、提高便利度，全力打造一流税收营商环境。连续第11年开展“便民办税春风行动”，推出36条新措施；落实“高效办成一件事”部署，推进办税缴费服务窗口进驻地方政务服务中心，全市3个办税服务厅完全进驻当地政务服务中心，全面推行关联业务“一窗办理”模式。</w:t>
      </w:r>
    </w:p>
    <w:p>
      <w:pPr>
        <w:keepNext w:val="0"/>
        <w:keepLines w:val="0"/>
        <w:pageBreakBefore w:val="0"/>
        <w:widowControl/>
        <w:kinsoku/>
        <w:wordWrap/>
        <w:overflowPunct/>
        <w:topLinePunct w:val="0"/>
        <w:bidi w:val="0"/>
        <w:spacing w:beforeLines="0" w:afterLines="0" w:line="600" w:lineRule="exact"/>
        <w:ind w:firstLine="0" w:firstLineChars="0"/>
        <w:jc w:val="both"/>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服务</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征管改革</w:t>
      </w:r>
    </w:p>
    <w:p>
      <w:pPr>
        <w:keepNext w:val="0"/>
        <w:keepLines w:val="0"/>
        <w:pageBreakBefore w:val="0"/>
        <w:widowControl/>
        <w:numPr>
          <w:ilvl w:val="0"/>
          <w:numId w:val="0"/>
        </w:numPr>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2025年阳江市税务局税费征管“强基工程”落地成效显著，紧扣“三征三管”痛点精准发力，以系统谋划和数字赋能推动征管质效全面提升。市场主体办税率大幅提升27个百分点，平台经济新业态监管、税源“找盯管”、欠税管理、房土两税征管工作也取得实效；乐企推广、数电发票应用成效明显，双定户管理、网格化巡查等基础工作持续规范。同时，打造税费种联动分析、水产品行业管理平台等数智化工具，实现“人机结合”提效，为税费征管筑牢了坚实基础。  </w:t>
      </w:r>
    </w:p>
    <w:p>
      <w:pPr>
        <w:keepNext w:val="0"/>
        <w:keepLines w:val="0"/>
        <w:pageBreakBefore w:val="0"/>
        <w:widowControl/>
        <w:numPr>
          <w:ilvl w:val="0"/>
          <w:numId w:val="1"/>
        </w:numPr>
        <w:kinsoku/>
        <w:wordWrap/>
        <w:overflowPunct/>
        <w:topLinePunct w:val="0"/>
        <w:bidi w:val="0"/>
        <w:spacing w:beforeLines="0" w:afterLines="0" w:line="600" w:lineRule="exact"/>
        <w:ind w:left="638" w:leftChars="304" w:firstLine="0" w:firstLineChars="0"/>
        <w:jc w:val="both"/>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规范税收执法</w:t>
      </w:r>
      <w:r>
        <w:rPr>
          <w:rFonts w:hint="eastAsia" w:ascii="黑体" w:hAnsi="黑体" w:eastAsia="黑体" w:cs="黑体"/>
          <w:color w:val="000000" w:themeColor="text1"/>
          <w:sz w:val="32"/>
          <w:szCs w:val="32"/>
          <w:highlight w:val="none"/>
          <w14:textFill>
            <w14:solidFill>
              <w14:schemeClr w14:val="tx1"/>
            </w14:solidFill>
          </w14:textFill>
        </w:rPr>
        <w:t> </w:t>
      </w:r>
    </w:p>
    <w:p>
      <w:pPr>
        <w:keepNext w:val="0"/>
        <w:keepLines w:val="0"/>
        <w:pageBreakBefore w:val="0"/>
        <w:widowControl/>
        <w:numPr>
          <w:ilvl w:val="0"/>
          <w:numId w:val="0"/>
        </w:numPr>
        <w:kinsoku/>
        <w:wordWrap/>
        <w:overflowPunct/>
        <w:topLinePunct w:val="0"/>
        <w:bidi w:val="0"/>
        <w:spacing w:beforeLines="0" w:afterLines="0" w:line="600" w:lineRule="exact"/>
        <w:ind w:leftChars="304"/>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（一）提高</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税收法律法规的透明度</w:t>
      </w:r>
    </w:p>
    <w:p>
      <w:pPr>
        <w:keepNext w:val="0"/>
        <w:keepLines w:val="0"/>
        <w:pageBreakBefore w:val="0"/>
        <w:widowControl/>
        <w:numPr>
          <w:ilvl w:val="0"/>
          <w:numId w:val="0"/>
        </w:numPr>
        <w:kinsoku/>
        <w:wordWrap/>
        <w:overflowPunct/>
        <w:topLinePunct w:val="0"/>
        <w:bidi w:val="0"/>
        <w:spacing w:beforeLines="0" w:afterLines="0" w:line="600" w:lineRule="exact"/>
        <w:ind w:leftChars="266"/>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公开一般税收指引</w:t>
      </w:r>
    </w:p>
    <w:p>
      <w:pPr>
        <w:keepNext w:val="0"/>
        <w:keepLines w:val="0"/>
        <w:pageBreakBefore w:val="0"/>
        <w:widowControl/>
        <w:numPr>
          <w:ilvl w:val="0"/>
          <w:numId w:val="0"/>
        </w:numPr>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通过12366热线、税务网站、两微一端等线上线下渠道开展税收宣传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；针对不同税费业务场景，通过公众号发布“合规经营指南”系列推文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，《注意！房土两税征期本月底结束，您申报了吗？》、《2024年度个税汇算要点全知道》、《新办纳税人套餐业务如何办理？太乙真人告诉您！》等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3个</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动漫视频，《资源综合利用即征即退政策》、《纳税人学堂</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非营利组织免税收入优惠政策》等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2个直播。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2.公开内部税收指引</w:t>
      </w:r>
    </w:p>
    <w:p>
      <w:pPr>
        <w:keepNext w:val="0"/>
        <w:keepLines w:val="0"/>
        <w:pageBreakBefore w:val="0"/>
        <w:widowControl w:val="0"/>
        <w:numPr>
          <w:ilvl w:val="0"/>
          <w:numId w:val="0"/>
        </w:numPr>
        <w:kinsoku/>
        <w:wordWrap/>
        <w:topLinePunct w:val="0"/>
        <w:autoSpaceDN/>
        <w:bidi w:val="0"/>
        <w:adjustRightInd w:val="0"/>
        <w:snapToGrid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线下</w:t>
      </w:r>
      <w:r>
        <w:rPr>
          <w:rFonts w:hint="eastAsia" w:ascii="仿宋_GB2312" w:hAnsi="仿宋_GB2312" w:eastAsia="仿宋_GB2312" w:cs="仿宋_GB2312"/>
          <w:color w:val="000000" w:themeColor="text1"/>
          <w:sz w:val="32"/>
          <w:szCs w:val="32"/>
          <w:highlight w:val="none"/>
          <w14:textFill>
            <w14:solidFill>
              <w14:schemeClr w14:val="tx1"/>
            </w14:solidFill>
          </w14:textFill>
        </w:rPr>
        <w:t>在办税服务厅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对外公布</w:t>
      </w:r>
      <w:r>
        <w:rPr>
          <w:rFonts w:hint="eastAsia" w:ascii="仿宋_GB2312" w:hAnsi="仿宋_GB2312" w:eastAsia="仿宋_GB2312" w:cs="仿宋_GB2312"/>
          <w:color w:val="000000" w:themeColor="text1"/>
          <w:sz w:val="32"/>
          <w:szCs w:val="32"/>
          <w:highlight w:val="none"/>
          <w14:textFill>
            <w14:solidFill>
              <w14:schemeClr w14:val="tx1"/>
            </w14:solidFill>
          </w14:textFill>
        </w:rPr>
        <w:t>《纳税服务规范》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。线上通过</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门户</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网站</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设置“政策文件”栏目，公开“非接触式”办税缴费事项清单，</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233项</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。设置“办税指南”栏目，</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公开</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办理税费业务</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操作指南</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共3</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5项，其中办税</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315项</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，缴费</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50项</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3.大企业税收事前裁定服务</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完善制定《大企业税收事先裁定工作规程》，</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通过门户网站广泛宣传《税收个案批复和事项裁定典型案例》。进一步加强推广TCCS系统服务，为95户大企业提供风险预警服务，为4户大企业提供一企一策定制服务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加强推广TCCS系统服务和“一企一策”专属服务。</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4.健全完善税收制度建设</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结合相关政府部门工作要求，开展税务规范性文件清理工作，健全完善工作机制。转发学习省局相关案例解析，不断完善税收执法，推进税收法治建设。持续落实完善税费政策执行确定性会商协调机制、涉税费争议分类分级管理办法，形成管理闭环，统一税费政策执行口径，提高税费政策执行确定性，以法治思维和法治方式推进涉税费争议治理，持续优化税收营商环境。</w:t>
      </w:r>
    </w:p>
    <w:p>
      <w:pPr>
        <w:keepNext w:val="0"/>
        <w:keepLines w:val="0"/>
        <w:pageBreakBefore w:val="0"/>
        <w:widowControl/>
        <w:numPr>
          <w:ilvl w:val="0"/>
          <w:numId w:val="0"/>
        </w:numPr>
        <w:kinsoku/>
        <w:wordWrap/>
        <w:overflowPunct/>
        <w:topLinePunct w:val="0"/>
        <w:bidi w:val="0"/>
        <w:spacing w:beforeLines="0" w:afterLines="0" w:line="600" w:lineRule="exact"/>
        <w:ind w:firstLine="643" w:firstLineChars="200"/>
        <w:jc w:val="both"/>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落实落细税费优惠政策 </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1.精准推送支持企业发展</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落实延续优化完善的税费优惠政策，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共向全市约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504.79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万户次的纳税人进行了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47项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优惠政策的推送，成功推送信息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538.88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万条。</w:t>
      </w:r>
      <w:r>
        <w:rPr>
          <w:rFonts w:hint="eastAsia" w:ascii="仿宋_GB2312" w:hAnsi="仿宋_GB2312" w:eastAsia="仿宋_GB2312" w:cs="仿宋_GB2312"/>
          <w:color w:val="000000" w:themeColor="text1"/>
          <w:sz w:val="32"/>
          <w:szCs w:val="32"/>
          <w:highlight w:val="none"/>
          <w14:textFill>
            <w14:solidFill>
              <w14:schemeClr w14:val="tx1"/>
            </w14:solidFill>
          </w14:textFill>
        </w:rPr>
        <w:t>全市</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支持科技创新和制造业发展减税降费及退税超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18.66亿元</w:t>
      </w:r>
      <w:r>
        <w:rPr>
          <w:rFonts w:hint="eastAsia" w:ascii="仿宋_GB2312" w:hAnsi="仿宋_GB2312" w:eastAsia="仿宋_GB2312" w:cs="仿宋_GB2312"/>
          <w:color w:val="000000" w:themeColor="text1"/>
          <w:sz w:val="32"/>
          <w:szCs w:val="32"/>
          <w:highlight w:val="none"/>
          <w14:textFill>
            <w14:solidFill>
              <w14:schemeClr w14:val="tx1"/>
            </w14:solidFill>
          </w14:textFill>
        </w:rPr>
        <w:t>，有效助力稳定市场预期、提振市场信心、激发市场活力。</w:t>
      </w:r>
      <w:bookmarkStart w:id="0" w:name="_GoBack"/>
      <w:bookmarkEnd w:id="0"/>
    </w:p>
    <w:p>
      <w:pPr>
        <w:keepNext w:val="0"/>
        <w:keepLines w:val="0"/>
        <w:pageBreakBefore w:val="0"/>
        <w:widowControl/>
        <w:numPr>
          <w:ilvl w:val="0"/>
          <w:numId w:val="0"/>
        </w:numPr>
        <w:kinsoku/>
        <w:wordWrap/>
        <w:overflowPunct/>
        <w:topLinePunct w:val="0"/>
        <w:bidi w:val="0"/>
        <w:spacing w:beforeLines="0" w:afterLines="0" w:line="600" w:lineRule="exact"/>
        <w:ind w:leftChars="266"/>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税费政策支持绿色发展</w:t>
      </w:r>
    </w:p>
    <w:p>
      <w:pPr>
        <w:keepNext w:val="0"/>
        <w:keepLines w:val="0"/>
        <w:pageBreakBefore w:val="0"/>
        <w:widowControl/>
        <w:numPr>
          <w:ilvl w:val="0"/>
          <w:numId w:val="0"/>
        </w:numPr>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联合生态环境、自然资源等部门建立常态化协作机制，通过推广线下宣传渠道向企业和群众派发宣传资料、对重点税源纳税人开展“一对一”上门辅导、现场答疑等形式，加强纳税人自主申报和信息填报辅导，确保减排税收优惠和环境保护税政策落实到位。</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积极协调联合财政、水务部门，联合开展水资源税改革试点工作，</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扎实做好水资源税征</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管衔接工作，与水务部门共享存量取水许可信息等数据并完成水资源税纳税人识别工作，联合开展宣传辅导，确保我市水资源费改税工作顺利平稳过渡。</w:t>
      </w:r>
    </w:p>
    <w:p>
      <w:pPr>
        <w:keepNext w:val="0"/>
        <w:keepLines w:val="0"/>
        <w:pageBreakBefore w:val="0"/>
        <w:widowControl/>
        <w:numPr>
          <w:ilvl w:val="0"/>
          <w:numId w:val="0"/>
        </w:numPr>
        <w:kinsoku/>
        <w:wordWrap/>
        <w:overflowPunct/>
        <w:topLinePunct w:val="0"/>
        <w:bidi w:val="0"/>
        <w:spacing w:beforeLines="0" w:afterLines="0" w:line="600" w:lineRule="exact"/>
        <w:ind w:firstLine="643" w:firstLineChars="200"/>
        <w:jc w:val="both"/>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（三）规范税务稽查执法</w:t>
      </w:r>
    </w:p>
    <w:p>
      <w:pPr>
        <w:numPr>
          <w:ilvl w:val="0"/>
          <w:numId w:val="0"/>
        </w:numPr>
        <w:kinsoku/>
        <w:spacing w:beforeLines="0" w:afterLines="0" w:line="600" w:lineRule="exact"/>
        <w:ind w:firstLine="640" w:firstLineChars="200"/>
        <w:jc w:val="both"/>
        <w:rPr>
          <w:rFonts w:hint="eastAsia"/>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严格落实行政执法“三项制度”，明晰权责清单，统一处罚裁量基准，杜绝执法随意性。遵循稽查选案、检查、审理、执行分工制约机制，严守法定权限与程序，落实案件办理时限有关规定，</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一般稽查案件自立案之日起90日内作出行政处理、处罚决定或者无税收违法行为结论，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既做到执法严谨公正，又确保案件高效办结。聚焦虚开骗税等重点领域精准打击，维护公平税收秩序。推进税务稽查随机抽查，优化市级重点稽查对象名录库建设，对重点行业采取先辅导自查、后立案检查的方式开展随机抽查，进一步强化行业监管，规范税收秩序。</w:t>
      </w:r>
    </w:p>
    <w:p>
      <w:pPr>
        <w:keepNext w:val="0"/>
        <w:keepLines w:val="0"/>
        <w:pageBreakBefore w:val="0"/>
        <w:widowControl/>
        <w:numPr>
          <w:ilvl w:val="0"/>
          <w:numId w:val="0"/>
        </w:numPr>
        <w:kinsoku/>
        <w:wordWrap/>
        <w:overflowPunct/>
        <w:topLinePunct w:val="0"/>
        <w:bidi w:val="0"/>
        <w:spacing w:beforeLines="0" w:afterLines="0" w:line="600" w:lineRule="exact"/>
        <w:jc w:val="both"/>
        <w:rPr>
          <w:rFonts w:hint="eastAsia" w:ascii="仿宋_GB2312" w:hAnsi="仿宋_GB2312" w:eastAsia="仿宋_GB2312" w:cs="仿宋_GB2312"/>
          <w:b/>
          <w:bCs/>
          <w:color w:val="000000" w:themeColor="text1"/>
          <w:kern w:val="2"/>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三、</w:t>
      </w:r>
      <w:r>
        <w:rPr>
          <w:rFonts w:hint="eastAsia" w:ascii="黑体" w:hAnsi="黑体" w:eastAsia="黑体" w:cs="黑体"/>
          <w:color w:val="000000" w:themeColor="text1"/>
          <w:sz w:val="32"/>
          <w:szCs w:val="32"/>
          <w:highlight w:val="none"/>
          <w:lang w:eastAsia="zh-CN"/>
          <w14:textFill>
            <w14:solidFill>
              <w14:schemeClr w14:val="tx1"/>
            </w14:solidFill>
          </w14:textFill>
        </w:rPr>
        <w:t>深化税收共治理</w:t>
      </w:r>
    </w:p>
    <w:p>
      <w:pPr>
        <w:pStyle w:val="5"/>
        <w:keepNext w:val="0"/>
        <w:keepLines w:val="0"/>
        <w:pageBreakBefore w:val="0"/>
        <w:widowControl w:val="0"/>
        <w:kinsoku/>
        <w:wordWrap/>
        <w:overflowPunct/>
        <w:topLinePunct w:val="0"/>
        <w:autoSpaceDE w:val="0"/>
        <w:autoSpaceDN w:val="0"/>
        <w:bidi w:val="0"/>
        <w:adjustRightInd w:val="0"/>
        <w:snapToGrid w:val="0"/>
        <w:spacing w:beforeLines="0" w:beforeAutospacing="0" w:after="0" w:afterLines="0" w:line="600" w:lineRule="exact"/>
        <w:ind w:left="0" w:right="0" w:firstLine="643" w:firstLineChars="200"/>
        <w:jc w:val="both"/>
        <w:textAlignment w:val="auto"/>
        <w:rPr>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推动</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以数资政</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信息共享共治</w:t>
      </w:r>
    </w:p>
    <w:p>
      <w:pPr>
        <w:numPr>
          <w:ilvl w:val="0"/>
          <w:numId w:val="0"/>
        </w:numPr>
        <w:kinsoku/>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立健全“分级采集、集中管理、全面应用、全程管控”的数据“供要管用”机制，拓展数据获取渠道，规范数据查询需求流程，推进数据共享共用。进一步深化大数据平台应用，落实国务院第四批共享责任清单，通过广东省一网共享平台挂接共享数据目录数145个、开放目录96个、开放数据量990万条、申请接口26个，变更共享目录102个。积极推动与相关部门的信息共享和业务协同，构建“横向联动、纵向贯通”的信息共享机制。一是横向联通，深化与发改、市场监管、公安、财政等部门数据共享，2025年，共向16个外单位提供涉税共享数据信息60769条，协助各政府部门解决公租住房资格审核、民营经济发展调研等一系列民生事项，减少纳税人缴费人二手房交易契税、社保费办理等业务能通过税收大数据共享查询的资料重复报送，有效消除“信息壁垒”。二是纵向贯通，加强与行业协会等社会组织的沟通协作，以党建引领，结合“一支部护航一个行业”计划，积极对接水利工程行业协会，建立与协会主要管理人员、本地大型水利工程企业经营者的税企联系渠道，及时掌握行业动态和企业需求，实现更大范围的跨部门协作信息共享常态化，持续提升税收共治能力。</w:t>
      </w:r>
    </w:p>
    <w:p>
      <w:pPr>
        <w:keepNext w:val="0"/>
        <w:keepLines w:val="0"/>
        <w:pageBreakBefore w:val="0"/>
        <w:widowControl/>
        <w:numPr>
          <w:ilvl w:val="0"/>
          <w:numId w:val="0"/>
        </w:numPr>
        <w:kinsoku/>
        <w:wordWrap/>
        <w:overflowPunct/>
        <w:topLinePunct w:val="0"/>
        <w:bidi w:val="0"/>
        <w:spacing w:beforeLines="0" w:afterLines="0" w:line="600" w:lineRule="exact"/>
        <w:ind w:firstLine="643" w:firstLineChars="200"/>
        <w:jc w:val="both"/>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推动风险防控提质增效</w:t>
      </w:r>
    </w:p>
    <w:p>
      <w:pPr>
        <w:numPr>
          <w:ilvl w:val="0"/>
          <w:numId w:val="0"/>
        </w:numPr>
        <w:kinsoku/>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聚焦高风险特征、高风险区域、高风险行业，将数据分析作为发现风险、精准施策的“千里眼”和“智慧脑”，按照征管、发票、申报等风险要素开展行业性税收风险分析，不断提升风险防控的精准度和威慑力，及时发现风险管理工作中的薄弱环节。一是构建多维分析模型。深入梳理各税种政策要点和行业特征，将政策规定转化为数据指标，运用大数据技术构建风险扫描模型，对纳税人申报、发票、财务等数据进行多维度交叉比对和自动化扫描，精准锁定异常疑点。二是突出重点领域防控。将分析资源向五金刀剪、房地产、民营医疗等重点行业和长期低税负、零申报等高风险企业倾斜，加强对税收优惠政策适用情况的跟踪与复核，确保国家政策精准落地的同时，严防税收流失。三是强化成果转化应用。将分析发现的疑点线索快速转化为核查任务，统筹推送至基层单位，并加强对重大复杂风险任务的直接指导和联合核查。特别是在对大企业税收政策适用管理的深度分析中成效显著，如以“穿透分析”化解阳江核电公司不征税收入政策适用错误少缴漏缴企业所得税等风险，补缴入库税款1.7亿元，充分展现了以数治税的强大威力。</w:t>
      </w:r>
    </w:p>
    <w:p>
      <w:pPr>
        <w:keepNext w:val="0"/>
        <w:keepLines w:val="0"/>
        <w:pageBreakBefore w:val="0"/>
        <w:widowControl/>
        <w:numPr>
          <w:ilvl w:val="0"/>
          <w:numId w:val="0"/>
        </w:numPr>
        <w:kinsoku/>
        <w:wordWrap/>
        <w:overflowPunct/>
        <w:topLinePunct w:val="0"/>
        <w:bidi w:val="0"/>
        <w:spacing w:beforeLines="0" w:afterLines="0" w:line="600" w:lineRule="exact"/>
        <w:ind w:firstLine="643" w:firstLineChars="200"/>
        <w:jc w:val="both"/>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（三）</w:t>
      </w:r>
      <w:r>
        <w:rPr>
          <w:rFonts w:hint="eastAsia" w:ascii="仿宋_GB2312" w:hAnsi="Calibri" w:eastAsia="仿宋_GB2312" w:cs="Times New Roman"/>
          <w:b/>
          <w:bCs/>
          <w:color w:val="000000" w:themeColor="text1"/>
          <w:kern w:val="0"/>
          <w:sz w:val="32"/>
          <w:szCs w:val="32"/>
          <w:highlight w:val="none"/>
          <w:u w:val="none" w:color="auto"/>
          <w:lang w:val="en-US" w:eastAsia="zh-CN" w:bidi="ar-SA"/>
          <w14:textFill>
            <w14:solidFill>
              <w14:schemeClr w14:val="tx1"/>
            </w14:solidFill>
          </w14:textFill>
        </w:rPr>
        <w:t>推进“银税互动”</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助企发展</w:t>
      </w:r>
    </w:p>
    <w:p>
      <w:pPr>
        <w:keepNext w:val="0"/>
        <w:keepLines w:val="0"/>
        <w:pageBreakBefore w:val="0"/>
        <w:widowControl/>
        <w:numPr>
          <w:ilvl w:val="0"/>
          <w:numId w:val="0"/>
        </w:numPr>
        <w:kinsoku/>
        <w:wordWrap/>
        <w:overflowPunct/>
        <w:topLinePunct w:val="0"/>
        <w:bidi w:val="0"/>
        <w:spacing w:beforeLines="0" w:afterLines="0" w:line="600" w:lineRule="exact"/>
        <w:ind w:firstLine="724" w:firstLineChars="200"/>
        <w:jc w:val="both"/>
        <w:rPr>
          <w:rFonts w:hint="eastAsia" w:ascii="仿宋_GB2312" w:hAnsi="仿宋_GB2312" w:eastAsia="仿宋_GB2312" w:cs="仿宋_GB2312"/>
          <w:color w:val="000000" w:themeColor="text1"/>
          <w:spacing w:val="2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21"/>
          <w:sz w:val="32"/>
          <w:szCs w:val="32"/>
          <w:highlight w:val="none"/>
          <w:lang w:eastAsia="zh-CN"/>
          <w14:textFill>
            <w14:solidFill>
              <w14:schemeClr w14:val="tx1"/>
            </w14:solidFill>
          </w14:textFill>
        </w:rPr>
        <w:t>开展</w:t>
      </w:r>
      <w:r>
        <w:rPr>
          <w:rFonts w:hint="eastAsia" w:ascii="仿宋_GB2312" w:hAnsi="仿宋_GB2312" w:eastAsia="仿宋_GB2312" w:cs="仿宋_GB2312"/>
          <w:color w:val="000000" w:themeColor="text1"/>
          <w:spacing w:val="21"/>
          <w:sz w:val="32"/>
          <w:szCs w:val="32"/>
          <w:highlight w:val="none"/>
          <w14:textFill>
            <w14:solidFill>
              <w14:schemeClr w14:val="tx1"/>
            </w14:solidFill>
          </w14:textFill>
        </w:rPr>
        <w:t>纳税信用评价，评定A 、B 、M级纳税</w:t>
      </w:r>
      <w:r>
        <w:rPr>
          <w:rFonts w:hint="eastAsia" w:ascii="仿宋_GB2312" w:hAnsi="仿宋_GB2312" w:eastAsia="仿宋_GB2312" w:cs="仿宋_GB2312"/>
          <w:color w:val="000000" w:themeColor="text1"/>
          <w:spacing w:val="21"/>
          <w:sz w:val="32"/>
          <w:szCs w:val="32"/>
          <w:highlight w:val="none"/>
          <w:lang w:val="en-US" w:eastAsia="zh-CN"/>
          <w14:textFill>
            <w14:solidFill>
              <w14:schemeClr w14:val="tx1"/>
            </w14:solidFill>
          </w14:textFill>
        </w:rPr>
        <w:t>5.17</w:t>
      </w:r>
      <w:r>
        <w:rPr>
          <w:rFonts w:hint="eastAsia" w:ascii="仿宋_GB2312" w:hAnsi="仿宋_GB2312" w:eastAsia="仿宋_GB2312" w:cs="仿宋_GB2312"/>
          <w:color w:val="000000" w:themeColor="text1"/>
          <w:spacing w:val="21"/>
          <w:sz w:val="32"/>
          <w:szCs w:val="32"/>
          <w:highlight w:val="none"/>
          <w14:textFill>
            <w14:solidFill>
              <w14:schemeClr w14:val="tx1"/>
            </w14:solidFill>
          </w14:textFill>
        </w:rPr>
        <w:t>万户，同比增加0.</w:t>
      </w:r>
      <w:r>
        <w:rPr>
          <w:rFonts w:hint="eastAsia" w:ascii="仿宋_GB2312" w:hAnsi="仿宋_GB2312" w:eastAsia="仿宋_GB2312" w:cs="仿宋_GB2312"/>
          <w:color w:val="000000" w:themeColor="text1"/>
          <w:spacing w:val="2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pacing w:val="21"/>
          <w:sz w:val="32"/>
          <w:szCs w:val="32"/>
          <w:highlight w:val="none"/>
          <w14:textFill>
            <w14:solidFill>
              <w14:schemeClr w14:val="tx1"/>
            </w14:solidFill>
          </w14:textFill>
        </w:rPr>
        <w:t>万户；C</w:t>
      </w:r>
      <w:r>
        <w:rPr>
          <w:rFonts w:hint="eastAsia" w:ascii="仿宋_GB2312" w:hAnsi="仿宋_GB2312" w:eastAsia="仿宋_GB2312" w:cs="仿宋_GB2312"/>
          <w:color w:val="000000" w:themeColor="text1"/>
          <w:spacing w:val="2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21"/>
          <w:sz w:val="32"/>
          <w:szCs w:val="32"/>
          <w:highlight w:val="none"/>
          <w14:textFill>
            <w14:solidFill>
              <w14:schemeClr w14:val="tx1"/>
            </w14:solidFill>
          </w14:textFill>
        </w:rPr>
        <w:t>D级纳税人</w:t>
      </w:r>
      <w:r>
        <w:rPr>
          <w:rFonts w:hint="eastAsia" w:ascii="仿宋_GB2312" w:hAnsi="仿宋_GB2312" w:eastAsia="仿宋_GB2312" w:cs="仿宋_GB2312"/>
          <w:color w:val="000000" w:themeColor="text1"/>
          <w:spacing w:val="21"/>
          <w:sz w:val="32"/>
          <w:szCs w:val="32"/>
          <w:highlight w:val="none"/>
          <w:lang w:val="en-US" w:eastAsia="zh-CN"/>
          <w14:textFill>
            <w14:solidFill>
              <w14:schemeClr w14:val="tx1"/>
            </w14:solidFill>
          </w14:textFill>
        </w:rPr>
        <w:t>5609</w:t>
      </w:r>
      <w:r>
        <w:rPr>
          <w:rFonts w:hint="eastAsia" w:ascii="仿宋_GB2312" w:hAnsi="仿宋_GB2312" w:eastAsia="仿宋_GB2312" w:cs="仿宋_GB2312"/>
          <w:color w:val="000000" w:themeColor="text1"/>
          <w:spacing w:val="21"/>
          <w:sz w:val="32"/>
          <w:szCs w:val="32"/>
          <w:highlight w:val="none"/>
          <w14:textFill>
            <w14:solidFill>
              <w14:schemeClr w14:val="tx1"/>
            </w14:solidFill>
          </w14:textFill>
        </w:rPr>
        <w:t>户，同比增加</w:t>
      </w:r>
      <w:r>
        <w:rPr>
          <w:rFonts w:hint="eastAsia" w:ascii="仿宋_GB2312" w:hAnsi="仿宋_GB2312" w:eastAsia="仿宋_GB2312" w:cs="仿宋_GB2312"/>
          <w:color w:val="000000" w:themeColor="text1"/>
          <w:spacing w:val="21"/>
          <w:sz w:val="32"/>
          <w:szCs w:val="32"/>
          <w:highlight w:val="none"/>
          <w:lang w:val="en-US" w:eastAsia="zh-CN"/>
          <w14:textFill>
            <w14:solidFill>
              <w14:schemeClr w14:val="tx1"/>
            </w14:solidFill>
          </w14:textFill>
        </w:rPr>
        <w:t>1009</w:t>
      </w:r>
      <w:r>
        <w:rPr>
          <w:rFonts w:hint="eastAsia" w:ascii="仿宋_GB2312" w:hAnsi="仿宋_GB2312" w:eastAsia="仿宋_GB2312" w:cs="仿宋_GB2312"/>
          <w:color w:val="000000" w:themeColor="text1"/>
          <w:spacing w:val="21"/>
          <w:sz w:val="32"/>
          <w:szCs w:val="32"/>
          <w:highlight w:val="none"/>
          <w14:textFill>
            <w14:solidFill>
              <w14:schemeClr w14:val="tx1"/>
            </w14:solidFill>
          </w14:textFill>
        </w:rPr>
        <w:t>户，纳税信用状况持续向好。协同银行机构创新开发“农企银税贷 ”融资新产品，助力中小企业申请贷款</w:t>
      </w:r>
      <w:r>
        <w:rPr>
          <w:rFonts w:hint="eastAsia" w:ascii="仿宋_GB2312" w:hAnsi="仿宋_GB2312" w:eastAsia="仿宋_GB2312" w:cs="仿宋_GB2312"/>
          <w:color w:val="000000" w:themeColor="text1"/>
          <w:spacing w:val="21"/>
          <w:sz w:val="32"/>
          <w:szCs w:val="32"/>
          <w:highlight w:val="none"/>
          <w:lang w:val="en-US" w:eastAsia="zh-CN"/>
          <w14:textFill>
            <w14:solidFill>
              <w14:schemeClr w14:val="tx1"/>
            </w14:solidFill>
          </w14:textFill>
        </w:rPr>
        <w:t>2057</w:t>
      </w:r>
      <w:r>
        <w:rPr>
          <w:rFonts w:hint="eastAsia" w:ascii="仿宋_GB2312" w:hAnsi="仿宋_GB2312" w:eastAsia="仿宋_GB2312" w:cs="仿宋_GB2312"/>
          <w:color w:val="000000" w:themeColor="text1"/>
          <w:spacing w:val="21"/>
          <w:sz w:val="32"/>
          <w:szCs w:val="32"/>
          <w:highlight w:val="none"/>
          <w14:textFill>
            <w14:solidFill>
              <w14:schemeClr w14:val="tx1"/>
            </w14:solidFill>
          </w14:textFill>
        </w:rPr>
        <w:t>笔获得信用贷款14.03亿元</w:t>
      </w:r>
      <w:r>
        <w:rPr>
          <w:rFonts w:hint="eastAsia" w:ascii="仿宋_GB2312" w:hAnsi="仿宋_GB2312" w:eastAsia="仿宋_GB2312" w:cs="仿宋_GB2312"/>
          <w:color w:val="000000" w:themeColor="text1"/>
          <w:spacing w:val="2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21"/>
          <w:sz w:val="32"/>
          <w:szCs w:val="32"/>
          <w:highlight w:val="none"/>
          <w14:textFill>
            <w14:solidFill>
              <w14:schemeClr w14:val="tx1"/>
            </w14:solidFill>
          </w14:textFill>
        </w:rPr>
        <w:t>推动纳税信用融入社会信用体系建设，持续优化税收营商环境。</w:t>
      </w:r>
    </w:p>
    <w:p>
      <w:pPr>
        <w:keepNext w:val="0"/>
        <w:keepLines w:val="0"/>
        <w:pageBreakBefore w:val="0"/>
        <w:widowControl/>
        <w:numPr>
          <w:ilvl w:val="0"/>
          <w:numId w:val="0"/>
        </w:numPr>
        <w:kinsoku/>
        <w:wordWrap/>
        <w:overflowPunct/>
        <w:topLinePunct w:val="0"/>
        <w:bidi w:val="0"/>
        <w:spacing w:beforeLines="0" w:afterLines="0" w:line="600" w:lineRule="exact"/>
        <w:ind w:firstLine="643"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（四）推动政务公开</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透明</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高效</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1.公开政府采购</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阳江市税务局在中国政府采购网共发布意向公开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招标公告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结果公告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2.公开预算决算</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由广东省税务局通过外网信息公开专栏，统一对外公开单位预决算情况。</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3.公开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税费收入</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全市税务系统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各类主体</w:t>
      </w:r>
      <w:r>
        <w:rPr>
          <w:rFonts w:hint="eastAsia" w:ascii="仿宋_GB2312" w:hAnsi="仿宋_GB2312" w:eastAsia="仿宋_GB2312" w:cs="仿宋_GB2312"/>
          <w:color w:val="000000" w:themeColor="text1"/>
          <w:sz w:val="32"/>
          <w:szCs w:val="32"/>
          <w:highlight w:val="none"/>
          <w14:textFill>
            <w14:solidFill>
              <w14:schemeClr w14:val="tx1"/>
            </w14:solidFill>
          </w14:textFill>
        </w:rPr>
        <w:t>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20.91万</w:t>
      </w:r>
      <w:r>
        <w:rPr>
          <w:rFonts w:hint="eastAsia" w:ascii="仿宋_GB2312" w:hAnsi="仿宋_GB2312" w:eastAsia="仿宋_GB2312" w:cs="仿宋_GB2312"/>
          <w:color w:val="000000" w:themeColor="text1"/>
          <w:sz w:val="32"/>
          <w:szCs w:val="32"/>
          <w:highlight w:val="none"/>
          <w14:textFill>
            <w14:solidFill>
              <w14:schemeClr w14:val="tx1"/>
            </w14:solidFill>
          </w14:textFill>
        </w:rPr>
        <w:t>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其中企业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5.82万户，个体户14.85万户，非企业单位及其他0.24万户,</w:t>
      </w:r>
      <w:r>
        <w:rPr>
          <w:rFonts w:hint="eastAsia" w:ascii="仿宋_GB2312" w:hAnsi="仿宋_GB2312" w:eastAsia="仿宋_GB2312" w:cs="仿宋_GB2312"/>
          <w:color w:val="000000" w:themeColor="text1"/>
          <w:sz w:val="32"/>
          <w:szCs w:val="32"/>
          <w:highlight w:val="none"/>
          <w14:textFill>
            <w14:solidFill>
              <w14:schemeClr w14:val="tx1"/>
            </w14:solidFill>
          </w14:textFill>
        </w:rPr>
        <w:t>企业法定代表人男女比例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约</w:t>
      </w:r>
      <w:r>
        <w:rPr>
          <w:rFonts w:hint="eastAsia" w:ascii="仿宋_GB2312" w:hAnsi="仿宋_GB2312" w:eastAsia="仿宋_GB2312" w:cs="仿宋_GB2312"/>
          <w:color w:val="000000" w:themeColor="text1"/>
          <w:sz w:val="32"/>
          <w:szCs w:val="32"/>
          <w:highlight w:val="none"/>
          <w14:textFill>
            <w14:solidFill>
              <w14:schemeClr w14:val="tx1"/>
            </w14:solidFill>
          </w14:textFill>
        </w:rPr>
        <w:t>为2:1；申报个人所得税共618584人，男女比例为1.27:1。在阳江市税务信息公开专栏，通过“税费收入统计”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对外公开税费收入情况：</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全市税务系统组织税费收入</w:t>
      </w:r>
      <w:r>
        <w:rPr>
          <w:rFonts w:hint="eastAsia" w:ascii="仿宋_GB2312" w:hAnsi="仿宋_GB2312" w:eastAsia="仿宋_GB2312" w:cs="仿宋_GB2312"/>
          <w:color w:val="000000" w:themeColor="text1"/>
          <w:spacing w:val="0"/>
          <w:kern w:val="2"/>
          <w:sz w:val="32"/>
          <w:szCs w:val="32"/>
          <w:highlight w:val="none"/>
          <w:u w:val="none" w:color="auto"/>
          <w:lang w:val="en-US" w:eastAsia="zh-CN" w:bidi="ar"/>
          <w14:textFill>
            <w14:solidFill>
              <w14:schemeClr w14:val="tx1"/>
            </w14:solidFill>
          </w14:textFill>
        </w:rPr>
        <w:t>317.7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亿元（含海关代征）。全市税收收入总额178.7亿元，其中：税务部门组织国内税收收入154.6亿元，海关代征进口税收收入24.1亿元。</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4.公开内部审计</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稳步推进督察审计监督全覆盖，有力强化税收监管和维护财经纪律。全年共开展督察审计项目6个,层级审计2个，经济责任审计2个，“三公”经费等重点领域、事项专项审计2个。</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5.公开人力资源</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截止2025年底，国家税务总局阳江市税务局税务机关工作人员共325人，其中男女比例为1.80:1。领导班子共7人，其中女性1人，占比14.29%。</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6.公开管理和问责</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）扎实开展内部快反工作。</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增强团队快速反应合力，常态化组织市局增值税发票管理内部风险快速反应工作团队配合对下发的十三批次数据开展了核查整改，发现并整改问题1个。</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聚焦执法过错，宽严并济抓好责任追究。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2025年全市税务机关严格按照《税务执法责任制实施办法》开展执法过错责任追究，坚持实事求是、依法依规、客观公正、过罚相当的原则，准确区分不同问题的性质，合理界定不同岗位的责任，精准实施分类处置，既</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切实发挥监督问责的震慑效应，又充分保护税务干部履职尽责的积极性。</w:t>
      </w:r>
    </w:p>
    <w:p>
      <w:pPr>
        <w:keepNext w:val="0"/>
        <w:keepLines w:val="0"/>
        <w:pageBreakBefore w:val="0"/>
        <w:widowControl/>
        <w:numPr>
          <w:ilvl w:val="0"/>
          <w:numId w:val="0"/>
        </w:numPr>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b w:val="0"/>
          <w:bCs w:val="0"/>
          <w:color w:val="000000" w:themeColor="text1"/>
          <w:sz w:val="32"/>
          <w:szCs w:val="32"/>
          <w:highlight w:val="none"/>
          <w:lang w:val="en-US" w:eastAsia="en-US" w:bidi="ar-SA"/>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四、便民缴费纳税</w:t>
      </w:r>
      <w:r>
        <w:rPr>
          <w:rFonts w:hint="eastAsia" w:ascii="仿宋_GB2312" w:hAnsi="仿宋_GB2312" w:eastAsia="仿宋_GB2312" w:cs="仿宋_GB2312"/>
          <w:color w:val="000000" w:themeColor="text1"/>
          <w:sz w:val="32"/>
          <w:szCs w:val="32"/>
          <w:highlight w:val="none"/>
          <w14:textFill>
            <w14:solidFill>
              <w14:schemeClr w14:val="tx1"/>
            </w14:solidFill>
          </w14:textFill>
        </w:rPr>
        <w:t> </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600" w:lineRule="exact"/>
        <w:ind w:left="0" w:firstLine="643" w:firstLineChars="200"/>
        <w:jc w:val="both"/>
        <w:textAlignment w:val="auto"/>
        <w:rPr>
          <w:rFonts w:hint="eastAsia" w:ascii="楷体_GB2312" w:hAnsi="楷体_GB2312" w:eastAsia="楷体_GB2312" w:cs="楷体_GB2312"/>
          <w:b/>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
          <w:bCs w:val="0"/>
          <w:color w:val="000000" w:themeColor="text1"/>
          <w:kern w:val="0"/>
          <w:sz w:val="32"/>
          <w:szCs w:val="32"/>
          <w:highlight w:val="none"/>
          <w14:textFill>
            <w14:solidFill>
              <w14:schemeClr w14:val="tx1"/>
            </w14:solidFill>
          </w14:textFill>
        </w:rPr>
        <w:t>推进“无感式”监测管理服务提档升级</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聚焦纳税人缴费人办事堵点，落实省局39个税费申报质量监测指标，结合本地化税费服务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15个指标，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制定《国家税务总局阳江市税务局强化税费服务后台数据分析工作方案》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深挖指标背后隐藏的制约服务瓶颈问题，形成强化征管基础和提升服务质量的常态化改进机制。</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依托大数据应用平台创新开发“阳江市税务局税费服务质效数据监测分析系统”，从纳税人满意度无感式监测、服管联动及内控风险分析、税费服务集约处理成效、线下服务资源调度、税费服务诉求响应五个维度，对我市税费服务质效情况开展全面的监测分析，实现加强运营监控、强化诉求分析、落实风险防控、灵活调配资源的目标，为促进前中后台一体化高效运转提供数据和技术支撑，进一步减轻基层负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持续夯实申报质量和征纳互动服务基础，</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提升税费服务质效和纳税人缴费人满意度。</w:t>
      </w:r>
    </w:p>
    <w:p>
      <w:pPr>
        <w:keepNext w:val="0"/>
        <w:keepLines w:val="0"/>
        <w:pageBreakBefore w:val="0"/>
        <w:widowControl w:val="0"/>
        <w:kinsoku/>
        <w:wordWrap/>
        <w:overflowPunct/>
        <w:topLinePunct w:val="0"/>
        <w:autoSpaceDE/>
        <w:autoSpaceDN/>
        <w:bidi w:val="0"/>
        <w:adjustRightInd/>
        <w:spacing w:beforeLines="0" w:afterLines="0" w:line="600" w:lineRule="exact"/>
        <w:ind w:firstLine="643" w:firstLineChars="200"/>
        <w:textAlignment w:val="auto"/>
        <w:rPr>
          <w:rFonts w:hint="eastAsia" w:ascii="楷体_GB2312" w:hAnsi="楷体_GB2312" w:eastAsia="楷体_GB2312" w:cs="楷体_GB2312"/>
          <w:b/>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b/>
          <w:bCs w:val="0"/>
          <w:color w:val="000000" w:themeColor="text1"/>
          <w:kern w:val="0"/>
          <w:sz w:val="32"/>
          <w:szCs w:val="32"/>
          <w:highlight w:val="none"/>
          <w14:textFill>
            <w14:solidFill>
              <w14:schemeClr w14:val="tx1"/>
            </w14:solidFill>
          </w14:textFill>
        </w:rPr>
        <w:t>推动群众参保缴费“高效办成一件事”</w:t>
      </w:r>
    </w:p>
    <w:p>
      <w:pPr>
        <w:keepNext w:val="0"/>
        <w:keepLines w:val="0"/>
        <w:pageBreakBefore w:val="0"/>
        <w:widowControl w:val="0"/>
        <w:kinsoku/>
        <w:wordWrap/>
        <w:topLinePunct w:val="0"/>
        <w:bidi w:val="0"/>
        <w:snapToGrid/>
        <w:spacing w:beforeLines="0" w:afterLines="0" w:line="600" w:lineRule="exact"/>
        <w:ind w:firstLine="640" w:firstLineChars="200"/>
        <w:jc w:val="both"/>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牵头联动纳服、社保</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非税、信息中心等部门，联合社保、医保机构，探索建立跨部门协作机制，打造“智汇保”参保缴费服务品牌，开发智慧应用系统破除部门壁垒</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在全省率先实现养老、医保问题数据的自动排查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取</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得了三个创新成效。一是创新建立“三方”对账模式，实现缴费无“堵点”。二是创新参保“数据共享”，实现扩面征缴无“痛点”。三是创新“一键式”查找数据，实现退费无“难点”单笔退费</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业务提速5</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分钟办理，纳税人缴费人办理单笔退费时间减少约20%。同时，</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配套推行多部门初访首问责任制，有效推动群众参保缴费“高效办成一件事”，从源头减少重复诉求和办事成本。</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600" w:lineRule="exact"/>
        <w:ind w:left="0" w:leftChars="0" w:right="0" w:rightChars="0" w:firstLine="643" w:firstLineChars="200"/>
        <w:jc w:val="left"/>
        <w:textAlignment w:val="auto"/>
        <w:outlineLvl w:val="9"/>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（三）打造征纳互动市级全量解答服务</w:t>
      </w:r>
    </w:p>
    <w:p>
      <w:pPr>
        <w:keepNext w:val="0"/>
        <w:keepLines w:val="0"/>
        <w:pageBreakBefore w:val="0"/>
        <w:widowControl w:val="0"/>
        <w:kinsoku/>
        <w:wordWrap/>
        <w:topLinePunct w:val="0"/>
        <w:autoSpaceDE/>
        <w:autoSpaceDN/>
        <w:bidi w:val="0"/>
        <w:adjustRightInd/>
        <w:snapToGrid/>
        <w:spacing w:beforeLines="0" w:afterLines="0" w:line="60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聚焦纳税人缴费人急难愁盼问题，深入实施“强基工程”，实现精准辅导</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在全省率先实现市级层面征纳互动咨询服务“全量解答”，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建立健全“一个号码、分类转办、归口处置、跟踪问效”的总体工作机制。</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全面取消基层分局对外咨询电话，</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将税务部门信息公开、咨询投诉、税收违法举报、干部违纪举报、部门联系、信访、软件支持等面向纳税人的对外公开电话号码整合为12366。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统一答复口径，构建“一口进出、标准一致”的服务新格局。通过制定“征纳交互”事项清单，整合政策专家、争议调解、管理对接和运维保障等</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4大类团队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力量</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共</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420人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，形成协同高效的响应机制，有力保障服管衔接不断档、服务响应不延迟，切实提升纳税人满意度和获得感。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同时阐明保密要求、标准规范、沟通技巧、答复口径、业务流程等内容，提升服务人员“办问一体”的能力。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2025年共受理复杂税费咨询服务6980条（其中通过联席会议处理49条、通过任务工单系统处理3931条、通过快速响应处理3000条），已解决6962条，还有18条已上报省局处理。</w:t>
      </w:r>
    </w:p>
    <w:p>
      <w:pPr>
        <w:keepNext w:val="0"/>
        <w:keepLines w:val="0"/>
        <w:pageBreakBefore w:val="0"/>
        <w:widowControl/>
        <w:kinsoku/>
        <w:wordWrap/>
        <w:overflowPunct/>
        <w:topLinePunct w:val="0"/>
        <w:bidi w:val="0"/>
        <w:spacing w:beforeLines="0" w:afterLines="0" w:line="600" w:lineRule="exact"/>
        <w:ind w:firstLine="640" w:firstLineChars="20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谱写税收营商环境新篇章</w:t>
      </w:r>
    </w:p>
    <w:p>
      <w:pPr>
        <w:keepNext w:val="0"/>
        <w:keepLines w:val="0"/>
        <w:pageBreakBefore w:val="0"/>
        <w:widowControl/>
        <w:kinsoku/>
        <w:wordWrap/>
        <w:overflowPunct/>
        <w:topLinePunct w:val="0"/>
        <w:autoSpaceDE w:val="0"/>
        <w:autoSpaceDN w:val="0"/>
        <w:bidi w:val="0"/>
        <w:adjustRightInd w:val="0"/>
        <w:snapToGrid w:val="0"/>
        <w:spacing w:beforeLines="0" w:afterLines="0" w:line="600" w:lineRule="exact"/>
        <w:ind w:firstLine="640" w:firstLineChars="200"/>
        <w:jc w:val="both"/>
        <w:textAlignment w:val="baseline"/>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在新的一年，全市税务将不断优化税收营商环境，切实提升纳税人缴费人满意度与税法遵从度，推动纳税服务质效稳步提升，重点抓好以下几方面工作。</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600" w:lineRule="exact"/>
        <w:ind w:left="0" w:leftChars="0" w:right="0" w:rightChars="0" w:firstLine="643" w:firstLineChars="200"/>
        <w:jc w:val="left"/>
        <w:textAlignment w:val="auto"/>
        <w:outlineLvl w:val="9"/>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（一）深化数字化转型，全面提升办税服务效能</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是提升线上交互服务质效。深化征纳互动模式，实现咨询、办税、反馈“一站式”处理。健全运营规范，明确响应时限与处置节点，提升服务精准度。拓展在自然人电子税务局、社保费系统的应用场景，优化跨区域通办，打通信息壁垒，减少纳税人异地奔波。二是再造线下服务流程体系。巩固办税服务厅升级成效，以功能布局优化为抓手，靠核心指标验证实效。拓展跨部门“一窗通办”范围，聚焦高频场景深化部门协作，丰富“高效办成一件事”清单。三是强化数据赋能实战应用。在当前数据监测体系的基础上优化核心数据模型，定期开展数据分析，精准定位服务短板并针对性优化。深化跨部门数据直联互通，实现信息实时共享，减少资料重复报送，筑牢“数据多跑路、群众少跑腿”格局。</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600" w:lineRule="exact"/>
        <w:ind w:left="0" w:leftChars="0" w:right="0" w:rightChars="0" w:firstLine="643" w:firstLineChars="200"/>
        <w:jc w:val="left"/>
        <w:textAlignment w:val="auto"/>
        <w:outlineLvl w:val="9"/>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 精准对接需求，全力提升政策落实质效</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是优化政策精准推送机制。完善纳税人缴费人标签体系，建立政策与标签精准匹配规则，推动推送向“精准滴灌”转变。二是创新分层分类辅导模式。构建“线上+线下”融合体系，线上开展远程辅导、制作轻量化学习产品；线下聚焦重点群体开展专场辅导与实操培训，强化场景演练，提升办税与业务处置能力。三是健全诉求闭环处置机制。围绕税收服务“强基工程”，优化诉求全流程处置，明确责任与时限。梳理典型案例、总结可复制经验，推动诉求处置从“解决单个问题”向“解决一类问题”转变。四是完善税企常态化交流机制。健全“税企面对面”机制，深入企业一线纾困解难。统筹整合工作事项，推行“一企一策、一次上门”服务，避免重复入户，减轻企业负担。</w:t>
      </w:r>
    </w:p>
    <w:p>
      <w:pPr>
        <w:keepNext w:val="0"/>
        <w:keepLines w:val="0"/>
        <w:pageBreakBefore w:val="0"/>
        <w:numPr>
          <w:ilvl w:val="-1"/>
          <w:numId w:val="0"/>
        </w:numPr>
        <w:kinsoku/>
        <w:wordWrap/>
        <w:overflowPunct/>
        <w:topLinePunct w:val="0"/>
        <w:autoSpaceDE/>
        <w:autoSpaceDN/>
        <w:bidi w:val="0"/>
        <w:adjustRightInd/>
        <w:spacing w:beforeLines="0" w:afterLines="0" w:line="600" w:lineRule="exact"/>
        <w:ind w:left="-13" w:leftChars="0" w:firstLine="0" w:firstLineChars="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 xml:space="preserve">   （三）拓展共治格局，着力提高纳税遵从度</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方面规范涉税专业服务行业管理。依据《涉税专业服务管理办法》，加强对涉税中介机构的服务与监管，开展实名制专项排查整治，通过数据比对、部门联动压缩监管盲区，规范执业行为。完善激励约束体系，强化信用积分结果运用，对合规机构予以正向激励，对违规机构实施联合惩戒，建立“黑名单”动态管理机制，严厉打击规避惩戒行为。强化党业融合，推进税务师行业党组织和工作“两个覆盖”，以党建引领行业高质量发展。另一方面优化纳税信用管理与应用。多渠道宣传纳税信用知识，普及评价指标、易扣分事项及修复流程，提升纳税人合规意识。细化日常管理，优化易扣分指标预警机制，拓宽提醒渠道、提高发布频次，引导规避信用风险。建立信用动态调整机制，简化复核、修复流程，提升服务便捷性，激励纳税人依法诚信纳税。</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600" w:lineRule="exact"/>
        <w:ind w:leftChars="0" w:firstLine="643" w:firstLineChars="200"/>
        <w:textAlignment w:val="auto"/>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（四）推进税务效能建设，不断提升服务水平</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sz w:val="32"/>
          <w:szCs w:val="32"/>
          <w:highlight w:val="none"/>
          <w:lang w:val="en-US" w:eastAsia="zh-CN"/>
          <w14:textFill>
            <w14:solidFill>
              <w14:schemeClr w14:val="tx1"/>
            </w14:solidFill>
          </w14:textFill>
        </w:rPr>
        <w:t>一是常态化做好税费优惠政策精准推送，</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创新税收宣传方式方法，以更快速度、更好质量、更大效果保障经营主体享受政策红利。</w:t>
      </w:r>
      <w:r>
        <w:rPr>
          <w:rFonts w:hint="eastAsia" w:ascii="仿宋_GB2312" w:hAnsi="仿宋_GB2312" w:eastAsia="仿宋_GB2312" w:cs="仿宋_GB2312"/>
          <w:b w:val="0"/>
          <w:bCs w:val="0"/>
          <w:snapToGrid w:val="0"/>
          <w:color w:val="000000" w:themeColor="text1"/>
          <w:sz w:val="32"/>
          <w:szCs w:val="32"/>
          <w:highlight w:val="none"/>
          <w:lang w:val="en-US" w:eastAsia="zh-CN"/>
          <w14:textFill>
            <w14:solidFill>
              <w14:schemeClr w14:val="tx1"/>
            </w14:solidFill>
          </w14:textFill>
        </w:rPr>
        <w:t>二是不断提升对外服务水平。坚持</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“12366”热线服务、网上征纳互动服务和税费业务办理的同轨运行，完善“办问一体”服务，持续提升对外服务水平。三</w:t>
      </w:r>
      <w:r>
        <w:rPr>
          <w:rFonts w:hint="eastAsia" w:ascii="仿宋_GB2312" w:hAnsi="仿宋_GB2312" w:eastAsia="仿宋_GB2312" w:cs="仿宋_GB2312"/>
          <w:b w:val="0"/>
          <w:bCs w:val="0"/>
          <w:snapToGrid w:val="0"/>
          <w:color w:val="000000" w:themeColor="text1"/>
          <w:sz w:val="32"/>
          <w:szCs w:val="32"/>
          <w:highlight w:val="none"/>
          <w:lang w:val="en-US" w:eastAsia="zh-CN"/>
          <w14:textFill>
            <w14:solidFill>
              <w14:schemeClr w14:val="tx1"/>
            </w14:solidFill>
          </w14:textFill>
        </w:rPr>
        <w:t>是持续深入开展“枫桥式”税务所建设。</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充分发挥税务所在夯实税务系统基础、推进基层社会治理中的重要作用，</w:t>
      </w:r>
      <w:r>
        <w:rPr>
          <w:rFonts w:hint="eastAsia" w:ascii="仿宋_GB2312" w:hAnsi="仿宋_GB2312" w:eastAsia="仿宋_GB2312" w:cs="仿宋_GB2312"/>
          <w:b w:val="0"/>
          <w:bCs w:val="0"/>
          <w:snapToGrid w:val="0"/>
          <w:color w:val="000000" w:themeColor="text1"/>
          <w:sz w:val="32"/>
          <w:szCs w:val="32"/>
          <w:highlight w:val="none"/>
          <w:lang w:val="en-US" w:eastAsia="zh-CN"/>
          <w14:textFill>
            <w14:solidFill>
              <w14:schemeClr w14:val="tx1"/>
            </w14:solidFill>
          </w14:textFill>
        </w:rPr>
        <w:t>发挥基层党组织“两功能一作用”，不断提高基层党员干部在</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解决税费矛盾争议解决的水平和能力，促使矛盾不上移。</w:t>
      </w:r>
      <w:r>
        <w:rPr>
          <w:rFonts w:hint="eastAsia" w:ascii="仿宋_GB2312" w:hAnsi="仿宋_GB2312" w:eastAsia="仿宋_GB2312" w:cs="仿宋_GB2312"/>
          <w:b w:val="0"/>
          <w:bCs w:val="0"/>
          <w:snapToGrid w:val="0"/>
          <w:color w:val="000000" w:themeColor="text1"/>
          <w:sz w:val="32"/>
          <w:szCs w:val="32"/>
          <w:highlight w:val="none"/>
          <w:lang w:val="en-US" w:eastAsia="zh-CN"/>
          <w14:textFill>
            <w14:solidFill>
              <w14:schemeClr w14:val="tx1"/>
            </w14:solidFill>
          </w14:textFill>
        </w:rPr>
        <w:t>四是进一步整合涉税资源，</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加快推进国务院出台的“高效办成一件事”的落实与政务平台融为一体、推进“政务+税务”事项“一站办”，解决群众“事务+服务”智寻需求，利用持续创新惠民利企服务举措，进一步推进效能税务建设。</w:t>
      </w:r>
    </w:p>
    <w:p>
      <w:pPr>
        <w:pStyle w:val="7"/>
        <w:spacing w:beforeLines="0" w:afterLines="0" w:line="600" w:lineRule="exact"/>
        <w:ind w:firstLine="643" w:firstLineChars="200"/>
        <w:rPr>
          <w:rFonts w:hint="eastAsia" w:ascii="仿宋_GB2312" w:hAnsi="Times New Roman" w:cs="Times New Roman"/>
          <w:snapToGrid w:val="0"/>
          <w:color w:val="000000" w:themeColor="text1"/>
          <w:sz w:val="32"/>
          <w:szCs w:val="32"/>
          <w:highlight w:val="none"/>
          <w:lang w:val="en-US" w:eastAsia="zh-CN"/>
          <w14:textFill>
            <w14:solidFill>
              <w14:schemeClr w14:val="tx1"/>
            </w14:solidFill>
          </w14:textFill>
        </w:rPr>
      </w:pPr>
      <w:r>
        <w:rPr>
          <w:rFonts w:hint="eastAsia" w:ascii="仿宋_GB2312" w:hAnsi="Times New Roman" w:cs="Times New Roman"/>
          <w:snapToGrid w:val="0"/>
          <w:color w:val="000000" w:themeColor="text1"/>
          <w:sz w:val="32"/>
          <w:szCs w:val="32"/>
          <w:highlight w:val="none"/>
          <w:lang w:val="en-US" w:eastAsia="zh-CN"/>
          <w14:textFill>
            <w14:solidFill>
              <w14:schemeClr w14:val="tx1"/>
            </w14:solidFill>
          </w14:textFill>
        </w:rPr>
        <w:t>（五）提前谋划布局，打造一流的营商环境</w:t>
      </w:r>
    </w:p>
    <w:p>
      <w:pPr>
        <w:keepNext w:val="0"/>
        <w:keepLines w:val="0"/>
        <w:pageBreakBefore w:val="0"/>
        <w:widowControl/>
        <w:kinsoku/>
        <w:wordWrap/>
        <w:overflowPunct/>
        <w:topLinePunct w:val="0"/>
        <w:autoSpaceDE w:val="0"/>
        <w:autoSpaceDN w:val="0"/>
        <w:bidi w:val="0"/>
        <w:adjustRightInd w:val="0"/>
        <w:snapToGrid w:val="0"/>
        <w:spacing w:beforeLines="0" w:afterLines="0" w:line="600" w:lineRule="exact"/>
        <w:ind w:firstLine="640" w:firstLineChars="200"/>
        <w:jc w:val="both"/>
        <w:textAlignment w:val="baseline"/>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Times New Roman" w:eastAsia="仿宋_GB2312" w:cs="Times New Roman"/>
          <w:b w:val="0"/>
          <w:bCs w:val="0"/>
          <w:snapToGrid w:val="0"/>
          <w:color w:val="000000" w:themeColor="text1"/>
          <w:sz w:val="32"/>
          <w:szCs w:val="32"/>
          <w:highlight w:val="none"/>
          <w:lang w:val="en-US" w:eastAsia="zh-CN"/>
          <w14:textFill>
            <w14:solidFill>
              <w14:schemeClr w14:val="tx1"/>
            </w14:solidFill>
          </w14:textFill>
        </w:rPr>
        <w:t>积极加强与省局、发改委及各部门的沟通衔接，聚焦短板精准发力，借鉴先进经验，持续营造公平、公正的税收营商环境。</w:t>
      </w:r>
      <w:r>
        <w:rPr>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t>一是提升城市国际化服务水平。针对境外人士高频政务服务事项，在重点办事窗口、12366热线服务和线上“征纳互动”服务推出多语种服务。二是优化跨境贸易服务。优化出口退税服务,</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深化非接触式办税、智能审核、快速退库，不断压缩办理时限，</w:t>
      </w:r>
      <w:r>
        <w:rPr>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t>保障符合条件的一类、二类出口企业正常出日退税业务在3个工作日内办结。三是完善海外综合服务体系。积极配合上级部门优化海外涉税服务，进一步优化广东省“走出去”公共服务平台，推进中国企业“走出去”综合服务基地建设。四是提升跨境税收服务水平。拓展“税路通”跨境税收服务品牌效应，服务跨境投资全生命周期，配合刀博会等大型国际性展会的举办，开展税收宣介活动。</w:t>
      </w:r>
    </w:p>
    <w:p>
      <w:pPr>
        <w:rPr>
          <w:color w:val="000000" w:themeColor="text1"/>
          <w:highlight w:val="none"/>
          <w14:textFill>
            <w14:solidFill>
              <w14:schemeClr w14:val="tx1"/>
            </w14:solidFill>
          </w14:textFill>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4C3BB"/>
    <w:multiLevelType w:val="singleLevel"/>
    <w:tmpl w:val="BC64C3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E3BB3"/>
    <w:rsid w:val="00F64439"/>
    <w:rsid w:val="011369BA"/>
    <w:rsid w:val="0547076E"/>
    <w:rsid w:val="08E1412A"/>
    <w:rsid w:val="09E912A9"/>
    <w:rsid w:val="0BC2175D"/>
    <w:rsid w:val="0F3C5DAA"/>
    <w:rsid w:val="1A6D7EC2"/>
    <w:rsid w:val="216F172B"/>
    <w:rsid w:val="22DE3BB3"/>
    <w:rsid w:val="23283FF9"/>
    <w:rsid w:val="3042597C"/>
    <w:rsid w:val="30D224D1"/>
    <w:rsid w:val="32F44668"/>
    <w:rsid w:val="35F70AF8"/>
    <w:rsid w:val="37437FF5"/>
    <w:rsid w:val="3A113D1F"/>
    <w:rsid w:val="3B84280B"/>
    <w:rsid w:val="3CE46453"/>
    <w:rsid w:val="400535CB"/>
    <w:rsid w:val="41917457"/>
    <w:rsid w:val="423F6014"/>
    <w:rsid w:val="52D87E6D"/>
    <w:rsid w:val="535142F7"/>
    <w:rsid w:val="57505E10"/>
    <w:rsid w:val="57E32287"/>
    <w:rsid w:val="5E15619F"/>
    <w:rsid w:val="5ECD5685"/>
    <w:rsid w:val="61A90983"/>
    <w:rsid w:val="61E14308"/>
    <w:rsid w:val="62134B17"/>
    <w:rsid w:val="64434BA7"/>
    <w:rsid w:val="6EA717D5"/>
    <w:rsid w:val="7B197CE8"/>
    <w:rsid w:val="7D3D3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1"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widowControl/>
      <w:tabs>
        <w:tab w:val="left" w:pos="992"/>
      </w:tabs>
      <w:spacing w:before="140" w:line="220" w:lineRule="atLeast"/>
      <w:ind w:left="992" w:hanging="567"/>
      <w:jc w:val="left"/>
      <w:outlineLvl w:val="1"/>
    </w:pPr>
    <w:rPr>
      <w:rFonts w:ascii="Arial" w:hAnsi="Arial"/>
      <w:b/>
      <w:spacing w:val="-4"/>
      <w:kern w:val="28"/>
      <w:sz w:val="32"/>
      <w:szCs w:val="20"/>
    </w:rPr>
  </w:style>
  <w:style w:type="paragraph" w:styleId="4">
    <w:name w:val="heading 4"/>
    <w:basedOn w:val="1"/>
    <w:next w:val="1"/>
    <w:qFormat/>
    <w:uiPriority w:val="0"/>
    <w:pPr>
      <w:widowControl/>
      <w:overflowPunct w:val="0"/>
      <w:autoSpaceDE w:val="0"/>
      <w:autoSpaceDN w:val="0"/>
      <w:adjustRightInd w:val="0"/>
      <w:ind w:firstLine="640" w:firstLineChars="200"/>
      <w:textAlignment w:val="baseline"/>
      <w:outlineLvl w:val="3"/>
    </w:pPr>
    <w:rPr>
      <w:rFonts w:ascii="仿宋_GB2312" w:hAnsi="宋体" w:eastAsia="仿宋_GB2312" w:cs="Times New Roman"/>
      <w:kern w:val="0"/>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Title"/>
    <w:basedOn w:val="1"/>
    <w:next w:val="1"/>
    <w:qFormat/>
    <w:uiPriority w:val="0"/>
    <w:pPr>
      <w:spacing w:line="580" w:lineRule="exact"/>
      <w:jc w:val="center"/>
      <w:outlineLvl w:val="0"/>
    </w:pPr>
    <w:rPr>
      <w:rFonts w:ascii="Arial" w:hAnsi="Arial" w:eastAsia="方正小标宋_GBK"/>
      <w:b/>
      <w:spacing w:val="8"/>
      <w:sz w:val="44"/>
    </w:rPr>
  </w:style>
  <w:style w:type="paragraph" w:styleId="7">
    <w:name w:val="Body Text Indent 2"/>
    <w:basedOn w:val="1"/>
    <w:unhideWhenUsed/>
    <w:qFormat/>
    <w:uiPriority w:val="1"/>
    <w:pPr>
      <w:ind w:firstLine="630"/>
    </w:pPr>
    <w:rPr>
      <w:rFonts w:eastAsia="仿宋_GB2312"/>
      <w:b/>
      <w:bCs/>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Hyperlink"/>
    <w:basedOn w:val="11"/>
    <w:qFormat/>
    <w:uiPriority w:val="0"/>
    <w:rPr>
      <w:color w:val="0479BC"/>
      <w:u w:val="single"/>
    </w:rPr>
  </w:style>
  <w:style w:type="character" w:customStyle="1" w:styleId="13">
    <w:name w:val="nav_pop_folder"/>
    <w:basedOn w:val="11"/>
    <w:qFormat/>
    <w:uiPriority w:val="0"/>
  </w:style>
  <w:style w:type="character" w:customStyle="1" w:styleId="14">
    <w:name w:val="mailnum"/>
    <w:basedOn w:val="11"/>
    <w:qFormat/>
    <w:uiPriority w:val="0"/>
    <w:rPr>
      <w:b/>
      <w:bCs/>
    </w:rPr>
  </w:style>
  <w:style w:type="character" w:customStyle="1" w:styleId="15">
    <w:name w:val="viewflagged"/>
    <w:basedOn w:val="11"/>
    <w:qFormat/>
    <w:uiPriority w:val="0"/>
    <w:rPr>
      <w:color w:val="1B1B1B"/>
    </w:rPr>
  </w:style>
  <w:style w:type="character" w:customStyle="1" w:styleId="16">
    <w:name w:val="operand"/>
    <w:basedOn w:val="11"/>
    <w:qFormat/>
    <w:uiPriority w:val="0"/>
    <w:rPr>
      <w:b/>
      <w:bCs/>
      <w:color w:val="16960E"/>
    </w:rPr>
  </w:style>
  <w:style w:type="character" w:customStyle="1" w:styleId="17">
    <w:name w:val="icolink"/>
    <w:basedOn w:val="11"/>
    <w:qFormat/>
    <w:uiPriority w:val="0"/>
  </w:style>
  <w:style w:type="character" w:customStyle="1" w:styleId="18">
    <w:name w:val="icolink1"/>
    <w:basedOn w:val="11"/>
    <w:qFormat/>
    <w:uiPriority w:val="0"/>
  </w:style>
  <w:style w:type="character" w:customStyle="1" w:styleId="19">
    <w:name w:val="normalspan"/>
    <w:basedOn w:val="11"/>
    <w:qFormat/>
    <w:uiPriority w:val="0"/>
    <w:rPr>
      <w:color w:val="auto"/>
    </w:rPr>
  </w:style>
  <w:style w:type="character" w:customStyle="1" w:styleId="20">
    <w:name w:val="hover13"/>
    <w:basedOn w:val="11"/>
    <w:qFormat/>
    <w:uiPriority w:val="0"/>
    <w:rPr>
      <w:shd w:val="clear" w:fill="EFEFEF"/>
    </w:rPr>
  </w:style>
  <w:style w:type="character" w:customStyle="1" w:styleId="21">
    <w:name w:val="hover14"/>
    <w:basedOn w:val="11"/>
    <w:qFormat/>
    <w:uiPriority w:val="0"/>
    <w:rPr>
      <w:shd w:val="clear" w:fill="D0D0D0"/>
    </w:rPr>
  </w:style>
  <w:style w:type="character" w:customStyle="1" w:styleId="22">
    <w:name w:val="active7"/>
    <w:basedOn w:val="11"/>
    <w:qFormat/>
    <w:uiPriority w:val="0"/>
    <w:rPr>
      <w:b/>
      <w:bCs/>
    </w:rPr>
  </w:style>
  <w:style w:type="character" w:customStyle="1" w:styleId="23">
    <w:name w:val="enabledtext"/>
    <w:basedOn w:val="11"/>
    <w:qFormat/>
    <w:uiPriority w:val="0"/>
    <w:rPr>
      <w:color w:val="000000"/>
    </w:rPr>
  </w:style>
  <w:style w:type="character" w:customStyle="1" w:styleId="24">
    <w:name w:val="btnspan"/>
    <w:basedOn w:val="11"/>
    <w:qFormat/>
    <w:uiPriority w:val="0"/>
  </w:style>
  <w:style w:type="character" w:customStyle="1" w:styleId="25">
    <w:name w:val="hidden"/>
    <w:basedOn w:val="11"/>
    <w:qFormat/>
    <w:uiPriority w:val="0"/>
    <w:rPr>
      <w:vanish/>
    </w:rPr>
  </w:style>
  <w:style w:type="character" w:customStyle="1" w:styleId="26">
    <w:name w:val="odcr2"/>
    <w:basedOn w:val="11"/>
    <w:qFormat/>
    <w:uiPriority w:val="0"/>
    <w:rPr>
      <w:color w:val="777777"/>
    </w:rPr>
  </w:style>
  <w:style w:type="paragraph" w:customStyle="1" w:styleId="27">
    <w:name w:val="NormalIndent"/>
    <w:basedOn w:val="1"/>
    <w:qFormat/>
    <w:uiPriority w:val="0"/>
    <w:pPr>
      <w:ind w:firstLine="42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2026-04-27T08:01:00Z</dcterms:created>
  <dc:creator>王俊杰</dc:creator>
  <cp:lastModifiedBy>林颂旋</cp:lastModifiedBy>
  <dcterms:modified xsi:type="dcterms:W3CDTF">2026-06-01T09:19:43Z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