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900" w:lineRule="exact"/>
        <w:jc w:val="center"/>
        <w:rPr>
          <w:rFonts w:hint="eastAsia" w:ascii="方正小标宋简体" w:eastAsia="方正小标宋简体"/>
          <w:spacing w:val="-16"/>
          <w:w w:val="70"/>
          <w:sz w:val="72"/>
          <w:szCs w:val="72"/>
        </w:rPr>
      </w:pPr>
      <w:r>
        <w:rPr>
          <w:rFonts w:hint="eastAsia" w:ascii="方正小标宋简体" w:eastAsia="方正小标宋简体"/>
          <w:spacing w:val="-16"/>
          <w:w w:val="70"/>
          <w:sz w:val="72"/>
          <w:szCs w:val="72"/>
        </w:rPr>
        <w:t>国家税务总局汕尾市税务局关于</w:t>
      </w:r>
      <w:r>
        <w:rPr>
          <w:rFonts w:hint="eastAsia" w:ascii="方正小标宋简体" w:eastAsia="方正小标宋简体"/>
          <w:spacing w:val="-16"/>
          <w:w w:val="70"/>
          <w:sz w:val="72"/>
          <w:szCs w:val="72"/>
          <w:lang w:eastAsia="zh-CN"/>
        </w:rPr>
        <w:t>明确</w:t>
      </w:r>
      <w:r>
        <w:rPr>
          <w:rFonts w:hint="eastAsia" w:ascii="方正小标宋简体" w:eastAsia="方正小标宋简体"/>
          <w:spacing w:val="-16"/>
          <w:w w:val="70"/>
          <w:sz w:val="72"/>
          <w:szCs w:val="72"/>
        </w:rPr>
        <w:t>土地增值税预计增值率测算办法的公告</w:t>
      </w:r>
    </w:p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900" w:lineRule="exact"/>
        <w:jc w:val="center"/>
        <w:rPr>
          <w:rFonts w:hint="eastAsia" w:ascii="方正小标宋简体" w:eastAsia="方正小标宋简体"/>
          <w:spacing w:val="-16"/>
          <w:w w:val="70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pacing w:val="-16"/>
          <w:w w:val="70"/>
          <w:sz w:val="72"/>
          <w:szCs w:val="7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hAnsi="Times New Roman" w:cs="Times New Roman"/>
          <w:lang w:val="en" w:eastAsia="zh-CN"/>
        </w:rPr>
        <w:t>为进一步规范我市房地产开发项目土地增值税预征管理工作，根据《中华人民共和国土地增值税暂行条例》及其实施细则、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《国家税务总局广东省税务局 国家税务总局深圳市税务局关于调整土地增值税预征率的公告》（2024年第5号）</w:t>
      </w:r>
      <w:r>
        <w:rPr>
          <w:rFonts w:hint="eastAsia" w:hAnsi="仿宋_GB2312" w:cs="仿宋_GB2312"/>
          <w:sz w:val="32"/>
          <w:szCs w:val="32"/>
          <w:lang w:val="en-US" w:eastAsia="zh-CN"/>
        </w:rPr>
        <w:t>规定，现将</w:t>
      </w:r>
      <w:r>
        <w:rPr>
          <w:rFonts w:hint="eastAsia" w:hAnsi="仿宋_GB2312" w:cs="仿宋_GB2312"/>
          <w:sz w:val="32"/>
          <w:szCs w:val="32"/>
          <w:lang w:eastAsia="zh-CN"/>
        </w:rPr>
        <w:t>土地增值税预计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增值率测算方法</w:t>
      </w:r>
      <w:r>
        <w:rPr>
          <w:rFonts w:hint="eastAsia" w:hAnsi="仿宋_GB2312" w:cs="仿宋_GB2312"/>
          <w:sz w:val="32"/>
          <w:szCs w:val="32"/>
          <w:lang w:eastAsia="zh-CN"/>
        </w:rPr>
        <w:t>予以公告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hAnsi="仿宋_GB2312" w:cs="仿宋_GB2312"/>
          <w:sz w:val="32"/>
          <w:szCs w:val="32"/>
          <w:lang w:eastAsia="zh-CN"/>
        </w:rPr>
        <w:t>（见附件）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附件：1.土地增值税预计增值率测算方法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2.土地增值税预计增值率测算表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3" w:leftChars="500" w:hanging="323" w:hangingChars="10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.关于《国家税务总局</w:t>
      </w:r>
      <w:r>
        <w:rPr>
          <w:rFonts w:hint="eastAsia" w:hAnsi="仿宋_GB2312" w:cs="仿宋_GB2312"/>
          <w:sz w:val="32"/>
          <w:szCs w:val="32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税务局关于明确土地增值税预计增值率测算方法的公告》的解读</w:t>
      </w:r>
    </w:p>
    <w:p>
      <w:pPr>
        <w:tabs>
          <w:tab w:val="left" w:pos="888"/>
          <w:tab w:val="left" w:pos="1776"/>
          <w:tab w:val="left" w:pos="2664"/>
          <w:tab w:val="left" w:pos="3996"/>
          <w:tab w:val="left" w:pos="5772"/>
          <w:tab w:val="left" w:pos="7696"/>
          <w:tab w:val="left" w:pos="8436"/>
        </w:tabs>
        <w:ind w:firstLine="0" w:firstLineChars="0"/>
        <w:rPr>
          <w:rFonts w:hint="eastAsia"/>
          <w:kern w:val="32"/>
        </w:rPr>
      </w:pPr>
    </w:p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ind w:right="1280" w:rightChars="400"/>
        <w:jc w:val="right"/>
        <w:rPr>
          <w:rFonts w:hint="eastAsia"/>
        </w:rPr>
      </w:pPr>
      <w:r>
        <w:rPr>
          <w:rFonts w:hint="eastAsia"/>
        </w:rPr>
        <w:t>国家税务总局</w:t>
      </w:r>
      <w:r>
        <w:rPr>
          <w:rFonts w:hint="eastAsia"/>
          <w:lang w:eastAsia="zh-CN"/>
        </w:rPr>
        <w:t>汕尾市</w:t>
      </w:r>
      <w:r>
        <w:rPr>
          <w:rFonts w:hint="eastAsia"/>
        </w:rPr>
        <w:t>税务局</w:t>
      </w:r>
    </w:p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ind w:firstLine="4259" w:firstLineChars="1331"/>
        <w:rPr>
          <w:rFonts w:hint="eastAsia" w:ascii="方正小标宋简体" w:eastAsia="方正小标宋简体"/>
          <w:spacing w:val="-16"/>
          <w:w w:val="70"/>
          <w:sz w:val="72"/>
          <w:szCs w:val="72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日</w:t>
      </w:r>
      <w:bookmarkStart w:id="0" w:name="CSDW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3FC5"/>
    <w:rsid w:val="03347459"/>
    <w:rsid w:val="1B98685B"/>
    <w:rsid w:val="20BD3FC5"/>
    <w:rsid w:val="20CB10BD"/>
    <w:rsid w:val="3CFF64CA"/>
    <w:rsid w:val="48290F35"/>
    <w:rsid w:val="50C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2025-01-08T03:34:00Z</dcterms:created>
  <dc:creator>卓思年</dc:creator>
  <cp:lastModifiedBy>卓思年</cp:lastModifiedBy>
  <cp:lastPrinted>2025-01-15T02:46:07Z</cp:lastPrinted>
  <dcterms:modified xsi:type="dcterms:W3CDTF">2025-01-15T09:03:46Z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