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opLinePunct/>
        <w:autoSpaceDE w:val="0"/>
        <w:autoSpaceDN w:val="0"/>
        <w:spacing w:before="0" w:after="0" w:line="360" w:lineRule="auto"/>
        <w:jc w:val="center"/>
        <w:rPr>
          <w:rFonts w:hint="eastAsia" w:ascii="宋体" w:hAnsi="宋体" w:eastAsia="宋体" w:cs="宋体"/>
          <w:b/>
          <w:sz w:val="96"/>
          <w:szCs w:val="96"/>
          <w:lang w:eastAsia="zh-CN"/>
        </w:rPr>
      </w:pPr>
      <w:bookmarkStart w:id="280" w:name="_GoBack"/>
      <w:bookmarkEnd w:id="280"/>
    </w:p>
    <w:p>
      <w:pPr>
        <w:widowControl w:val="0"/>
        <w:topLinePunct/>
        <w:autoSpaceDE w:val="0"/>
        <w:autoSpaceDN w:val="0"/>
        <w:spacing w:before="0" w:after="0" w:line="360" w:lineRule="auto"/>
        <w:jc w:val="center"/>
        <w:rPr>
          <w:rFonts w:hint="eastAsia" w:ascii="宋体" w:hAnsi="宋体" w:eastAsia="宋体" w:cs="宋体"/>
          <w:b/>
          <w:sz w:val="96"/>
          <w:szCs w:val="96"/>
          <w:lang w:eastAsia="zh-CN"/>
        </w:rPr>
      </w:pPr>
    </w:p>
    <w:p>
      <w:pPr>
        <w:widowControl w:val="0"/>
        <w:topLinePunct/>
        <w:autoSpaceDE w:val="0"/>
        <w:autoSpaceDN w:val="0"/>
        <w:spacing w:before="0" w:after="0" w:line="360" w:lineRule="auto"/>
        <w:jc w:val="center"/>
        <w:rPr>
          <w:rFonts w:hint="eastAsia" w:ascii="宋体" w:hAnsi="宋体" w:eastAsia="宋体" w:cs="宋体"/>
          <w:b/>
          <w:sz w:val="36"/>
          <w:szCs w:val="36"/>
          <w:lang w:eastAsia="zh-CN"/>
        </w:rPr>
      </w:pPr>
      <w:r>
        <w:rPr>
          <w:rFonts w:hint="eastAsia" w:ascii="宋体" w:hAnsi="宋体" w:eastAsia="宋体" w:cs="宋体"/>
          <w:b/>
          <w:sz w:val="36"/>
          <w:szCs w:val="36"/>
          <w:lang w:val="en-US" w:eastAsia="zh-CN"/>
        </w:rPr>
        <w:t>广东税务2025年高端存储购买项目</w:t>
      </w:r>
      <w:r>
        <w:rPr>
          <w:rFonts w:hint="eastAsia" w:ascii="宋体" w:hAnsi="宋体" w:eastAsia="宋体" w:cs="宋体"/>
          <w:b/>
          <w:sz w:val="36"/>
          <w:szCs w:val="36"/>
          <w:lang w:eastAsia="zh-CN"/>
        </w:rPr>
        <w:t>采购需求</w:t>
      </w:r>
    </w:p>
    <w:p>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pPr>
        <w:widowControl w:val="0"/>
        <w:topLinePunct/>
        <w:autoSpaceDE w:val="0"/>
        <w:autoSpaceDN w:val="0"/>
        <w:spacing w:before="0" w:after="0" w:line="360" w:lineRule="auto"/>
        <w:jc w:val="center"/>
        <w:rPr>
          <w:rFonts w:hint="eastAsia" w:ascii="宋体" w:hAnsi="宋体" w:eastAsia="宋体" w:cs="宋体"/>
          <w:b/>
          <w:sz w:val="80"/>
          <w:szCs w:val="80"/>
          <w:lang w:eastAsia="zh-CN"/>
        </w:rPr>
      </w:pPr>
    </w:p>
    <w:p>
      <w:pPr>
        <w:widowControl w:val="0"/>
        <w:spacing w:before="0" w:after="0" w:line="360" w:lineRule="auto"/>
        <w:jc w:val="center"/>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广东省税务局</w:t>
      </w:r>
    </w:p>
    <w:p>
      <w:pPr>
        <w:widowControl w:val="0"/>
        <w:spacing w:before="0" w:after="0" w:line="360" w:lineRule="auto"/>
        <w:jc w:val="center"/>
        <w:rPr>
          <w:rFonts w:hint="default"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2026年8月</w:t>
      </w:r>
    </w:p>
    <w:p>
      <w:pPr>
        <w:spacing w:before="0" w:after="0" w:line="360" w:lineRule="auto"/>
        <w:jc w:val="left"/>
      </w:pPr>
      <w:r>
        <w:br w:type="page"/>
      </w:r>
    </w:p>
    <w:p>
      <w:pPr>
        <w:pStyle w:val="2"/>
        <w:keepNext w:val="0"/>
        <w:spacing w:before="0" w:after="0" w:line="360" w:lineRule="auto"/>
        <w:ind w:left="0" w:leftChars="0" w:firstLine="482" w:firstLineChars="150"/>
        <w:jc w:val="left"/>
        <w:rPr>
          <w:rFonts w:ascii="仿宋_GB2312" w:hAnsi="仿宋_GB2312" w:eastAsia="仿宋_GB2312" w:cs="仿宋_GB2312"/>
          <w:b/>
          <w:bCs/>
          <w:sz w:val="32"/>
          <w:szCs w:val="32"/>
        </w:rPr>
      </w:pPr>
      <w:bookmarkStart w:id="0" w:name="_Toc27765"/>
      <w:bookmarkStart w:id="1" w:name="_Toc15669"/>
      <w:bookmarkStart w:id="2" w:name="_Toc16501"/>
      <w:bookmarkStart w:id="3" w:name="_Toc21584"/>
      <w:bookmarkStart w:id="4" w:name="_Toc10256"/>
      <w:bookmarkStart w:id="5" w:name="_Toc18555"/>
      <w:bookmarkStart w:id="6" w:name="_Toc30415"/>
      <w:bookmarkStart w:id="7" w:name="_Toc7754"/>
      <w:bookmarkStart w:id="8" w:name="_Toc12617"/>
      <w:bookmarkStart w:id="9" w:name="_Toc16487"/>
      <w:bookmarkStart w:id="10" w:name="_Toc12801"/>
      <w:bookmarkStart w:id="11" w:name="_Toc19431"/>
      <w:bookmarkStart w:id="12" w:name="_Toc13958"/>
      <w:r>
        <w:rPr>
          <w:rFonts w:hint="eastAsia" w:ascii="仿宋_GB2312" w:hAnsi="仿宋_GB2312" w:eastAsia="仿宋_GB2312" w:cs="仿宋_GB2312"/>
          <w:kern w:val="36"/>
          <w:lang w:eastAsia="zh-CN"/>
        </w:rPr>
        <w:t>第一章</w:t>
      </w:r>
      <w:r>
        <w:rPr>
          <w:rFonts w:hint="eastAsia" w:ascii="仿宋_GB2312" w:hAnsi="仿宋_GB2312" w:eastAsia="仿宋_GB2312" w:cs="仿宋_GB2312"/>
          <w:kern w:val="36"/>
          <w:lang w:val="en-US" w:eastAsia="zh-CN"/>
        </w:rPr>
        <w:t xml:space="preserve"> </w:t>
      </w:r>
      <w:r>
        <w:rPr>
          <w:rFonts w:ascii="仿宋_GB2312" w:hAnsi="仿宋_GB2312" w:eastAsia="仿宋_GB2312" w:cs="仿宋_GB2312"/>
          <w:kern w:val="36"/>
        </w:rPr>
        <w:t>项目概述</w:t>
      </w:r>
      <w:bookmarkEnd w:id="0"/>
      <w:bookmarkEnd w:id="1"/>
      <w:bookmarkEnd w:id="2"/>
      <w:bookmarkEnd w:id="3"/>
      <w:bookmarkEnd w:id="4"/>
      <w:bookmarkEnd w:id="5"/>
      <w:bookmarkEnd w:id="6"/>
      <w:bookmarkEnd w:id="7"/>
      <w:bookmarkEnd w:id="8"/>
      <w:bookmarkEnd w:id="9"/>
      <w:bookmarkEnd w:id="10"/>
      <w:bookmarkEnd w:id="11"/>
      <w:bookmarkEnd w:id="12"/>
    </w:p>
    <w:p>
      <w:pPr>
        <w:pStyle w:val="4"/>
        <w:keepNext w:val="0"/>
        <w:spacing w:before="0" w:after="0" w:line="360" w:lineRule="auto"/>
        <w:ind w:left="0" w:leftChars="0" w:firstLine="480" w:firstLineChars="0"/>
        <w:outlineLvl w:val="0"/>
        <w:rPr>
          <w:rFonts w:ascii="仿宋_GB2312" w:hAnsi="仿宋_GB2312" w:eastAsia="仿宋_GB2312" w:cs="仿宋_GB2312"/>
          <w:b/>
          <w:bCs/>
          <w:sz w:val="28"/>
          <w:szCs w:val="28"/>
        </w:rPr>
      </w:pPr>
      <w:bookmarkStart w:id="13" w:name="_Toc24030"/>
      <w:bookmarkStart w:id="14" w:name="_Toc29108"/>
      <w:bookmarkStart w:id="15" w:name="_Toc1956"/>
      <w:bookmarkStart w:id="16" w:name="_Toc28703"/>
      <w:bookmarkStart w:id="17" w:name="_Toc4519"/>
      <w:bookmarkStart w:id="18" w:name="_Toc29076"/>
      <w:bookmarkStart w:id="19" w:name="_Toc5558"/>
      <w:bookmarkStart w:id="20" w:name="_Toc5582"/>
      <w:bookmarkStart w:id="21" w:name="_Toc21956"/>
      <w:bookmarkStart w:id="22" w:name="_Toc31101"/>
      <w:bookmarkStart w:id="23" w:name="_Toc31711"/>
      <w:bookmarkStart w:id="24" w:name="_Toc32347"/>
      <w:bookmarkStart w:id="25" w:name="_Toc22384"/>
      <w:r>
        <w:rPr>
          <w:rFonts w:ascii="仿宋_GB2312" w:hAnsi="仿宋_GB2312" w:eastAsia="仿宋_GB2312" w:cs="仿宋_GB2312"/>
          <w:i w:val="0"/>
          <w:iCs w:val="0"/>
        </w:rPr>
        <w:t>1.1项目背景</w:t>
      </w:r>
      <w:bookmarkEnd w:id="13"/>
      <w:bookmarkEnd w:id="14"/>
      <w:bookmarkEnd w:id="15"/>
      <w:bookmarkEnd w:id="16"/>
      <w:bookmarkEnd w:id="17"/>
      <w:bookmarkEnd w:id="18"/>
      <w:bookmarkEnd w:id="19"/>
      <w:bookmarkEnd w:id="20"/>
      <w:bookmarkEnd w:id="21"/>
      <w:bookmarkEnd w:id="22"/>
      <w:bookmarkEnd w:id="23"/>
      <w:bookmarkEnd w:id="24"/>
      <w:bookmarkEnd w:id="25"/>
    </w:p>
    <w:p>
      <w:pPr>
        <w:spacing w:before="0" w:after="0" w:line="360" w:lineRule="auto"/>
        <w:ind w:left="0" w:leftChars="0" w:firstLine="480" w:firstLineChars="0"/>
        <w:rPr>
          <w:rFonts w:hint="default" w:ascii="仿宋_GB2312" w:hAnsi="仿宋_GB2312" w:eastAsia="仿宋_GB2312" w:cs="仿宋_GB2312"/>
          <w:b w:val="0"/>
          <w:bCs w:val="0"/>
          <w:color w:val="FF0000"/>
          <w:sz w:val="24"/>
          <w:szCs w:val="24"/>
          <w:lang w:val="en-US" w:eastAsia="zh-CN"/>
        </w:rPr>
      </w:pPr>
      <w:r>
        <w:rPr>
          <w:rFonts w:hint="eastAsia" w:ascii="仿宋_GB2312" w:hAnsi="仿宋_GB2312" w:eastAsia="仿宋_GB2312" w:cs="仿宋_GB2312"/>
          <w:b w:val="0"/>
          <w:bCs w:val="0"/>
          <w:color w:val="FF0000"/>
          <w:sz w:val="28"/>
          <w:szCs w:val="28"/>
          <w:lang w:val="en-US" w:eastAsia="zh-CN" w:bidi="ar-SA"/>
        </w:rPr>
        <w:t xml:space="preserve"> </w:t>
      </w:r>
      <w:r>
        <w:rPr>
          <w:rFonts w:hint="eastAsia" w:ascii="仿宋_GB2312" w:hAnsi="仿宋_GB2312" w:eastAsia="仿宋_GB2312" w:cs="仿宋_GB2312"/>
          <w:b w:val="0"/>
          <w:bCs w:val="0"/>
          <w:color w:val="auto"/>
          <w:lang w:eastAsia="zh-CN"/>
        </w:rPr>
        <w:t>广东省税务局的全闪存储存放了多个重要应用系统的数据</w:t>
      </w:r>
      <w:r>
        <w:rPr>
          <w:rFonts w:hint="eastAsia" w:ascii="仿宋_GB2312" w:hAnsi="仿宋_GB2312" w:eastAsia="仿宋_GB2312" w:cs="仿宋_GB2312"/>
          <w:b w:val="0"/>
          <w:bCs w:val="0"/>
          <w:color w:val="auto"/>
          <w:lang w:val="en-US" w:eastAsia="zh-CN"/>
        </w:rPr>
        <w:t>,</w:t>
      </w:r>
      <w:r>
        <w:rPr>
          <w:rFonts w:hint="eastAsia" w:ascii="仿宋_GB2312" w:hAnsi="仿宋_GB2312" w:eastAsia="仿宋_GB2312" w:cs="仿宋_GB2312"/>
          <w:b w:val="0"/>
          <w:bCs w:val="0"/>
          <w:color w:val="auto"/>
          <w:lang w:eastAsia="zh-CN"/>
        </w:rPr>
        <w:t>目前全闪存存储设备的空间使用率高，且每年业务还会有新增的资源需求，因此采购一台新的全闪存储的高端存储设备，可用容量不低于</w:t>
      </w:r>
      <w:r>
        <w:rPr>
          <w:rFonts w:hint="eastAsia" w:ascii="仿宋_GB2312" w:hAnsi="仿宋_GB2312" w:eastAsia="仿宋_GB2312" w:cs="仿宋_GB2312"/>
          <w:b w:val="0"/>
          <w:bCs w:val="0"/>
          <w:color w:val="auto"/>
          <w:lang w:val="en-US" w:eastAsia="zh-CN"/>
        </w:rPr>
        <w:t>820TiB，</w:t>
      </w:r>
      <w:r>
        <w:rPr>
          <w:rFonts w:hint="eastAsia" w:ascii="仿宋_GB2312" w:hAnsi="仿宋_GB2312" w:eastAsia="仿宋_GB2312" w:cs="仿宋_GB2312"/>
          <w:b w:val="0"/>
          <w:bCs w:val="0"/>
          <w:color w:val="auto"/>
          <w:lang w:eastAsia="zh-CN"/>
        </w:rPr>
        <w:t>裸容量不低于1PB，满足业务数据值增长需求。</w:t>
      </w:r>
    </w:p>
    <w:p>
      <w:pPr>
        <w:pStyle w:val="4"/>
        <w:keepNext w:val="0"/>
        <w:spacing w:before="0" w:after="0" w:line="360" w:lineRule="auto"/>
        <w:ind w:left="0" w:leftChars="0" w:firstLine="481" w:firstLineChars="171"/>
        <w:outlineLvl w:val="0"/>
        <w:rPr>
          <w:rFonts w:ascii="仿宋_GB2312" w:hAnsi="仿宋_GB2312" w:eastAsia="仿宋_GB2312" w:cs="仿宋_GB2312"/>
          <w:b/>
          <w:bCs/>
          <w:sz w:val="28"/>
          <w:szCs w:val="28"/>
        </w:rPr>
      </w:pPr>
      <w:bookmarkStart w:id="26" w:name="_Toc14418"/>
      <w:bookmarkStart w:id="27" w:name="_Toc6834"/>
      <w:bookmarkStart w:id="28" w:name="_Toc23984"/>
      <w:bookmarkStart w:id="29" w:name="_Toc20512"/>
      <w:bookmarkStart w:id="30" w:name="_Toc23058"/>
      <w:bookmarkStart w:id="31" w:name="_Toc15904"/>
      <w:bookmarkStart w:id="32" w:name="_Toc5341"/>
      <w:bookmarkStart w:id="33" w:name="_Toc10114"/>
      <w:bookmarkStart w:id="34" w:name="_Toc11828"/>
      <w:bookmarkStart w:id="35" w:name="_Toc17649"/>
      <w:bookmarkStart w:id="36" w:name="_Toc2994"/>
      <w:bookmarkStart w:id="37" w:name="_Toc30764"/>
      <w:bookmarkStart w:id="38" w:name="_Toc123"/>
      <w:r>
        <w:rPr>
          <w:rFonts w:ascii="仿宋_GB2312" w:hAnsi="仿宋_GB2312" w:eastAsia="仿宋_GB2312" w:cs="仿宋_GB2312"/>
          <w:i w:val="0"/>
          <w:iCs w:val="0"/>
        </w:rPr>
        <w:t>1.2项目内容</w:t>
      </w:r>
      <w:bookmarkEnd w:id="26"/>
      <w:bookmarkEnd w:id="27"/>
      <w:bookmarkEnd w:id="28"/>
      <w:bookmarkEnd w:id="29"/>
      <w:bookmarkEnd w:id="30"/>
      <w:bookmarkEnd w:id="31"/>
      <w:bookmarkEnd w:id="32"/>
      <w:bookmarkEnd w:id="33"/>
      <w:bookmarkEnd w:id="34"/>
      <w:bookmarkEnd w:id="35"/>
      <w:bookmarkEnd w:id="36"/>
      <w:bookmarkEnd w:id="37"/>
      <w:bookmarkEnd w:id="38"/>
    </w:p>
    <w:p>
      <w:pPr>
        <w:spacing w:before="0" w:after="0" w:line="360" w:lineRule="auto"/>
        <w:ind w:left="0" w:leftChars="0" w:firstLine="480" w:firstLineChars="0"/>
        <w:rPr>
          <w:rFonts w:hint="eastAsia" w:ascii="仿宋_GB2312" w:hAnsi="仿宋_GB2312" w:eastAsia="仿宋_GB2312" w:cs="仿宋_GB2312"/>
          <w:b w:val="0"/>
          <w:bCs w:val="0"/>
          <w:color w:val="auto"/>
          <w:sz w:val="24"/>
          <w:szCs w:val="24"/>
          <w:lang w:eastAsia="zh-CN"/>
        </w:rPr>
      </w:pPr>
      <w:r>
        <w:rPr>
          <w:rFonts w:hint="eastAsia" w:ascii="仿宋_GB2312" w:hAnsi="仿宋_GB2312" w:eastAsia="仿宋_GB2312" w:cs="仿宋_GB2312"/>
          <w:b w:val="0"/>
          <w:bCs w:val="0"/>
          <w:color w:val="auto"/>
          <w:sz w:val="24"/>
          <w:szCs w:val="24"/>
          <w:lang w:val="en-US" w:eastAsia="zh-CN"/>
        </w:rPr>
        <w:t>采购一台新的全闪存储的高端存储设备，</w:t>
      </w:r>
      <w:r>
        <w:rPr>
          <w:rFonts w:hint="eastAsia" w:ascii="仿宋_GB2312" w:hAnsi="仿宋_GB2312" w:eastAsia="仿宋_GB2312" w:cs="仿宋_GB2312"/>
          <w:b w:val="0"/>
          <w:bCs w:val="0"/>
          <w:color w:val="auto"/>
          <w:lang w:eastAsia="zh-CN"/>
        </w:rPr>
        <w:t>可用容量不低于</w:t>
      </w:r>
      <w:r>
        <w:rPr>
          <w:rFonts w:hint="eastAsia" w:ascii="仿宋_GB2312" w:hAnsi="仿宋_GB2312" w:eastAsia="仿宋_GB2312" w:cs="仿宋_GB2312"/>
          <w:b w:val="0"/>
          <w:bCs w:val="0"/>
          <w:color w:val="auto"/>
          <w:lang w:val="en-US" w:eastAsia="zh-CN"/>
        </w:rPr>
        <w:t>820TiB，</w:t>
      </w:r>
      <w:r>
        <w:rPr>
          <w:rFonts w:hint="eastAsia" w:ascii="仿宋_GB2312" w:hAnsi="仿宋_GB2312" w:eastAsia="仿宋_GB2312" w:cs="仿宋_GB2312"/>
          <w:b w:val="0"/>
          <w:bCs w:val="0"/>
          <w:color w:val="auto"/>
          <w:sz w:val="24"/>
          <w:szCs w:val="24"/>
          <w:lang w:val="en-US" w:eastAsia="zh-CN"/>
        </w:rPr>
        <w:t>裸容量不低于1PB，提供此次采购设备的原厂安装、配置、测试、相关许可授权、五年原厂质保服务、提供五年硬盘不返还服务等，并根据采购方需要提供数据迁移服务。</w:t>
      </w:r>
    </w:p>
    <w:p/>
    <w:p>
      <w:pPr>
        <w:pStyle w:val="2"/>
        <w:keepNext w:val="0"/>
        <w:spacing w:before="0" w:after="0" w:line="360" w:lineRule="auto"/>
        <w:ind w:left="0" w:leftChars="0" w:firstLine="482" w:firstLineChars="150"/>
        <w:jc w:val="left"/>
        <w:rPr>
          <w:rFonts w:ascii="仿宋_GB2312" w:hAnsi="仿宋_GB2312" w:eastAsia="仿宋_GB2312" w:cs="仿宋_GB2312"/>
          <w:b/>
          <w:bCs/>
          <w:sz w:val="32"/>
          <w:szCs w:val="32"/>
        </w:rPr>
      </w:pPr>
      <w:bookmarkStart w:id="39" w:name="_Toc25877"/>
      <w:bookmarkStart w:id="40" w:name="_Toc23822"/>
      <w:bookmarkStart w:id="41" w:name="_Toc11870"/>
      <w:bookmarkStart w:id="42" w:name="_Toc15412"/>
      <w:bookmarkStart w:id="43" w:name="_Toc12062"/>
      <w:bookmarkStart w:id="44" w:name="_Toc29679"/>
      <w:bookmarkStart w:id="45" w:name="_Toc6698"/>
      <w:bookmarkStart w:id="46" w:name="_Toc9759"/>
      <w:bookmarkStart w:id="47" w:name="_Toc22550"/>
      <w:bookmarkStart w:id="48" w:name="_Toc14082"/>
      <w:bookmarkStart w:id="49" w:name="_Toc3966"/>
      <w:bookmarkStart w:id="50" w:name="_Toc2178"/>
      <w:bookmarkStart w:id="51" w:name="_Toc14261"/>
      <w:r>
        <w:rPr>
          <w:rFonts w:hint="eastAsia" w:ascii="仿宋_GB2312" w:hAnsi="仿宋_GB2312" w:eastAsia="仿宋_GB2312" w:cs="仿宋_GB2312"/>
          <w:kern w:val="36"/>
          <w:lang w:eastAsia="zh-CN"/>
        </w:rPr>
        <w:t>第二章</w:t>
      </w:r>
      <w:r>
        <w:rPr>
          <w:rFonts w:hint="eastAsia" w:ascii="仿宋_GB2312" w:hAnsi="仿宋_GB2312" w:eastAsia="仿宋_GB2312" w:cs="仿宋_GB2312"/>
          <w:kern w:val="36"/>
          <w:lang w:val="en-US" w:eastAsia="zh-CN"/>
        </w:rPr>
        <w:t xml:space="preserve"> </w:t>
      </w:r>
      <w:r>
        <w:rPr>
          <w:rFonts w:ascii="仿宋_GB2312" w:hAnsi="仿宋_GB2312" w:eastAsia="仿宋_GB2312" w:cs="仿宋_GB2312"/>
          <w:kern w:val="36"/>
        </w:rPr>
        <w:t>项目需求</w:t>
      </w:r>
      <w:bookmarkEnd w:id="39"/>
      <w:bookmarkEnd w:id="40"/>
      <w:bookmarkEnd w:id="41"/>
      <w:bookmarkEnd w:id="42"/>
      <w:bookmarkEnd w:id="43"/>
      <w:bookmarkEnd w:id="44"/>
      <w:bookmarkEnd w:id="45"/>
      <w:bookmarkEnd w:id="46"/>
      <w:bookmarkEnd w:id="47"/>
      <w:bookmarkEnd w:id="48"/>
      <w:bookmarkEnd w:id="49"/>
      <w:bookmarkEnd w:id="50"/>
      <w:bookmarkEnd w:id="51"/>
    </w:p>
    <w:p>
      <w:pPr>
        <w:pStyle w:val="4"/>
        <w:keepNext w:val="0"/>
        <w:spacing w:before="0" w:after="0" w:line="360" w:lineRule="auto"/>
        <w:ind w:firstLine="562" w:firstLineChars="200"/>
        <w:outlineLvl w:val="0"/>
        <w:rPr>
          <w:rFonts w:ascii="仿宋_GB2312" w:hAnsi="仿宋_GB2312" w:eastAsia="仿宋_GB2312" w:cs="仿宋_GB2312"/>
          <w:b/>
          <w:bCs/>
          <w:sz w:val="28"/>
          <w:szCs w:val="28"/>
        </w:rPr>
      </w:pPr>
      <w:bookmarkStart w:id="52" w:name="_Toc2459"/>
      <w:bookmarkStart w:id="53" w:name="_Toc884"/>
      <w:bookmarkStart w:id="54" w:name="_Toc7709"/>
      <w:bookmarkStart w:id="55" w:name="_Toc26783"/>
      <w:bookmarkStart w:id="56" w:name="_Toc15482"/>
      <w:bookmarkStart w:id="57" w:name="_Toc14069"/>
      <w:bookmarkStart w:id="58" w:name="_Toc19905"/>
      <w:bookmarkStart w:id="59" w:name="_Toc8429"/>
      <w:bookmarkStart w:id="60" w:name="_Toc522"/>
      <w:bookmarkStart w:id="61" w:name="_Toc29650"/>
      <w:bookmarkStart w:id="62" w:name="_Toc5995"/>
      <w:bookmarkStart w:id="63" w:name="_Toc6947"/>
      <w:bookmarkStart w:id="64" w:name="_Toc25000"/>
      <w:r>
        <w:rPr>
          <w:rFonts w:hint="eastAsia" w:ascii="仿宋_GB2312" w:hAnsi="仿宋_GB2312" w:eastAsia="仿宋_GB2312" w:cs="仿宋_GB2312"/>
          <w:i w:val="0"/>
          <w:iCs w:val="0"/>
          <w:lang w:val="en-US" w:eastAsia="zh-CN"/>
        </w:rPr>
        <w:t>2</w:t>
      </w:r>
      <w:r>
        <w:rPr>
          <w:rFonts w:ascii="仿宋_GB2312" w:hAnsi="仿宋_GB2312" w:eastAsia="仿宋_GB2312" w:cs="仿宋_GB2312"/>
          <w:i w:val="0"/>
          <w:iCs w:val="0"/>
        </w:rPr>
        <w:t>.1总体要求</w:t>
      </w:r>
      <w:bookmarkEnd w:id="52"/>
      <w:bookmarkEnd w:id="53"/>
      <w:bookmarkEnd w:id="54"/>
      <w:bookmarkEnd w:id="55"/>
      <w:bookmarkEnd w:id="56"/>
      <w:bookmarkEnd w:id="57"/>
      <w:bookmarkEnd w:id="58"/>
      <w:bookmarkEnd w:id="59"/>
      <w:bookmarkEnd w:id="60"/>
      <w:bookmarkEnd w:id="61"/>
      <w:bookmarkEnd w:id="62"/>
      <w:bookmarkEnd w:id="63"/>
      <w:bookmarkEnd w:id="64"/>
    </w:p>
    <w:p>
      <w:pPr>
        <w:pStyle w:val="19"/>
        <w:spacing w:before="0" w:after="0" w:line="360" w:lineRule="auto"/>
        <w:ind w:left="0" w:right="0" w:firstLine="561"/>
        <w:rPr>
          <w:rFonts w:hint="eastAsia" w:ascii="仿宋_GB2312" w:hAnsi="仿宋_GB2312" w:eastAsia="仿宋_GB2312" w:cs="仿宋_GB2312"/>
          <w:color w:val="auto"/>
          <w:sz w:val="24"/>
          <w:szCs w:val="24"/>
          <w:lang w:val="en-US" w:eastAsia="en-US"/>
        </w:rPr>
      </w:pPr>
      <w:r>
        <w:rPr>
          <w:rFonts w:hint="eastAsia" w:ascii="仿宋_GB2312" w:hAnsi="仿宋_GB2312" w:eastAsia="仿宋_GB2312" w:cs="仿宋_GB2312"/>
          <w:color w:val="auto"/>
          <w:sz w:val="24"/>
          <w:szCs w:val="24"/>
          <w:lang w:val="en-US" w:eastAsia="zh-CN"/>
        </w:rPr>
        <w:t>采购一台新的全闪存储的高端存储设备，全闪SSD</w:t>
      </w:r>
      <w:r>
        <w:rPr>
          <w:rFonts w:hint="eastAsia" w:ascii="仿宋_GB2312" w:hAnsi="仿宋_GB2312" w:eastAsia="仿宋_GB2312" w:cs="仿宋_GB2312"/>
          <w:b w:val="0"/>
          <w:bCs w:val="0"/>
          <w:color w:val="auto"/>
          <w:lang w:eastAsia="zh-CN"/>
        </w:rPr>
        <w:t>可用容量不低于</w:t>
      </w:r>
      <w:r>
        <w:rPr>
          <w:rFonts w:hint="eastAsia" w:ascii="仿宋_GB2312" w:hAnsi="仿宋_GB2312" w:eastAsia="仿宋_GB2312" w:cs="仿宋_GB2312"/>
          <w:b w:val="0"/>
          <w:bCs w:val="0"/>
          <w:color w:val="auto"/>
          <w:lang w:val="en-US" w:eastAsia="zh-CN"/>
        </w:rPr>
        <w:t>820TiB，</w:t>
      </w:r>
      <w:r>
        <w:rPr>
          <w:rFonts w:hint="eastAsia" w:ascii="仿宋_GB2312" w:hAnsi="仿宋_GB2312" w:eastAsia="仿宋_GB2312" w:cs="仿宋_GB2312"/>
          <w:color w:val="auto"/>
          <w:sz w:val="24"/>
          <w:szCs w:val="24"/>
          <w:lang w:val="en-US" w:eastAsia="zh-CN"/>
        </w:rPr>
        <w:t>裸容量不低于1PB，提供此次采购设备的原厂安装、配置、测试、相关许可授权、五年原厂质保服务、提供五年硬盘不返还服务等，并根据采购方需要提供数据迁移服务。</w:t>
      </w:r>
    </w:p>
    <w:p>
      <w:pPr>
        <w:pStyle w:val="4"/>
        <w:spacing w:before="0" w:after="0" w:line="360" w:lineRule="auto"/>
        <w:ind w:firstLine="562" w:firstLineChars="200"/>
        <w:outlineLvl w:val="0"/>
      </w:pPr>
      <w:bookmarkStart w:id="65" w:name="_Toc16043"/>
      <w:bookmarkStart w:id="66" w:name="_Toc31661"/>
      <w:bookmarkStart w:id="67" w:name="_Toc30921"/>
      <w:bookmarkStart w:id="68" w:name="_Toc6067"/>
      <w:bookmarkStart w:id="69" w:name="_Toc28374"/>
      <w:bookmarkStart w:id="70" w:name="_Toc7161"/>
      <w:bookmarkStart w:id="71" w:name="_Toc21396"/>
      <w:bookmarkStart w:id="72" w:name="_Toc21783"/>
      <w:bookmarkStart w:id="73" w:name="_Toc21309"/>
      <w:bookmarkStart w:id="74" w:name="_Toc13610"/>
      <w:bookmarkStart w:id="75" w:name="_Toc13464"/>
      <w:bookmarkStart w:id="76" w:name="_Toc9093"/>
      <w:bookmarkStart w:id="77" w:name="_Toc12955"/>
      <w:r>
        <w:rPr>
          <w:rFonts w:hint="eastAsia" w:ascii="仿宋_GB2312" w:hAnsi="仿宋_GB2312" w:eastAsia="仿宋_GB2312" w:cs="仿宋_GB2312"/>
          <w:i w:val="0"/>
          <w:iCs w:val="0"/>
          <w:lang w:val="en-US" w:eastAsia="zh-CN"/>
        </w:rPr>
        <w:t>2</w:t>
      </w:r>
      <w:r>
        <w:rPr>
          <w:rFonts w:ascii="仿宋_GB2312" w:hAnsi="仿宋_GB2312" w:eastAsia="仿宋_GB2312" w:cs="仿宋_GB2312"/>
          <w:i w:val="0"/>
          <w:iCs w:val="0"/>
        </w:rPr>
        <w:t>.2采购产品一览表</w:t>
      </w:r>
      <w:bookmarkEnd w:id="65"/>
      <w:bookmarkEnd w:id="66"/>
      <w:bookmarkEnd w:id="67"/>
      <w:bookmarkEnd w:id="68"/>
      <w:bookmarkEnd w:id="69"/>
      <w:bookmarkEnd w:id="70"/>
      <w:bookmarkEnd w:id="71"/>
      <w:bookmarkEnd w:id="72"/>
      <w:bookmarkEnd w:id="73"/>
      <w:bookmarkEnd w:id="74"/>
      <w:bookmarkEnd w:id="75"/>
      <w:bookmarkEnd w:id="76"/>
      <w:bookmarkEnd w:id="77"/>
    </w:p>
    <w:tbl>
      <w:tblPr>
        <w:tblStyle w:val="14"/>
        <w:tblW w:w="5000" w:type="pct"/>
        <w:tblInd w:w="30" w:type="dxa"/>
        <w:tblLayout w:type="autofit"/>
        <w:tblCellMar>
          <w:top w:w="15" w:type="dxa"/>
          <w:left w:w="15" w:type="dxa"/>
          <w:bottom w:w="15" w:type="dxa"/>
          <w:right w:w="15" w:type="dxa"/>
        </w:tblCellMar>
      </w:tblPr>
      <w:tblGrid>
        <w:gridCol w:w="940"/>
        <w:gridCol w:w="1881"/>
        <w:gridCol w:w="1881"/>
        <w:gridCol w:w="1881"/>
        <w:gridCol w:w="1881"/>
        <w:gridCol w:w="940"/>
      </w:tblGrid>
      <w:tr>
        <w:tblPrEx>
          <w:tblCellMar>
            <w:top w:w="15" w:type="dxa"/>
            <w:left w:w="15" w:type="dxa"/>
            <w:bottom w:w="15" w:type="dxa"/>
            <w:right w:w="15"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序号</w:t>
            </w:r>
          </w:p>
        </w:tc>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产品类别</w:t>
            </w:r>
          </w:p>
        </w:tc>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产品名称</w:t>
            </w:r>
          </w:p>
        </w:tc>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数量</w:t>
            </w:r>
          </w:p>
        </w:tc>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单位</w:t>
            </w:r>
          </w:p>
        </w:tc>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备注</w:t>
            </w:r>
          </w:p>
        </w:tc>
      </w:tr>
      <w:tr>
        <w:tblPrEx>
          <w:tblCellMar>
            <w:top w:w="15" w:type="dxa"/>
            <w:left w:w="15" w:type="dxa"/>
            <w:bottom w:w="15" w:type="dxa"/>
            <w:right w:w="15" w:type="dxa"/>
          </w:tblCellMar>
        </w:tblPrEx>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hint="eastAsia" w:ascii="仿宋_GB2312" w:hAnsi="仿宋_GB2312" w:eastAsia="仿宋_GB2312" w:cs="仿宋_GB2312"/>
                <w:color w:val="auto"/>
                <w:sz w:val="24"/>
                <w:szCs w:val="24"/>
                <w:lang w:val="en-US" w:eastAsia="zh-CN" w:bidi="ar-SA"/>
              </w:rPr>
            </w:pPr>
            <w:r>
              <w:rPr>
                <w:rFonts w:hint="eastAsia" w:ascii="仿宋_GB2312" w:hAnsi="仿宋_GB2312" w:eastAsia="仿宋_GB2312" w:cs="仿宋_GB2312"/>
                <w:color w:val="auto"/>
                <w:sz w:val="24"/>
                <w:szCs w:val="24"/>
                <w:lang w:val="en-US" w:eastAsia="zh-CN" w:bidi="ar-SA"/>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hint="eastAsia" w:ascii="仿宋_GB2312" w:hAnsi="仿宋_GB2312" w:eastAsia="仿宋_GB2312" w:cs="仿宋_GB2312"/>
                <w:color w:val="auto"/>
                <w:sz w:val="24"/>
                <w:szCs w:val="24"/>
                <w:lang w:val="en-US" w:eastAsia="zh-CN" w:bidi="ar-SA"/>
              </w:rPr>
            </w:pPr>
            <w:r>
              <w:rPr>
                <w:rFonts w:hint="eastAsia" w:ascii="仿宋_GB2312" w:hAnsi="仿宋_GB2312" w:eastAsia="仿宋_GB2312" w:cs="仿宋_GB2312"/>
                <w:color w:val="auto"/>
                <w:sz w:val="24"/>
                <w:szCs w:val="24"/>
                <w:lang w:val="en-US" w:eastAsia="zh-CN" w:bidi="ar-SA"/>
              </w:rPr>
              <w:t>高端存储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hint="eastAsia" w:ascii="仿宋_GB2312" w:hAnsi="仿宋_GB2312" w:eastAsia="仿宋_GB2312" w:cs="仿宋_GB2312"/>
                <w:color w:val="auto"/>
                <w:sz w:val="24"/>
                <w:szCs w:val="24"/>
                <w:lang w:val="en-US" w:eastAsia="zh-CN" w:bidi="ar-SA"/>
              </w:rPr>
            </w:pPr>
            <w:r>
              <w:rPr>
                <w:rFonts w:hint="eastAsia" w:ascii="仿宋_GB2312" w:hAnsi="仿宋_GB2312" w:eastAsia="仿宋_GB2312" w:cs="仿宋_GB2312"/>
                <w:color w:val="auto"/>
                <w:sz w:val="24"/>
                <w:szCs w:val="24"/>
                <w:lang w:val="en-US" w:eastAsia="zh-CN" w:bidi="ar-SA"/>
              </w:rPr>
              <w:t>全闪存SSD高端存储</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hint="eastAsia" w:ascii="仿宋_GB2312" w:hAnsi="仿宋_GB2312" w:eastAsia="仿宋_GB2312" w:cs="仿宋_GB2312"/>
                <w:color w:val="auto"/>
                <w:sz w:val="24"/>
                <w:szCs w:val="24"/>
                <w:lang w:val="en-US" w:eastAsia="zh-CN" w:bidi="ar-SA"/>
              </w:rPr>
            </w:pPr>
            <w:r>
              <w:rPr>
                <w:rFonts w:hint="eastAsia" w:ascii="仿宋_GB2312" w:hAnsi="仿宋_GB2312" w:eastAsia="仿宋_GB2312" w:cs="仿宋_GB2312"/>
                <w:color w:val="auto"/>
                <w:sz w:val="24"/>
                <w:szCs w:val="24"/>
                <w:lang w:val="en-US" w:eastAsia="zh-CN" w:bidi="ar-SA"/>
              </w:rPr>
              <w:t>1</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hint="eastAsia" w:ascii="仿宋_GB2312" w:hAnsi="仿宋_GB2312" w:eastAsia="仿宋_GB2312" w:cs="仿宋_GB2312"/>
                <w:color w:val="auto"/>
                <w:sz w:val="24"/>
                <w:szCs w:val="24"/>
                <w:lang w:val="en-US" w:eastAsia="zh-CN" w:bidi="ar-SA"/>
              </w:rPr>
            </w:pPr>
            <w:r>
              <w:rPr>
                <w:rFonts w:hint="eastAsia" w:ascii="仿宋_GB2312" w:hAnsi="仿宋_GB2312" w:eastAsia="仿宋_GB2312" w:cs="仿宋_GB2312"/>
                <w:color w:val="auto"/>
                <w:sz w:val="24"/>
                <w:szCs w:val="24"/>
                <w:lang w:val="en-US" w:eastAsia="zh-CN" w:bidi="ar-SA"/>
              </w:rPr>
              <w:t>台</w:t>
            </w:r>
          </w:p>
        </w:tc>
        <w:tc>
          <w:tcPr>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center"/>
              <w:rPr>
                <w:rFonts w:hint="eastAsia" w:ascii="仿宋_GB2312" w:hAnsi="仿宋_GB2312" w:eastAsia="仿宋_GB2312" w:cs="仿宋_GB2312"/>
                <w:color w:val="auto"/>
                <w:sz w:val="24"/>
                <w:szCs w:val="24"/>
                <w:lang w:val="en-US" w:eastAsia="zh-CN" w:bidi="ar-SA"/>
              </w:rPr>
            </w:pPr>
            <w:r>
              <w:rPr>
                <w:rFonts w:hint="eastAsia" w:ascii="仿宋_GB2312" w:hAnsi="仿宋_GB2312" w:eastAsia="仿宋_GB2312" w:cs="仿宋_GB2312"/>
                <w:color w:val="auto"/>
                <w:sz w:val="24"/>
                <w:szCs w:val="24"/>
                <w:lang w:val="en-US" w:eastAsia="zh-CN" w:bidi="ar-SA"/>
              </w:rPr>
              <w:t>备注</w:t>
            </w:r>
          </w:p>
        </w:tc>
      </w:tr>
    </w:tbl>
    <w:p>
      <w:pPr>
        <w:pStyle w:val="4"/>
        <w:keepNext w:val="0"/>
        <w:spacing w:before="0" w:after="0" w:line="360" w:lineRule="auto"/>
        <w:ind w:firstLine="562" w:firstLineChars="200"/>
        <w:outlineLvl w:val="0"/>
        <w:rPr>
          <w:rFonts w:ascii="仿宋_GB2312" w:hAnsi="仿宋_GB2312" w:eastAsia="仿宋_GB2312" w:cs="仿宋_GB2312"/>
          <w:i w:val="0"/>
          <w:iCs w:val="0"/>
        </w:rPr>
      </w:pPr>
      <w:bookmarkStart w:id="78" w:name="_Toc23518"/>
      <w:bookmarkStart w:id="79" w:name="_Toc869"/>
      <w:bookmarkStart w:id="80" w:name="_Toc24880"/>
      <w:bookmarkStart w:id="81" w:name="_Toc9209"/>
    </w:p>
    <w:p>
      <w:pPr>
        <w:pStyle w:val="4"/>
        <w:keepNext w:val="0"/>
        <w:spacing w:before="0" w:after="0" w:line="360" w:lineRule="auto"/>
        <w:ind w:firstLine="562" w:firstLineChars="200"/>
        <w:outlineLvl w:val="0"/>
        <w:rPr>
          <w:rFonts w:ascii="仿宋_GB2312" w:hAnsi="仿宋_GB2312" w:eastAsia="仿宋_GB2312" w:cs="仿宋_GB2312"/>
          <w:i w:val="0"/>
          <w:iCs w:val="0"/>
        </w:rPr>
      </w:pPr>
      <w:bookmarkStart w:id="82" w:name="_Toc6637"/>
      <w:bookmarkStart w:id="83" w:name="_Toc21472"/>
      <w:bookmarkStart w:id="84" w:name="_Toc14102"/>
      <w:bookmarkStart w:id="85" w:name="_Toc4835"/>
      <w:bookmarkStart w:id="86" w:name="_Toc17276"/>
      <w:bookmarkStart w:id="87" w:name="_Toc10476"/>
      <w:bookmarkStart w:id="88" w:name="_Toc15254"/>
      <w:bookmarkStart w:id="89" w:name="_Toc17637"/>
      <w:bookmarkStart w:id="90" w:name="_Toc21170"/>
      <w:r>
        <w:rPr>
          <w:rFonts w:hint="eastAsia" w:ascii="仿宋_GB2312" w:hAnsi="仿宋_GB2312" w:eastAsia="仿宋_GB2312" w:cs="仿宋_GB2312"/>
          <w:i w:val="0"/>
          <w:iCs w:val="0"/>
          <w:lang w:val="en-US" w:eastAsia="zh-CN"/>
        </w:rPr>
        <w:t>2</w:t>
      </w:r>
      <w:r>
        <w:rPr>
          <w:rFonts w:ascii="仿宋_GB2312" w:hAnsi="仿宋_GB2312" w:eastAsia="仿宋_GB2312" w:cs="仿宋_GB2312"/>
          <w:i w:val="0"/>
          <w:iCs w:val="0"/>
        </w:rPr>
        <w:t>.3采购产品详细清单及技术指标</w:t>
      </w:r>
      <w:bookmarkEnd w:id="78"/>
      <w:bookmarkEnd w:id="79"/>
      <w:bookmarkEnd w:id="80"/>
      <w:bookmarkEnd w:id="81"/>
      <w:bookmarkEnd w:id="82"/>
      <w:bookmarkEnd w:id="83"/>
      <w:bookmarkEnd w:id="84"/>
      <w:bookmarkEnd w:id="85"/>
      <w:bookmarkEnd w:id="86"/>
      <w:bookmarkEnd w:id="87"/>
      <w:bookmarkEnd w:id="88"/>
      <w:bookmarkEnd w:id="89"/>
      <w:bookmarkEnd w:id="90"/>
      <w:bookmarkStart w:id="91" w:name="_Toc31412"/>
      <w:bookmarkStart w:id="92" w:name="_Toc20033"/>
      <w:bookmarkStart w:id="93" w:name="_Toc17549"/>
      <w:bookmarkStart w:id="94" w:name="_Toc32607"/>
    </w:p>
    <w:tbl>
      <w:tblPr>
        <w:tblStyle w:val="14"/>
        <w:tblW w:w="7979" w:type="dxa"/>
        <w:tblInd w:w="93" w:type="dxa"/>
        <w:tblLayout w:type="autofit"/>
        <w:tblCellMar>
          <w:top w:w="0" w:type="dxa"/>
          <w:left w:w="108" w:type="dxa"/>
          <w:bottom w:w="0" w:type="dxa"/>
          <w:right w:w="108" w:type="dxa"/>
        </w:tblCellMar>
      </w:tblPr>
      <w:tblGrid>
        <w:gridCol w:w="510"/>
        <w:gridCol w:w="1139"/>
        <w:gridCol w:w="6330"/>
      </w:tblGrid>
      <w:tr>
        <w:tblPrEx>
          <w:tblCellMar>
            <w:top w:w="0" w:type="dxa"/>
            <w:left w:w="108" w:type="dxa"/>
            <w:bottom w:w="0" w:type="dxa"/>
            <w:right w:w="108" w:type="dxa"/>
          </w:tblCellMar>
        </w:tblPrEx>
        <w:trPr>
          <w:trHeight w:val="720" w:hRule="atLeast"/>
        </w:trPr>
        <w:tc>
          <w:tcPr>
            <w:tcW w:w="510" w:type="dxa"/>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b/>
                <w:bCs/>
              </w:rPr>
            </w:pPr>
            <w:bookmarkStart w:id="95" w:name="_Toc8726"/>
            <w:bookmarkStart w:id="96" w:name="_Toc30856"/>
            <w:bookmarkStart w:id="97" w:name="_Toc7105"/>
            <w:bookmarkStart w:id="98" w:name="_Toc5645"/>
            <w:bookmarkStart w:id="99" w:name="_Toc17653"/>
            <w:bookmarkStart w:id="100" w:name="_Toc14611"/>
            <w:bookmarkStart w:id="101" w:name="_Toc20677"/>
            <w:r>
              <w:rPr>
                <w:rFonts w:ascii="仿宋_GB2312" w:hAnsi="仿宋_GB2312" w:eastAsia="仿宋_GB2312" w:cs="仿宋_GB2312"/>
                <w:b/>
                <w:bCs/>
              </w:rPr>
              <w:t>序号</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b/>
                <w:bCs/>
              </w:rPr>
            </w:pPr>
            <w:r>
              <w:rPr>
                <w:rFonts w:ascii="仿宋_GB2312" w:hAnsi="仿宋_GB2312" w:eastAsia="仿宋_GB2312" w:cs="仿宋_GB2312"/>
                <w:b/>
                <w:bCs/>
              </w:rPr>
              <w:t>指标种类</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center"/>
              <w:rPr>
                <w:rFonts w:ascii="仿宋_GB2312" w:hAnsi="仿宋_GB2312" w:eastAsia="仿宋_GB2312" w:cs="仿宋_GB2312"/>
                <w:b/>
                <w:bCs/>
              </w:rPr>
            </w:pPr>
            <w:r>
              <w:rPr>
                <w:rFonts w:ascii="仿宋_GB2312" w:hAnsi="仿宋_GB2312" w:eastAsia="仿宋_GB2312" w:cs="仿宋_GB2312"/>
                <w:b/>
                <w:bCs/>
              </w:rPr>
              <w:t>具体指标内容</w:t>
            </w:r>
          </w:p>
        </w:tc>
      </w:tr>
      <w:tr>
        <w:tblPrEx>
          <w:tblCellMar>
            <w:top w:w="0" w:type="dxa"/>
            <w:left w:w="108" w:type="dxa"/>
            <w:bottom w:w="0" w:type="dxa"/>
            <w:right w:w="108" w:type="dxa"/>
          </w:tblCellMar>
        </w:tblPrEx>
        <w:trPr>
          <w:trHeight w:val="48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1</w:t>
            </w:r>
          </w:p>
        </w:tc>
        <w:tc>
          <w:tcPr>
            <w:tcW w:w="1139" w:type="dxa"/>
            <w:vMerge w:val="restart"/>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关键指标</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CPU主频≥2.2GHz，配置≥4个控制器，每个控制器配置≥2颗CPU，控制器总核心数≥256核（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p>
        </w:tc>
        <w:tc>
          <w:tcPr>
            <w:tcW w:w="1139" w:type="dxa"/>
            <w:vMerge w:val="continue"/>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★高速缓存容量配置≥4TB，且任意控制器高速缓存容量≥1TB（缓存不包含SSD磁盘、PCI-E SSD、闪存、压缩或重删缓存和NAS控制器缓存）。（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p>
        </w:tc>
        <w:tc>
          <w:tcPr>
            <w:tcW w:w="1139" w:type="dxa"/>
            <w:vMerge w:val="continue"/>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★硬盘裸容量≥1PB，采用RAID6数据保护时，实际可用容量≥820TiB，配置≥134个7.68TB企业级双端口NVMe SSD硬盘（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8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p>
        </w:tc>
        <w:tc>
          <w:tcPr>
            <w:tcW w:w="1139" w:type="dxa"/>
            <w:vMerge w:val="continue"/>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hint="default" w:ascii="仿宋_GB2312" w:hAnsi="仿宋_GB2312" w:eastAsia="仿宋_GB2312" w:cs="仿宋_GB2312"/>
              </w:rPr>
            </w:pPr>
            <w:r>
              <w:rPr>
                <w:rFonts w:ascii="仿宋_GB2312" w:hAnsi="仿宋_GB2312" w:eastAsia="仿宋_GB2312" w:cs="仿宋_GB2312"/>
              </w:rPr>
              <w:t>★配置≥32*10Gb Ethernet接口（满配多模光模块），≥32*32Gb国产FC接口（满配多模光模块），配置≥8*100Gb Ethernet接口（满配多模光模块）。</w:t>
            </w:r>
            <w:r>
              <w:rPr>
                <w:rFonts w:ascii="仿宋_GB2312" w:hAnsi="仿宋_GB2312" w:eastAsia="仿宋_GB2312" w:cs="仿宋_GB2312"/>
                <w:b/>
              </w:rPr>
              <w:t>（投标时提交承诺，承诺可参照“投标文件格式”中《承诺函》格式）</w:t>
            </w:r>
            <w:r>
              <w:rPr>
                <w:rFonts w:ascii="仿宋_GB2312" w:hAnsi="仿宋_GB2312" w:eastAsia="仿宋_GB2312" w:cs="仿宋_GB2312"/>
              </w:rPr>
              <w:t>。</w:t>
            </w:r>
          </w:p>
        </w:tc>
      </w:tr>
      <w:tr>
        <w:tblPrEx>
          <w:tblCellMar>
            <w:top w:w="0" w:type="dxa"/>
            <w:left w:w="108" w:type="dxa"/>
            <w:bottom w:w="0" w:type="dxa"/>
            <w:right w:w="108" w:type="dxa"/>
          </w:tblCellMar>
        </w:tblPrEx>
        <w:trPr>
          <w:trHeight w:val="48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p>
        </w:tc>
        <w:tc>
          <w:tcPr>
            <w:tcW w:w="1139" w:type="dxa"/>
            <w:vMerge w:val="continue"/>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高端全闪存架构存储，实配盘控分离存储架构，SAN/NAS一体设计：控制器采用对称AA架构，LUN无归属控制器。（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p>
        </w:tc>
        <w:tc>
          <w:tcPr>
            <w:tcW w:w="1139" w:type="dxa"/>
            <w:vMerge w:val="continue"/>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CPU支持国密算法，通过中国信息安全测评中心安全可靠测评（投标时提供中国信息安全测评中心官网（https://www.itsec.gov.cn/）或国家保密科技测评中心官网（http://www.nsstec.org.cn/）发布的安全可靠测评结果公告的截图，并在对应产品处进行标识</w:t>
            </w:r>
            <w:r>
              <w:rPr>
                <w:rFonts w:hint="default" w:ascii="仿宋_GB2312" w:hAnsi="仿宋_GB2312" w:eastAsia="仿宋_GB2312" w:cs="仿宋_GB2312"/>
              </w:rPr>
              <w:t>。</w:t>
            </w:r>
            <w:r>
              <w:rPr>
                <w:rFonts w:ascii="仿宋_GB2312" w:hAnsi="仿宋_GB2312" w:eastAsia="仿宋_GB2312" w:cs="仿宋_GB2312"/>
              </w:rPr>
              <w:t>）。</w:t>
            </w:r>
          </w:p>
        </w:tc>
      </w:tr>
      <w:tr>
        <w:tblPrEx>
          <w:tblCellMar>
            <w:top w:w="0" w:type="dxa"/>
            <w:left w:w="108" w:type="dxa"/>
            <w:bottom w:w="0" w:type="dxa"/>
            <w:right w:w="108" w:type="dxa"/>
          </w:tblCellMar>
        </w:tblPrEx>
        <w:trPr>
          <w:trHeight w:val="54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p>
        </w:tc>
        <w:tc>
          <w:tcPr>
            <w:tcW w:w="1139" w:type="dxa"/>
            <w:vMerge w:val="continue"/>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b/>
              </w:rPr>
            </w:pPr>
            <w:r>
              <w:rPr>
                <w:rFonts w:ascii="仿宋_GB2312" w:hAnsi="仿宋_GB2312" w:eastAsia="仿宋_GB2312" w:cs="仿宋_GB2312"/>
                <w:b/>
              </w:rPr>
              <w:t>★提供5年7*24小时原厂维保服务及提供五年硬盘不返还服务（投标时提交承诺，承诺可参照“投标文件格式”中《承诺函》格式）。</w:t>
            </w:r>
          </w:p>
        </w:tc>
      </w:tr>
      <w:tr>
        <w:tblPrEx>
          <w:tblCellMar>
            <w:top w:w="0" w:type="dxa"/>
            <w:left w:w="108" w:type="dxa"/>
            <w:bottom w:w="0" w:type="dxa"/>
            <w:right w:w="108" w:type="dxa"/>
          </w:tblCellMar>
        </w:tblPrEx>
        <w:trPr>
          <w:trHeight w:val="8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p>
        </w:tc>
        <w:tc>
          <w:tcPr>
            <w:tcW w:w="1139" w:type="dxa"/>
            <w:vMerge w:val="continue"/>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★提供包含存储硬件和存储系统所有软件功能的永久授权许可，非订阅式服务。后续硬件扩容以及任何存储系统软件的使用，都无需额外购买任何授权</w:t>
            </w:r>
            <w:r>
              <w:rPr>
                <w:rFonts w:ascii="仿宋_GB2312" w:hAnsi="仿宋_GB2312" w:eastAsia="仿宋_GB2312" w:cs="仿宋_GB2312"/>
                <w:b/>
              </w:rPr>
              <w:t>（投标时提交承诺，承诺可参照“投标文件格式”中《承诺函》格式）</w:t>
            </w:r>
            <w:r>
              <w:rPr>
                <w:rFonts w:ascii="仿宋_GB2312" w:hAnsi="仿宋_GB2312" w:eastAsia="仿宋_GB2312" w:cs="仿宋_GB2312"/>
              </w:rPr>
              <w:t>。</w:t>
            </w:r>
          </w:p>
        </w:tc>
      </w:tr>
      <w:tr>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2</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控制器</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具备良好的平滑扩容能力，单套存储系统支持在线横向扩展，最大支持≥48控，扩容过程中业务不中断（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3</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缓存掉电保护</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系统必须配置后备电源及非易失性闪存介质，在外部意外断电时，能将控制器缓存中的数据永久写入非易失性介质；恢复供电后，断电保护数据恢复时间不超过10分钟（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4</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端到端NVMe架构</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存储系统支持端到端NVMe架构，前端支持配置不低于32Gb/s NVMe over FC或25/100Gb/s NVMe over RoCE主机接口，后端原生支持直接连接NVMe SSD固态盘进行数据交互。</w:t>
            </w:r>
          </w:p>
        </w:tc>
      </w:tr>
      <w:tr>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5</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服务质量控制</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需支持服务质量管理，支持基于LUN、文件系统或主机组级别设置性能策略。能够支持按IOPS和带宽/吞吐量两个维度同时设定性能上限和性能下限保障（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6</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缓存配置</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▲高速缓存容量配置≥8TB，且任意控制器高速缓存容量≥1TB（缓存不包含SSD磁盘、PCI-E SSD、闪存、压缩或重删缓存和NAS控制器缓存）。（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10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7</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SAN、NAS和S3融合</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应支持SAN、NAS和S3对象存储一体化融合架构，单个控制器/节点可同时提供SAN、NAS和S3对象存储协议服务，无需外置独立网关设备。支持在同一个存储系统内同时分配SAN、NAS和S3对象存储服务（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48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8</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框级冗余</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▲存储系统支持框级冗余，任意一个硬盘框故障，不影响 SAN 和 NAS 业务的连续性和数据一致性（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9</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支持RAID</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▲支持 RAID5/6/10等多种RAID级别，存储系统支持单个 RAID 组内三盘同时故障；随机选取三块成员盘（非热备盘）故障，不影响 SAN和NAS 的连续性和数据一致性（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10</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在线升级</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软件支持无中断在线升级和回退。在存储系统软件升级和回退的过程中业务链路无中断，客户端无感知（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11</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主机接入方式</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SAN协议支持FC，FC-NVMe，iSCSI，NVMe over RoCE协议。</w:t>
            </w:r>
          </w:p>
        </w:tc>
      </w:tr>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12</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可维护性</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支持SSD盘、电源模块、接口卡不停机热插拔。</w:t>
            </w:r>
          </w:p>
        </w:tc>
      </w:tr>
      <w:tr>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13</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复制</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提供数据复制功能，把主中心数据复制到另一个数据中心，支持SAN同步复制和异步复制，支持FC/IP链路复制（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14</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快照</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提供无损快照功能，支持恢复任意时间点快照，且其他时间点快照不丢失。</w:t>
            </w:r>
          </w:p>
        </w:tc>
      </w:tr>
      <w:tr>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15</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克隆</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存储系统支持克隆功能，并且克隆立即可用，且不影响源LUN的业务。克隆支持LUN的一致性组，数据同步支持正向同步。</w:t>
            </w:r>
          </w:p>
        </w:tc>
      </w:tr>
      <w:tr>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16</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多租户</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存储系统支持多租户功能，实现租户间资源和网络隔离；支持基于租户设置 QoS 策略。</w:t>
            </w:r>
          </w:p>
        </w:tc>
      </w:tr>
      <w:tr>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17</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协议支持</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存储系统应提供S3对象存储接口，支持 put、get、listobject等基础读写操作。</w:t>
            </w:r>
          </w:p>
        </w:tc>
      </w:tr>
      <w:tr>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18</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S3与NAS文件系统互通</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支持NFS、CIFS和S3协议服务，支持通过底层原生互通、网关协议转换或系统内部数据同步机制，实现文件数据与对象数据的跨协议共享（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19</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配额</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 NAS 支持目录配额管理，可针对任意目录配置容量配额、文件数量配额；支持告警阈值、强制限制阈值，存量有文件的非空目录可直接配置配额策略。</w:t>
            </w:r>
          </w:p>
        </w:tc>
      </w:tr>
      <w:tr>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20</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安全启动</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存储控制器硬件支持安全启动，启动过程可校验固件签名，拦截非法、篡改的引导固件加载，提升启动阶段安全防护能力。</w:t>
            </w:r>
          </w:p>
        </w:tc>
      </w:tr>
      <w:tr>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21</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签名校验</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存储系统具备升级包完整性校验机制，上传系统软件、补丁安装包时自动校验文件合法性；若安装包文件被篡改、损坏，系统将直接拦截，不允许执行安装与升级操作。</w:t>
            </w:r>
          </w:p>
        </w:tc>
      </w:tr>
      <w:tr>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22</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重删压缩</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支持在线重删、数据压缩功能，采用专用硬件加速芯片完成重删压缩计算（提供以下任一材料：①第三方检测机构出具的检测报告复印件；②产品制造商官网相应功能截图，同时提供官网链接地址；③制造商产品说明书或制造厂商公开发布的产品功能印刷资料，并加盖投标人公章）。</w:t>
            </w:r>
          </w:p>
        </w:tc>
      </w:tr>
      <w:tr>
        <w:tblPrEx>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23</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双活</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存储支持两台阵列免网关构建 Active-Active 双活，SAN 块、NAS 文件业务均支持同步双活，单台存储故障业务自动切换，上层应用不中断。</w:t>
            </w:r>
          </w:p>
        </w:tc>
      </w:tr>
      <w:tr>
        <w:tblPrEx>
          <w:tblCellMar>
            <w:top w:w="0" w:type="dxa"/>
            <w:left w:w="108" w:type="dxa"/>
            <w:bottom w:w="0" w:type="dxa"/>
            <w:right w:w="108" w:type="dxa"/>
          </w:tblCellMar>
        </w:tblPrEx>
        <w:trPr>
          <w:trHeight w:val="189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24</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软件配置</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存储系统内置中文 Web 图形化统一管理界面，集成全套运维与数据保护软件能力，支持基础存储资源管理、系统运行监控、日志统一管理、故障告警、异构存储虚拟化接入、全维度性能监控、业务 QoS 策略管控、本地卷镜像、主机多路径适配、邮件告警推送、系统自动巡检、快照、远程同步/异步复制、克隆、数据销毁、存储双活、多租户隔离、控制器/端口负载均衡等功能。</w:t>
            </w:r>
          </w:p>
        </w:tc>
      </w:tr>
      <w:tr>
        <w:tblPrEx>
          <w:tblCellMar>
            <w:top w:w="0" w:type="dxa"/>
            <w:left w:w="108" w:type="dxa"/>
            <w:bottom w:w="0" w:type="dxa"/>
            <w:right w:w="108" w:type="dxa"/>
          </w:tblCellMar>
        </w:tblPrEx>
        <w:trPr>
          <w:trHeight w:val="135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25</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数据迁移</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存储系统支持SAN业务零中断在线数据迁移，由存储层完成数据拷贝，不占用主机计算/IO资源；迁移任务支持断点续传，可自定义迁移传输速率，迁移执行过程中支持动态调整迁移速度；支持多 LUN 并发批量迁移，满足大规模数据同步搬迁需求。</w:t>
            </w:r>
          </w:p>
        </w:tc>
      </w:tr>
      <w:tr>
        <w:tblPrEx>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pStyle w:val="24"/>
              <w:jc w:val="both"/>
              <w:rPr>
                <w:rFonts w:ascii="仿宋_GB2312" w:hAnsi="仿宋_GB2312" w:eastAsia="仿宋_GB2312" w:cs="仿宋_GB2312"/>
              </w:rPr>
            </w:pPr>
            <w:r>
              <w:rPr>
                <w:rFonts w:ascii="仿宋_GB2312" w:hAnsi="仿宋_GB2312" w:eastAsia="仿宋_GB2312" w:cs="仿宋_GB2312"/>
              </w:rPr>
              <w:t>26</w:t>
            </w:r>
          </w:p>
        </w:tc>
        <w:tc>
          <w:tcPr>
            <w:tcW w:w="1139"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设备高度</w:t>
            </w:r>
          </w:p>
        </w:tc>
        <w:tc>
          <w:tcPr>
            <w:tcW w:w="6330" w:type="dxa"/>
            <w:tcBorders>
              <w:top w:val="single" w:color="000000" w:sz="4" w:space="0"/>
              <w:left w:val="single" w:color="000000" w:sz="4" w:space="0"/>
              <w:bottom w:val="single" w:color="000000" w:sz="4" w:space="0"/>
              <w:right w:val="single" w:color="000000" w:sz="4" w:space="0"/>
            </w:tcBorders>
            <w:vAlign w:val="center"/>
          </w:tcPr>
          <w:p>
            <w:pPr>
              <w:pStyle w:val="24"/>
              <w:jc w:val="both"/>
              <w:rPr>
                <w:rFonts w:ascii="仿宋_GB2312" w:hAnsi="仿宋_GB2312" w:eastAsia="仿宋_GB2312" w:cs="仿宋_GB2312"/>
              </w:rPr>
            </w:pPr>
            <w:r>
              <w:rPr>
                <w:rFonts w:ascii="仿宋_GB2312" w:hAnsi="仿宋_GB2312" w:eastAsia="仿宋_GB2312" w:cs="仿宋_GB2312"/>
              </w:rPr>
              <w:t>▲为节省机房空间，控制框总高度≤4U，系统盘内置，不占用通用数据盘槽位（提供以下任一材料：①第三方检测机构出具的检测报告复印件；②产品制造商官网相应功能截图，同时提供官网链接地址；③制造商产品说明书或制造厂商公开发布的产品功能印刷资料，并加盖投标人公章）。</w:t>
            </w:r>
          </w:p>
        </w:tc>
      </w:tr>
    </w:tbl>
    <w:p>
      <w:pPr>
        <w:pStyle w:val="4"/>
        <w:keepNext w:val="0"/>
        <w:spacing w:before="0" w:after="0" w:line="360" w:lineRule="auto"/>
        <w:outlineLvl w:val="0"/>
        <w:rPr>
          <w:rFonts w:ascii="仿宋_GB2312" w:hAnsi="仿宋_GB2312" w:eastAsia="仿宋_GB2312" w:cs="仿宋_GB2312"/>
          <w:i w:val="0"/>
          <w:iCs w:val="0"/>
        </w:rPr>
      </w:pPr>
    </w:p>
    <w:p>
      <w:pPr>
        <w:pStyle w:val="2"/>
        <w:keepNext w:val="0"/>
        <w:spacing w:before="0" w:after="0" w:line="360" w:lineRule="auto"/>
        <w:ind w:left="0" w:leftChars="0" w:firstLine="482" w:firstLineChars="150"/>
        <w:jc w:val="left"/>
        <w:rPr>
          <w:rFonts w:hint="eastAsia" w:ascii="仿宋_GB2312" w:hAnsi="仿宋_GB2312" w:eastAsia="仿宋_GB2312" w:cs="仿宋_GB2312"/>
          <w:kern w:val="36"/>
          <w:lang w:eastAsia="zh-CN"/>
        </w:rPr>
      </w:pPr>
      <w:bookmarkStart w:id="102" w:name="_Toc21125"/>
      <w:bookmarkStart w:id="103" w:name="_Toc20359"/>
      <w:r>
        <w:rPr>
          <w:rFonts w:hint="eastAsia" w:ascii="仿宋_GB2312" w:hAnsi="仿宋_GB2312" w:eastAsia="仿宋_GB2312" w:cs="仿宋_GB2312"/>
          <w:kern w:val="36"/>
          <w:lang w:eastAsia="zh-CN"/>
        </w:rPr>
        <w:t>第三章</w:t>
      </w:r>
      <w:r>
        <w:rPr>
          <w:rFonts w:hint="eastAsia" w:ascii="仿宋_GB2312" w:hAnsi="仿宋_GB2312" w:eastAsia="仿宋_GB2312" w:cs="仿宋_GB2312"/>
          <w:kern w:val="36"/>
          <w:lang w:val="en-US" w:eastAsia="zh-CN"/>
        </w:rPr>
        <w:t xml:space="preserve"> </w:t>
      </w:r>
      <w:r>
        <w:rPr>
          <w:rFonts w:hint="eastAsia" w:ascii="仿宋_GB2312" w:hAnsi="仿宋_GB2312" w:eastAsia="仿宋_GB2312" w:cs="仿宋_GB2312"/>
          <w:kern w:val="36"/>
          <w:lang w:eastAsia="zh-CN"/>
        </w:rPr>
        <w:t>服务要求</w:t>
      </w:r>
      <w:bookmarkEnd w:id="91"/>
      <w:bookmarkEnd w:id="92"/>
      <w:bookmarkEnd w:id="93"/>
      <w:bookmarkEnd w:id="94"/>
      <w:bookmarkEnd w:id="95"/>
      <w:bookmarkEnd w:id="96"/>
      <w:bookmarkEnd w:id="97"/>
      <w:bookmarkEnd w:id="98"/>
      <w:bookmarkEnd w:id="99"/>
      <w:bookmarkEnd w:id="100"/>
      <w:bookmarkEnd w:id="101"/>
      <w:bookmarkEnd w:id="102"/>
      <w:bookmarkEnd w:id="103"/>
    </w:p>
    <w:p>
      <w:pPr>
        <w:pStyle w:val="4"/>
        <w:keepLines w:val="0"/>
        <w:pageBreakBefore w:val="0"/>
        <w:widowControl/>
        <w:kinsoku/>
        <w:wordWrap/>
        <w:overflowPunct/>
        <w:topLinePunct w:val="0"/>
        <w:autoSpaceDE/>
        <w:autoSpaceDN/>
        <w:bidi w:val="0"/>
        <w:adjustRightInd/>
        <w:snapToGrid/>
        <w:spacing w:before="0" w:after="0" w:line="360" w:lineRule="auto"/>
        <w:ind w:firstLine="562" w:firstLineChars="200"/>
        <w:textAlignment w:val="auto"/>
        <w:outlineLvl w:val="0"/>
        <w:rPr>
          <w:rFonts w:hint="default" w:ascii="仿宋_GB2312" w:hAnsi="仿宋_GB2312" w:eastAsia="仿宋_GB2312" w:cs="仿宋_GB2312"/>
          <w:i w:val="0"/>
          <w:iCs w:val="0"/>
          <w:lang w:val="en-US" w:eastAsia="zh-CN"/>
        </w:rPr>
      </w:pPr>
      <w:r>
        <w:rPr>
          <w:rFonts w:hint="eastAsia" w:ascii="仿宋_GB2312" w:hAnsi="仿宋_GB2312" w:eastAsia="仿宋_GB2312" w:cs="仿宋_GB2312"/>
          <w:i w:val="0"/>
          <w:iCs w:val="0"/>
          <w:lang w:val="en-US" w:eastAsia="zh-CN"/>
        </w:rPr>
        <w:t>3.1 总体要求</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0"/>
          <w:lang w:val="en-US" w:eastAsia="en-US" w:bidi="ar-SA"/>
        </w:rPr>
      </w:pPr>
      <w:bookmarkStart w:id="104" w:name="_Toc29931"/>
      <w:bookmarkStart w:id="105" w:name="_Toc970"/>
      <w:bookmarkStart w:id="106" w:name="_Toc13270"/>
      <w:bookmarkStart w:id="107" w:name="_Toc28678"/>
      <w:bookmarkStart w:id="108" w:name="_Toc4180"/>
      <w:bookmarkStart w:id="109" w:name="_Toc21843"/>
      <w:bookmarkStart w:id="110" w:name="_Toc11970"/>
      <w:bookmarkStart w:id="111" w:name="_Toc25037"/>
      <w:bookmarkStart w:id="112" w:name="_Toc12363"/>
      <w:r>
        <w:rPr>
          <w:rFonts w:hint="default" w:ascii="仿宋_GB2312" w:hAnsi="仿宋_GB2312" w:eastAsia="仿宋_GB2312" w:cs="仿宋_GB2312"/>
          <w:sz w:val="24"/>
          <w:szCs w:val="20"/>
          <w:lang w:val="en-US" w:eastAsia="zh-CN" w:bidi="ar-SA"/>
        </w:rPr>
        <w:t>★</w:t>
      </w:r>
      <w:bookmarkEnd w:id="104"/>
      <w:bookmarkEnd w:id="105"/>
      <w:bookmarkEnd w:id="106"/>
      <w:bookmarkEnd w:id="107"/>
      <w:bookmarkEnd w:id="108"/>
      <w:r>
        <w:rPr>
          <w:rFonts w:hint="eastAsia" w:ascii="仿宋_GB2312" w:hAnsi="仿宋_GB2312" w:eastAsia="仿宋_GB2312" w:cs="仿宋_GB2312"/>
          <w:sz w:val="24"/>
          <w:szCs w:val="20"/>
          <w:lang w:val="en-US" w:eastAsia="zh-CN" w:bidi="ar-SA"/>
        </w:rPr>
        <w:t>1、</w:t>
      </w:r>
      <w:r>
        <w:rPr>
          <w:rFonts w:hint="default" w:ascii="仿宋_GB2312" w:hAnsi="仿宋_GB2312" w:eastAsia="仿宋_GB2312" w:cs="仿宋_GB2312"/>
          <w:sz w:val="24"/>
          <w:szCs w:val="20"/>
          <w:lang w:val="en-US" w:eastAsia="en-US" w:bidi="ar-SA"/>
        </w:rPr>
        <w:t>中标人需提供</w:t>
      </w:r>
      <w:r>
        <w:rPr>
          <w:rFonts w:hint="eastAsia" w:ascii="仿宋_GB2312" w:hAnsi="仿宋_GB2312" w:eastAsia="仿宋_GB2312" w:cs="仿宋_GB2312"/>
          <w:sz w:val="24"/>
          <w:szCs w:val="20"/>
          <w:lang w:val="en-US" w:eastAsia="en-US" w:bidi="ar-SA"/>
        </w:rPr>
        <w:t>本项目所采购</w:t>
      </w:r>
      <w:r>
        <w:rPr>
          <w:rFonts w:hint="default" w:ascii="仿宋_GB2312" w:hAnsi="仿宋_GB2312" w:eastAsia="仿宋_GB2312" w:cs="仿宋_GB2312"/>
          <w:sz w:val="24"/>
          <w:szCs w:val="20"/>
          <w:lang w:val="en-US" w:eastAsia="en-US" w:bidi="ar-SA"/>
        </w:rPr>
        <w:t>存储</w:t>
      </w:r>
      <w:r>
        <w:rPr>
          <w:rFonts w:hint="eastAsia" w:ascii="仿宋_GB2312" w:hAnsi="仿宋_GB2312" w:eastAsia="仿宋_GB2312" w:cs="仿宋_GB2312"/>
          <w:sz w:val="24"/>
          <w:szCs w:val="20"/>
          <w:lang w:val="en-US" w:eastAsia="en-US" w:bidi="ar-SA"/>
        </w:rPr>
        <w:t>产品需提供自验收后5年内</w:t>
      </w:r>
      <w:r>
        <w:rPr>
          <w:rFonts w:hint="default" w:ascii="仿宋_GB2312" w:hAnsi="仿宋_GB2312" w:eastAsia="仿宋_GB2312" w:cs="仿宋_GB2312"/>
          <w:sz w:val="24"/>
          <w:szCs w:val="20"/>
          <w:lang w:val="en-US" w:eastAsia="en-US" w:bidi="ar-SA"/>
        </w:rPr>
        <w:t>原厂</w:t>
      </w:r>
      <w:r>
        <w:rPr>
          <w:rFonts w:hint="eastAsia" w:ascii="仿宋_GB2312" w:hAnsi="仿宋_GB2312" w:eastAsia="仿宋_GB2312" w:cs="仿宋_GB2312"/>
          <w:sz w:val="24"/>
          <w:szCs w:val="20"/>
          <w:lang w:val="en-US" w:eastAsia="en-US" w:bidi="ar-SA"/>
        </w:rPr>
        <w:t>保修服务、所有软件5年内升级、规则库5年内不限次数升级至当前最新版本，</w:t>
      </w:r>
      <w:r>
        <w:rPr>
          <w:rFonts w:hint="default" w:ascii="仿宋_GB2312" w:hAnsi="仿宋_GB2312" w:eastAsia="仿宋_GB2312" w:cs="仿宋_GB2312"/>
          <w:sz w:val="24"/>
          <w:szCs w:val="20"/>
          <w:lang w:val="en-US" w:eastAsia="en-US" w:bidi="ar-SA"/>
        </w:rPr>
        <w:t>需要现场服务时，</w:t>
      </w:r>
      <w:r>
        <w:rPr>
          <w:rFonts w:hint="eastAsia" w:ascii="仿宋_GB2312" w:hAnsi="仿宋_GB2312" w:eastAsia="仿宋_GB2312" w:cs="仿宋_GB2312"/>
          <w:sz w:val="24"/>
          <w:szCs w:val="20"/>
          <w:lang w:val="en-US" w:eastAsia="en-US" w:bidi="ar-SA"/>
        </w:rPr>
        <w:t>原厂商售后服务安排原厂工程师提供现场服务。以上费用均包含在本项目中，采购人不再另行支付费用（投标时提交承诺，承诺可参照“投标文件格式”中《承诺函》格式）。</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0"/>
          <w:lang w:val="en-US" w:eastAsia="en-US" w:bidi="ar-SA"/>
        </w:rPr>
      </w:pPr>
      <w:r>
        <w:rPr>
          <w:rFonts w:hint="eastAsia" w:ascii="仿宋_GB2312" w:hAnsi="仿宋_GB2312" w:eastAsia="仿宋_GB2312" w:cs="仿宋_GB2312"/>
          <w:sz w:val="24"/>
          <w:szCs w:val="20"/>
          <w:lang w:val="en-US" w:eastAsia="zh-CN" w:bidi="ar-SA"/>
        </w:rPr>
        <w:t>2、</w:t>
      </w:r>
      <w:r>
        <w:rPr>
          <w:rFonts w:hint="eastAsia" w:ascii="仿宋_GB2312" w:hAnsi="仿宋_GB2312" w:eastAsia="仿宋_GB2312" w:cs="仿宋_GB2312"/>
          <w:sz w:val="24"/>
          <w:szCs w:val="20"/>
          <w:lang w:val="en-US" w:eastAsia="en-US" w:bidi="ar-SA"/>
        </w:rPr>
        <w:t>投标人在中标并签署合同后，应确保项目内</w:t>
      </w:r>
      <w:r>
        <w:rPr>
          <w:rFonts w:hint="eastAsia" w:ascii="仿宋_GB2312" w:hAnsi="仿宋_GB2312" w:eastAsia="仿宋_GB2312" w:cs="仿宋_GB2312"/>
          <w:sz w:val="24"/>
          <w:szCs w:val="20"/>
          <w:lang w:val="en-US" w:eastAsia="zh-CN" w:bidi="ar-SA"/>
        </w:rPr>
        <w:t>涉及</w:t>
      </w:r>
      <w:r>
        <w:rPr>
          <w:rFonts w:hint="eastAsia" w:ascii="仿宋_GB2312" w:hAnsi="仿宋_GB2312" w:eastAsia="仿宋_GB2312" w:cs="仿宋_GB2312"/>
          <w:sz w:val="24"/>
          <w:szCs w:val="20"/>
          <w:lang w:val="en-US" w:eastAsia="en-US" w:bidi="ar-SA"/>
        </w:rPr>
        <w:t>的相关方完成招标文件中规定的各项任务，完成实施前期的各项准备工作。</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0"/>
          <w:lang w:val="en-US" w:eastAsia="en-US" w:bidi="ar-SA"/>
        </w:rPr>
      </w:pPr>
      <w:r>
        <w:rPr>
          <w:rFonts w:hint="eastAsia" w:ascii="仿宋_GB2312" w:hAnsi="仿宋_GB2312" w:eastAsia="仿宋_GB2312" w:cs="仿宋_GB2312"/>
          <w:sz w:val="24"/>
          <w:szCs w:val="20"/>
          <w:lang w:val="en-US" w:eastAsia="zh-CN" w:bidi="ar-SA"/>
        </w:rPr>
        <w:t>3、</w:t>
      </w:r>
      <w:r>
        <w:rPr>
          <w:rFonts w:hint="eastAsia" w:ascii="仿宋_GB2312" w:hAnsi="仿宋_GB2312" w:eastAsia="仿宋_GB2312" w:cs="仿宋_GB2312"/>
          <w:sz w:val="24"/>
          <w:szCs w:val="20"/>
          <w:lang w:val="en-US" w:eastAsia="en-US" w:bidi="ar-SA"/>
        </w:rPr>
        <w:t>投标人服从</w:t>
      </w:r>
      <w:r>
        <w:rPr>
          <w:rFonts w:hint="eastAsia" w:ascii="仿宋_GB2312" w:hAnsi="仿宋_GB2312" w:eastAsia="仿宋_GB2312" w:cs="仿宋_GB2312"/>
          <w:sz w:val="24"/>
          <w:szCs w:val="20"/>
          <w:lang w:val="en-US" w:eastAsia="zh-CN" w:bidi="ar-SA"/>
        </w:rPr>
        <w:t>采购人</w:t>
      </w:r>
      <w:r>
        <w:rPr>
          <w:rFonts w:hint="eastAsia" w:ascii="仿宋_GB2312" w:hAnsi="仿宋_GB2312" w:eastAsia="仿宋_GB2312" w:cs="仿宋_GB2312"/>
          <w:sz w:val="24"/>
          <w:szCs w:val="20"/>
          <w:lang w:val="en-US" w:eastAsia="en-US" w:bidi="ar-SA"/>
        </w:rPr>
        <w:t>的统一协调，在实施方案设计、设备供货、技术支持等方面相互配合。承诺与本项目相关单位进行积极主动的合作。</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0"/>
          <w:lang w:val="en-US" w:eastAsia="en-US" w:bidi="ar-SA"/>
        </w:rPr>
      </w:pPr>
      <w:r>
        <w:rPr>
          <w:rFonts w:hint="eastAsia" w:ascii="仿宋_GB2312" w:hAnsi="仿宋_GB2312" w:eastAsia="仿宋_GB2312" w:cs="仿宋_GB2312"/>
          <w:sz w:val="24"/>
          <w:szCs w:val="20"/>
          <w:lang w:val="en-US" w:eastAsia="zh-CN" w:bidi="ar-SA"/>
        </w:rPr>
        <w:t>4、</w:t>
      </w:r>
      <w:r>
        <w:rPr>
          <w:rFonts w:hint="eastAsia" w:ascii="仿宋_GB2312" w:hAnsi="仿宋_GB2312" w:eastAsia="仿宋_GB2312" w:cs="仿宋_GB2312"/>
          <w:sz w:val="24"/>
          <w:szCs w:val="20"/>
          <w:lang w:val="en-US" w:eastAsia="en-US" w:bidi="ar-SA"/>
        </w:rPr>
        <w:t>投标人应严格按中标配置提供相应产品，如设备、软件产品等方面要求中出现不合理或不完整的问题时，投标人有责任和义务提出补救方案并征得采购人的同意后予以实施。标书中未列明但集成过程中需要的各种配件、组件和线缆等由投标人免费提供。</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0"/>
          <w:lang w:val="en-US" w:eastAsia="en-US" w:bidi="ar-SA"/>
        </w:rPr>
      </w:pPr>
      <w:r>
        <w:rPr>
          <w:rFonts w:hint="eastAsia" w:ascii="仿宋_GB2312" w:hAnsi="仿宋_GB2312" w:eastAsia="仿宋_GB2312" w:cs="仿宋_GB2312"/>
          <w:sz w:val="24"/>
          <w:szCs w:val="20"/>
          <w:lang w:val="en-US" w:eastAsia="zh-CN" w:bidi="ar-SA"/>
        </w:rPr>
        <w:t>5、</w:t>
      </w:r>
      <w:r>
        <w:rPr>
          <w:rFonts w:hint="eastAsia" w:ascii="仿宋_GB2312" w:hAnsi="仿宋_GB2312" w:eastAsia="仿宋_GB2312" w:cs="仿宋_GB2312"/>
          <w:sz w:val="24"/>
          <w:szCs w:val="20"/>
          <w:lang w:val="en-US" w:eastAsia="en-US" w:bidi="ar-SA"/>
        </w:rPr>
        <w:t>投标人负责中标产品的安装实施，要求所有软硬件产品在招标文件中所规定的地点和环境下, 实现正常运行, 并达到招标文件要求的性能和产品技术规格中的性能。</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0"/>
          <w:lang w:val="en-US" w:eastAsia="en-US" w:bidi="ar-SA"/>
        </w:rPr>
      </w:pPr>
      <w:r>
        <w:rPr>
          <w:rFonts w:hint="eastAsia" w:ascii="仿宋_GB2312" w:hAnsi="仿宋_GB2312" w:eastAsia="仿宋_GB2312" w:cs="仿宋_GB2312"/>
          <w:sz w:val="24"/>
          <w:szCs w:val="20"/>
          <w:lang w:val="en-US" w:eastAsia="zh-CN" w:bidi="ar-SA"/>
        </w:rPr>
        <w:t>6、</w:t>
      </w:r>
      <w:r>
        <w:rPr>
          <w:rFonts w:hint="eastAsia" w:ascii="仿宋_GB2312" w:hAnsi="仿宋_GB2312" w:eastAsia="仿宋_GB2312" w:cs="仿宋_GB2312"/>
          <w:sz w:val="24"/>
          <w:szCs w:val="20"/>
          <w:lang w:val="en-US" w:eastAsia="en-US" w:bidi="ar-SA"/>
        </w:rPr>
        <w:t>投标人负责项目内设备相关软件和系统的安全加固和软件版本升级工作。</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0"/>
          <w:lang w:val="en-US" w:eastAsia="en-US" w:bidi="ar-SA"/>
        </w:rPr>
      </w:pPr>
      <w:r>
        <w:rPr>
          <w:rFonts w:hint="eastAsia" w:ascii="仿宋_GB2312" w:hAnsi="仿宋_GB2312" w:eastAsia="仿宋_GB2312" w:cs="仿宋_GB2312"/>
          <w:sz w:val="24"/>
          <w:szCs w:val="20"/>
          <w:lang w:val="en-US" w:eastAsia="zh-CN" w:bidi="ar-SA"/>
        </w:rPr>
        <w:t>7、</w:t>
      </w:r>
      <w:r>
        <w:rPr>
          <w:rFonts w:hint="eastAsia" w:ascii="仿宋_GB2312" w:hAnsi="仿宋_GB2312" w:eastAsia="仿宋_GB2312" w:cs="仿宋_GB2312"/>
          <w:sz w:val="24"/>
          <w:szCs w:val="20"/>
          <w:lang w:val="en-US" w:eastAsia="en-US" w:bidi="ar-SA"/>
        </w:rPr>
        <w:t>中标人须在约定时间内完成供货和安装部署。存储安装部署完成后，中标人需提供以下资料进行项目验收：设备到场开箱检查表、设备移交清单、安装部署报告、测试及试运行报告、用户手册或硬件使用维护说明书、验收技术评审表、原厂维保服务（含介质保留服务）证明文件。</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仿宋_GB2312" w:hAnsi="仿宋_GB2312" w:eastAsia="仿宋_GB2312" w:cs="仿宋_GB2312"/>
          <w:sz w:val="24"/>
          <w:szCs w:val="20"/>
          <w:lang w:val="en-US" w:eastAsia="en-US" w:bidi="ar-SA"/>
        </w:rPr>
      </w:pPr>
      <w:r>
        <w:rPr>
          <w:rFonts w:hint="eastAsia" w:ascii="仿宋_GB2312" w:hAnsi="仿宋_GB2312" w:eastAsia="仿宋_GB2312" w:cs="仿宋_GB2312"/>
          <w:sz w:val="24"/>
          <w:szCs w:val="20"/>
          <w:lang w:val="en-US" w:eastAsia="zh-CN" w:bidi="ar-SA"/>
        </w:rPr>
        <w:t>8、</w:t>
      </w:r>
      <w:r>
        <w:rPr>
          <w:rFonts w:hint="default" w:ascii="仿宋_GB2312" w:hAnsi="仿宋_GB2312" w:eastAsia="仿宋_GB2312" w:cs="仿宋_GB2312"/>
          <w:sz w:val="24"/>
          <w:szCs w:val="20"/>
          <w:lang w:val="en-US" w:eastAsia="en-US" w:bidi="ar-SA"/>
        </w:rPr>
        <w:t>提供 SAN 网络配置服务（其中SAN 网络光纤交换机由采购人提供），供本次项目存储设备与我局现有服务器设备以短波 FC（多模）链路方式组成 SAN 网络，满足 SAN 网络的冗余架构。</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仿宋_GB2312" w:hAnsi="仿宋_GB2312" w:eastAsia="仿宋_GB2312" w:cs="仿宋_GB2312"/>
          <w:sz w:val="24"/>
          <w:szCs w:val="20"/>
          <w:lang w:val="en-US" w:eastAsia="en-US" w:bidi="ar-SA"/>
        </w:rPr>
      </w:pPr>
      <w:r>
        <w:rPr>
          <w:rFonts w:hint="eastAsia" w:ascii="仿宋_GB2312" w:hAnsi="仿宋_GB2312" w:eastAsia="仿宋_GB2312" w:cs="仿宋_GB2312"/>
          <w:sz w:val="24"/>
          <w:szCs w:val="20"/>
          <w:lang w:val="en-US" w:eastAsia="zh-CN" w:bidi="ar-SA"/>
        </w:rPr>
        <w:t>9、</w:t>
      </w:r>
      <w:r>
        <w:rPr>
          <w:rFonts w:hint="default" w:ascii="仿宋_GB2312" w:hAnsi="仿宋_GB2312" w:eastAsia="仿宋_GB2312" w:cs="仿宋_GB2312"/>
          <w:sz w:val="24"/>
          <w:szCs w:val="20"/>
          <w:lang w:val="en-US" w:eastAsia="en-US" w:bidi="ar-SA"/>
        </w:rPr>
        <w:t>根据</w:t>
      </w:r>
      <w:r>
        <w:rPr>
          <w:rFonts w:hint="eastAsia" w:ascii="仿宋_GB2312" w:hAnsi="仿宋_GB2312" w:eastAsia="仿宋_GB2312" w:cs="仿宋_GB2312"/>
          <w:sz w:val="24"/>
          <w:szCs w:val="20"/>
          <w:lang w:val="en-US" w:eastAsia="en-US" w:bidi="ar-SA"/>
        </w:rPr>
        <w:t>采购人的</w:t>
      </w:r>
      <w:r>
        <w:rPr>
          <w:rFonts w:hint="default" w:ascii="仿宋_GB2312" w:hAnsi="仿宋_GB2312" w:eastAsia="仿宋_GB2312" w:cs="仿宋_GB2312"/>
          <w:sz w:val="24"/>
          <w:szCs w:val="20"/>
          <w:lang w:val="en-US" w:eastAsia="en-US" w:bidi="ar-SA"/>
        </w:rPr>
        <w:t>需要提供此存储设备与现有存储设备间数据迁移实施服务。</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仿宋_GB2312" w:hAnsi="仿宋_GB2312" w:eastAsia="仿宋_GB2312" w:cs="仿宋_GB2312"/>
          <w:sz w:val="24"/>
          <w:szCs w:val="20"/>
          <w:lang w:val="en-US" w:eastAsia="en-US" w:bidi="ar-SA"/>
        </w:rPr>
      </w:pPr>
      <w:r>
        <w:rPr>
          <w:rFonts w:hint="eastAsia" w:ascii="仿宋_GB2312" w:hAnsi="仿宋_GB2312" w:eastAsia="仿宋_GB2312" w:cs="仿宋_GB2312"/>
          <w:sz w:val="24"/>
          <w:szCs w:val="20"/>
          <w:lang w:val="en-US" w:eastAsia="zh-CN" w:bidi="ar-SA"/>
        </w:rPr>
        <w:t>10、</w:t>
      </w:r>
      <w:r>
        <w:rPr>
          <w:rFonts w:hint="default" w:ascii="仿宋_GB2312" w:hAnsi="仿宋_GB2312" w:eastAsia="仿宋_GB2312" w:cs="仿宋_GB2312"/>
          <w:sz w:val="24"/>
          <w:szCs w:val="20"/>
          <w:lang w:val="en-US" w:eastAsia="en-US" w:bidi="ar-SA"/>
        </w:rPr>
        <w:t>数据安全要求。提供五年硬盘不返还服务，即存储设备发生硬盘故障需要更换的情况，原故障硬盘不得带离现场，由设备部署地用户单位统一保持并依照流程处理。</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0"/>
          <w:lang w:val="en-US" w:eastAsia="en-US" w:bidi="ar-SA"/>
        </w:rPr>
      </w:pPr>
      <w:r>
        <w:rPr>
          <w:rFonts w:hint="eastAsia" w:ascii="仿宋_GB2312" w:hAnsi="仿宋_GB2312" w:eastAsia="仿宋_GB2312" w:cs="仿宋_GB2312"/>
          <w:sz w:val="24"/>
          <w:szCs w:val="20"/>
          <w:lang w:val="en-US" w:eastAsia="zh-CN" w:bidi="ar-SA"/>
        </w:rPr>
        <w:t>11、</w:t>
      </w:r>
      <w:r>
        <w:rPr>
          <w:rFonts w:hint="eastAsia" w:ascii="仿宋_GB2312" w:hAnsi="仿宋_GB2312" w:eastAsia="仿宋_GB2312" w:cs="仿宋_GB2312"/>
          <w:sz w:val="24"/>
          <w:szCs w:val="20"/>
          <w:lang w:val="en-US" w:eastAsia="en-US" w:bidi="ar-SA"/>
        </w:rPr>
        <w:t>服务时限标准。在</w:t>
      </w:r>
      <w:r>
        <w:rPr>
          <w:rFonts w:hint="default" w:ascii="仿宋_GB2312" w:hAnsi="仿宋_GB2312" w:eastAsia="仿宋_GB2312" w:cs="仿宋_GB2312"/>
          <w:sz w:val="24"/>
          <w:szCs w:val="20"/>
          <w:lang w:val="en-US" w:eastAsia="en-US" w:bidi="ar-SA"/>
        </w:rPr>
        <w:t>5 年原厂维保服务期间，</w:t>
      </w:r>
      <w:r>
        <w:rPr>
          <w:rFonts w:hint="eastAsia" w:ascii="仿宋_GB2312" w:hAnsi="仿宋_GB2312" w:eastAsia="仿宋_GB2312" w:cs="仿宋_GB2312"/>
          <w:sz w:val="24"/>
          <w:szCs w:val="20"/>
          <w:lang w:val="en-US" w:eastAsia="en-US" w:bidi="ar-SA"/>
        </w:rPr>
        <w:t>采购人通过电话、微信、邮件等任一方式向投标人申请后，宕机故障1小时内响应、4小时上门到达现场提供服务、6小时内排除故障，非宕机故障2小时内响应、12小时上门到达现场提供服务48小时内排除故障，提供承诺函，格式自拟。</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0"/>
          <w:lang w:val="en-US" w:eastAsia="en-US" w:bidi="ar-SA"/>
        </w:rPr>
      </w:pPr>
      <w:r>
        <w:rPr>
          <w:rFonts w:hint="eastAsia" w:ascii="仿宋_GB2312" w:hAnsi="仿宋_GB2312" w:eastAsia="仿宋_GB2312" w:cs="仿宋_GB2312"/>
          <w:sz w:val="24"/>
          <w:szCs w:val="20"/>
          <w:lang w:val="en-US" w:eastAsia="zh-CN" w:bidi="ar-SA"/>
        </w:rPr>
        <w:t>12、</w:t>
      </w:r>
      <w:r>
        <w:rPr>
          <w:rFonts w:hint="eastAsia" w:ascii="仿宋_GB2312" w:hAnsi="仿宋_GB2312" w:eastAsia="仿宋_GB2312" w:cs="仿宋_GB2312"/>
          <w:sz w:val="24"/>
          <w:szCs w:val="20"/>
          <w:lang w:val="en-US" w:eastAsia="en-US" w:bidi="ar-SA"/>
        </w:rPr>
        <w:t>设备故障处理</w:t>
      </w:r>
      <w:r>
        <w:rPr>
          <w:rFonts w:hint="default" w:ascii="仿宋_GB2312" w:hAnsi="仿宋_GB2312" w:eastAsia="仿宋_GB2312" w:cs="仿宋_GB2312"/>
          <w:sz w:val="24"/>
          <w:szCs w:val="20"/>
          <w:lang w:val="en-US" w:eastAsia="en-US" w:bidi="ar-SA"/>
        </w:rPr>
        <w:t>。</w:t>
      </w:r>
      <w:r>
        <w:rPr>
          <w:rFonts w:hint="eastAsia" w:ascii="仿宋_GB2312" w:hAnsi="仿宋_GB2312" w:eastAsia="仿宋_GB2312" w:cs="仿宋_GB2312"/>
          <w:sz w:val="24"/>
          <w:szCs w:val="20"/>
          <w:lang w:val="en-US" w:eastAsia="en-US" w:bidi="ar-SA"/>
        </w:rPr>
        <w:t>提供承诺函，格式自拟。</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0"/>
          <w:lang w:val="en-US" w:eastAsia="en-US" w:bidi="ar-SA"/>
        </w:rPr>
      </w:pPr>
      <w:r>
        <w:rPr>
          <w:rFonts w:hint="default" w:ascii="仿宋_GB2312" w:hAnsi="仿宋_GB2312" w:eastAsia="仿宋_GB2312" w:cs="仿宋_GB2312"/>
          <w:sz w:val="24"/>
          <w:szCs w:val="20"/>
          <w:lang w:val="en-US" w:eastAsia="en-US" w:bidi="ar-SA"/>
        </w:rPr>
        <w:t>①</w:t>
      </w:r>
      <w:r>
        <w:rPr>
          <w:rFonts w:hint="eastAsia" w:ascii="仿宋_GB2312" w:hAnsi="仿宋_GB2312" w:eastAsia="仿宋_GB2312" w:cs="仿宋_GB2312"/>
          <w:sz w:val="24"/>
          <w:szCs w:val="20"/>
          <w:lang w:val="en-US" w:eastAsia="en-US" w:bidi="ar-SA"/>
        </w:rPr>
        <w:t>在</w:t>
      </w:r>
      <w:r>
        <w:rPr>
          <w:rFonts w:hint="default" w:ascii="仿宋_GB2312" w:hAnsi="仿宋_GB2312" w:eastAsia="仿宋_GB2312" w:cs="仿宋_GB2312"/>
          <w:sz w:val="24"/>
          <w:szCs w:val="20"/>
          <w:lang w:val="en-US" w:eastAsia="en-US" w:bidi="ar-SA"/>
        </w:rPr>
        <w:t>5 年原厂维保服务期间，</w:t>
      </w:r>
      <w:r>
        <w:rPr>
          <w:rFonts w:hint="eastAsia" w:ascii="仿宋_GB2312" w:hAnsi="仿宋_GB2312" w:eastAsia="仿宋_GB2312" w:cs="仿宋_GB2312"/>
          <w:sz w:val="24"/>
          <w:szCs w:val="20"/>
          <w:lang w:val="en-US" w:eastAsia="en-US" w:bidi="ar-SA"/>
        </w:rPr>
        <w:t>本项目</w:t>
      </w:r>
      <w:r>
        <w:rPr>
          <w:rFonts w:hint="default" w:ascii="仿宋_GB2312" w:hAnsi="仿宋_GB2312" w:eastAsia="仿宋_GB2312" w:cs="仿宋_GB2312"/>
          <w:sz w:val="24"/>
          <w:szCs w:val="20"/>
          <w:lang w:val="en-US" w:eastAsia="en-US" w:bidi="ar-SA"/>
        </w:rPr>
        <w:t>存储设备</w:t>
      </w:r>
      <w:r>
        <w:rPr>
          <w:rFonts w:hint="eastAsia" w:ascii="仿宋_GB2312" w:hAnsi="仿宋_GB2312" w:eastAsia="仿宋_GB2312" w:cs="仿宋_GB2312"/>
          <w:sz w:val="24"/>
          <w:szCs w:val="20"/>
          <w:lang w:val="en-US" w:eastAsia="en-US" w:bidi="ar-SA"/>
        </w:rPr>
        <w:t>运行过程中如果发生故障，投标人须启动多层技术资源支持，包括但不限于：现场技术支持服务、二线技术支持服务等，协助投标人排查问题，并尽快恢复设备正常运行。</w:t>
      </w:r>
    </w:p>
    <w:p>
      <w:pPr>
        <w:pStyle w:val="24"/>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仿宋_GB2312" w:hAnsi="仿宋_GB2312" w:eastAsia="仿宋_GB2312" w:cs="仿宋_GB2312"/>
          <w:sz w:val="24"/>
          <w:szCs w:val="20"/>
          <w:lang w:val="en-US" w:eastAsia="en-US" w:bidi="ar-SA"/>
        </w:rPr>
      </w:pPr>
      <w:r>
        <w:rPr>
          <w:rFonts w:hint="default" w:ascii="仿宋_GB2312" w:hAnsi="仿宋_GB2312" w:eastAsia="仿宋_GB2312" w:cs="仿宋_GB2312"/>
          <w:sz w:val="24"/>
          <w:szCs w:val="20"/>
          <w:lang w:val="en-US" w:eastAsia="en-US" w:bidi="ar-SA"/>
        </w:rPr>
        <w:t>②</w:t>
      </w:r>
      <w:r>
        <w:rPr>
          <w:rFonts w:hint="eastAsia" w:ascii="仿宋_GB2312" w:hAnsi="仿宋_GB2312" w:eastAsia="仿宋_GB2312" w:cs="仿宋_GB2312"/>
          <w:sz w:val="24"/>
          <w:szCs w:val="20"/>
          <w:lang w:val="en-US" w:eastAsia="en-US" w:bidi="ar-SA"/>
        </w:rPr>
        <w:t>在</w:t>
      </w:r>
      <w:r>
        <w:rPr>
          <w:rFonts w:hint="default" w:ascii="仿宋_GB2312" w:hAnsi="仿宋_GB2312" w:eastAsia="仿宋_GB2312" w:cs="仿宋_GB2312"/>
          <w:sz w:val="24"/>
          <w:szCs w:val="20"/>
          <w:lang w:val="en-US" w:eastAsia="en-US" w:bidi="ar-SA"/>
        </w:rPr>
        <w:t>5 年原厂维保服务期间，</w:t>
      </w:r>
      <w:r>
        <w:rPr>
          <w:rFonts w:hint="eastAsia" w:ascii="仿宋_GB2312" w:hAnsi="仿宋_GB2312" w:eastAsia="仿宋_GB2312" w:cs="仿宋_GB2312"/>
          <w:sz w:val="24"/>
          <w:szCs w:val="20"/>
          <w:lang w:val="en-US" w:eastAsia="en-US" w:bidi="ar-SA"/>
        </w:rPr>
        <w:t>本项目</w:t>
      </w:r>
      <w:r>
        <w:rPr>
          <w:rFonts w:hint="default" w:ascii="仿宋_GB2312" w:hAnsi="仿宋_GB2312" w:eastAsia="仿宋_GB2312" w:cs="仿宋_GB2312"/>
          <w:sz w:val="24"/>
          <w:szCs w:val="20"/>
          <w:lang w:val="en-US" w:eastAsia="en-US" w:bidi="ar-SA"/>
        </w:rPr>
        <w:t>存储设备</w:t>
      </w:r>
      <w:r>
        <w:rPr>
          <w:rFonts w:hint="eastAsia" w:ascii="仿宋_GB2312" w:hAnsi="仿宋_GB2312" w:eastAsia="仿宋_GB2312" w:cs="仿宋_GB2312"/>
          <w:sz w:val="24"/>
          <w:szCs w:val="20"/>
          <w:lang w:val="en-US" w:eastAsia="en-US" w:bidi="ar-SA"/>
        </w:rPr>
        <w:t>运行过程中如果出现影响信息系统的故障和问题，投标人须在 2 小时内提供问题的紧急解决方案，并尽快恢复故障产品正常运行。</w:t>
      </w:r>
    </w:p>
    <w:p>
      <w:pPr>
        <w:pStyle w:val="24"/>
        <w:keepLines w:val="0"/>
        <w:pageBreakBefore w:val="0"/>
        <w:widowControl/>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24"/>
          <w:szCs w:val="20"/>
          <w:lang w:val="en-US" w:eastAsia="en-US" w:bidi="ar-SA"/>
        </w:rPr>
      </w:pPr>
      <w:r>
        <w:rPr>
          <w:rFonts w:hint="default" w:ascii="仿宋_GB2312" w:hAnsi="仿宋_GB2312" w:eastAsia="仿宋_GB2312" w:cs="仿宋_GB2312"/>
          <w:sz w:val="24"/>
          <w:szCs w:val="20"/>
          <w:lang w:val="en-US" w:eastAsia="en-US" w:bidi="ar-SA"/>
        </w:rPr>
        <w:t>③</w:t>
      </w:r>
      <w:r>
        <w:rPr>
          <w:rFonts w:hint="eastAsia" w:ascii="仿宋_GB2312" w:hAnsi="仿宋_GB2312" w:eastAsia="仿宋_GB2312" w:cs="仿宋_GB2312"/>
          <w:sz w:val="24"/>
          <w:szCs w:val="20"/>
          <w:lang w:val="en-US" w:eastAsia="en-US" w:bidi="ar-SA"/>
        </w:rPr>
        <w:t>在</w:t>
      </w:r>
      <w:r>
        <w:rPr>
          <w:rFonts w:hint="default" w:ascii="仿宋_GB2312" w:hAnsi="仿宋_GB2312" w:eastAsia="仿宋_GB2312" w:cs="仿宋_GB2312"/>
          <w:sz w:val="24"/>
          <w:szCs w:val="20"/>
          <w:lang w:val="en-US" w:eastAsia="en-US" w:bidi="ar-SA"/>
        </w:rPr>
        <w:t>5 年原厂维保服务期间，</w:t>
      </w:r>
      <w:r>
        <w:rPr>
          <w:rFonts w:hint="eastAsia" w:ascii="仿宋_GB2312" w:hAnsi="仿宋_GB2312" w:eastAsia="仿宋_GB2312" w:cs="仿宋_GB2312"/>
          <w:sz w:val="24"/>
          <w:szCs w:val="20"/>
          <w:lang w:val="en-US" w:eastAsia="en-US" w:bidi="ar-SA"/>
        </w:rPr>
        <w:t>本项目</w:t>
      </w:r>
      <w:r>
        <w:rPr>
          <w:rFonts w:hint="default" w:ascii="仿宋_GB2312" w:hAnsi="仿宋_GB2312" w:eastAsia="仿宋_GB2312" w:cs="仿宋_GB2312"/>
          <w:sz w:val="24"/>
          <w:szCs w:val="20"/>
          <w:lang w:val="en-US" w:eastAsia="en-US" w:bidi="ar-SA"/>
        </w:rPr>
        <w:t>存储设备</w:t>
      </w:r>
      <w:r>
        <w:rPr>
          <w:rFonts w:hint="eastAsia" w:ascii="仿宋_GB2312" w:hAnsi="仿宋_GB2312" w:eastAsia="仿宋_GB2312" w:cs="仿宋_GB2312"/>
          <w:sz w:val="24"/>
          <w:szCs w:val="20"/>
          <w:lang w:val="en-US" w:eastAsia="en-US" w:bidi="ar-SA"/>
        </w:rPr>
        <w:t>运行过程中如果出现暂未影响信息系统的故障问题，投标人须及时排查并定位故障原因，在采购人要求的时间内提供问题的解决方案，并尽快恢复故障产品正常运行。</w:t>
      </w:r>
    </w:p>
    <w:p>
      <w:pPr>
        <w:pStyle w:val="8"/>
        <w:ind w:firstLine="480"/>
        <w:rPr>
          <w:rFonts w:hint="eastAsia" w:ascii="仿宋_GB2312" w:hAnsi="仿宋_GB2312" w:eastAsia="仿宋_GB2312" w:cs="仿宋_GB2312"/>
          <w:color w:val="000000"/>
          <w:szCs w:val="24"/>
          <w:lang w:eastAsia="zh-CN"/>
        </w:rPr>
      </w:pPr>
    </w:p>
    <w:p>
      <w:pPr>
        <w:pStyle w:val="4"/>
        <w:spacing w:before="0" w:after="0" w:line="360" w:lineRule="auto"/>
        <w:ind w:firstLine="562" w:firstLineChars="200"/>
        <w:outlineLvl w:val="0"/>
        <w:rPr>
          <w:rFonts w:hint="eastAsia" w:ascii="仿宋_GB2312" w:hAnsi="仿宋_GB2312" w:eastAsia="仿宋_GB2312" w:cs="仿宋_GB2312"/>
          <w:i w:val="0"/>
          <w:iCs w:val="0"/>
          <w:lang w:val="en-US" w:eastAsia="zh-CN"/>
        </w:rPr>
      </w:pPr>
      <w:bookmarkStart w:id="113" w:name="_Toc28534"/>
      <w:bookmarkStart w:id="114" w:name="_Toc5606"/>
      <w:bookmarkStart w:id="115" w:name="_Toc14711"/>
      <w:bookmarkStart w:id="116" w:name="_Toc9013"/>
      <w:bookmarkStart w:id="117" w:name="_Toc31654"/>
      <w:bookmarkStart w:id="118" w:name="_Toc8312"/>
      <w:bookmarkStart w:id="119" w:name="_Toc17643"/>
      <w:bookmarkStart w:id="120" w:name="_Toc31926"/>
      <w:bookmarkStart w:id="121" w:name="_Toc16444"/>
      <w:r>
        <w:rPr>
          <w:rFonts w:hint="eastAsia" w:ascii="仿宋_GB2312" w:hAnsi="仿宋_GB2312" w:eastAsia="仿宋_GB2312" w:cs="仿宋_GB2312"/>
          <w:i w:val="0"/>
          <w:iCs w:val="0"/>
          <w:lang w:val="en-US" w:eastAsia="zh-CN"/>
        </w:rPr>
        <w:t>3.2设备要求</w:t>
      </w:r>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8"/>
        <w:ind w:firstLine="480"/>
        <w:rPr>
          <w:rFonts w:hint="default" w:ascii="仿宋_GB2312" w:hAnsi="仿宋_GB2312" w:eastAsia="仿宋_GB2312" w:cs="仿宋_GB2312"/>
          <w:color w:val="000000"/>
          <w:szCs w:val="24"/>
          <w:lang w:eastAsia="zh-CN"/>
        </w:rPr>
      </w:pPr>
      <w:r>
        <w:rPr>
          <w:rFonts w:hint="default" w:ascii="仿宋_GB2312" w:hAnsi="仿宋_GB2312" w:eastAsia="仿宋_GB2312" w:cs="仿宋_GB2312"/>
          <w:color w:val="000000"/>
          <w:szCs w:val="24"/>
          <w:lang w:eastAsia="zh-CN"/>
        </w:rPr>
        <w:t>1</w:t>
      </w:r>
      <w:r>
        <w:rPr>
          <w:rFonts w:hint="eastAsia" w:ascii="仿宋_GB2312" w:hAnsi="仿宋_GB2312" w:eastAsia="仿宋_GB2312" w:cs="仿宋_GB2312"/>
          <w:color w:val="000000"/>
          <w:szCs w:val="24"/>
          <w:lang w:eastAsia="zh-CN"/>
        </w:rPr>
        <w:t>.</w:t>
      </w:r>
      <w:r>
        <w:rPr>
          <w:rFonts w:hint="default" w:ascii="仿宋_GB2312" w:hAnsi="仿宋_GB2312" w:eastAsia="仿宋_GB2312" w:cs="仿宋_GB2312"/>
          <w:color w:val="000000"/>
          <w:szCs w:val="24"/>
          <w:lang w:eastAsia="zh-CN"/>
        </w:rPr>
        <w:t>投标人应提供原装的、全新的、符合国家及用户提出的有关质量标准的设备；</w:t>
      </w:r>
    </w:p>
    <w:p>
      <w:pPr>
        <w:pStyle w:val="8"/>
        <w:ind w:firstLine="480"/>
        <w:rPr>
          <w:rFonts w:hint="default" w:ascii="仿宋_GB2312" w:hAnsi="仿宋_GB2312" w:eastAsia="仿宋_GB2312" w:cs="仿宋_GB2312"/>
          <w:color w:val="000000"/>
          <w:szCs w:val="24"/>
          <w:lang w:eastAsia="zh-CN"/>
        </w:rPr>
      </w:pPr>
      <w:r>
        <w:rPr>
          <w:rFonts w:hint="default" w:ascii="仿宋_GB2312" w:hAnsi="仿宋_GB2312" w:eastAsia="仿宋_GB2312" w:cs="仿宋_GB2312"/>
          <w:color w:val="000000"/>
          <w:szCs w:val="24"/>
          <w:lang w:eastAsia="zh-CN"/>
        </w:rPr>
        <w:t>2</w:t>
      </w:r>
      <w:r>
        <w:rPr>
          <w:rFonts w:hint="eastAsia" w:ascii="仿宋_GB2312" w:hAnsi="仿宋_GB2312" w:eastAsia="仿宋_GB2312" w:cs="仿宋_GB2312"/>
          <w:color w:val="000000"/>
          <w:szCs w:val="24"/>
          <w:lang w:eastAsia="zh-CN"/>
        </w:rPr>
        <w:t>.</w:t>
      </w:r>
      <w:r>
        <w:rPr>
          <w:rFonts w:hint="default" w:ascii="仿宋_GB2312" w:hAnsi="仿宋_GB2312" w:eastAsia="仿宋_GB2312" w:cs="仿宋_GB2312"/>
          <w:color w:val="000000"/>
          <w:szCs w:val="24"/>
          <w:lang w:eastAsia="zh-CN"/>
        </w:rPr>
        <w:t>采用的技术和产品本身具有良好的发展前景，将来产品的更新换代能够在保护现有投资的基础上进行升级和扩展，且对产品的升级和扩展提供合理的性价比；</w:t>
      </w:r>
    </w:p>
    <w:p>
      <w:pPr>
        <w:pStyle w:val="8"/>
        <w:ind w:firstLine="480"/>
        <w:rPr>
          <w:rFonts w:hint="default" w:ascii="仿宋_GB2312" w:hAnsi="仿宋_GB2312" w:eastAsia="仿宋_GB2312" w:cs="仿宋_GB2312"/>
          <w:color w:val="000000"/>
          <w:szCs w:val="24"/>
          <w:lang w:eastAsia="zh-CN"/>
        </w:rPr>
      </w:pPr>
      <w:r>
        <w:rPr>
          <w:rFonts w:hint="default" w:ascii="仿宋_GB2312" w:hAnsi="仿宋_GB2312" w:eastAsia="仿宋_GB2312" w:cs="仿宋_GB2312"/>
          <w:color w:val="000000"/>
          <w:szCs w:val="24"/>
          <w:lang w:eastAsia="zh-CN"/>
        </w:rPr>
        <w:t>3</w:t>
      </w:r>
      <w:r>
        <w:rPr>
          <w:rFonts w:hint="eastAsia" w:ascii="仿宋_GB2312" w:hAnsi="仿宋_GB2312" w:eastAsia="仿宋_GB2312" w:cs="仿宋_GB2312"/>
          <w:color w:val="000000"/>
          <w:szCs w:val="24"/>
          <w:lang w:eastAsia="zh-CN"/>
        </w:rPr>
        <w:t>.</w:t>
      </w:r>
      <w:r>
        <w:rPr>
          <w:rFonts w:hint="default" w:ascii="仿宋_GB2312" w:hAnsi="仿宋_GB2312" w:eastAsia="仿宋_GB2312" w:cs="仿宋_GB2312"/>
          <w:color w:val="000000"/>
          <w:szCs w:val="24"/>
          <w:lang w:eastAsia="zh-CN"/>
        </w:rPr>
        <w:t>投标人需提供投标设备的详细配置清单，性能应答需与报价中的详细配置一致；</w:t>
      </w:r>
    </w:p>
    <w:p>
      <w:pPr>
        <w:pStyle w:val="8"/>
        <w:ind w:firstLine="480"/>
        <w:rPr>
          <w:rFonts w:ascii="仿宋_GB2312" w:hAnsi="仿宋_GB2312" w:eastAsia="仿宋_GB2312" w:cs="仿宋_GB2312"/>
          <w:color w:val="000000"/>
          <w:szCs w:val="24"/>
          <w:lang w:eastAsia="zh-CN"/>
        </w:rPr>
      </w:pPr>
      <w:r>
        <w:rPr>
          <w:rFonts w:hint="default" w:ascii="仿宋_GB2312" w:hAnsi="仿宋_GB2312" w:eastAsia="仿宋_GB2312" w:cs="仿宋_GB2312"/>
          <w:color w:val="000000"/>
          <w:szCs w:val="24"/>
          <w:lang w:eastAsia="zh-CN"/>
        </w:rPr>
        <w:t>4</w:t>
      </w:r>
      <w:r>
        <w:rPr>
          <w:rFonts w:hint="eastAsia" w:ascii="仿宋_GB2312" w:hAnsi="仿宋_GB2312" w:eastAsia="仿宋_GB2312" w:cs="仿宋_GB2312"/>
          <w:color w:val="000000"/>
          <w:szCs w:val="24"/>
          <w:lang w:eastAsia="zh-CN"/>
        </w:rPr>
        <w:t>.</w:t>
      </w:r>
      <w:r>
        <w:rPr>
          <w:rFonts w:hint="default" w:ascii="仿宋_GB2312" w:hAnsi="仿宋_GB2312" w:eastAsia="仿宋_GB2312" w:cs="仿宋_GB2312"/>
          <w:color w:val="000000"/>
          <w:szCs w:val="24"/>
          <w:lang w:eastAsia="zh-CN"/>
        </w:rPr>
        <w:t>在采购人与应标产品相关的应用系统出现严重性能问题时，协助分析原因。</w:t>
      </w:r>
    </w:p>
    <w:p>
      <w:pPr>
        <w:pStyle w:val="8"/>
        <w:ind w:firstLine="480"/>
        <w:rPr>
          <w:rFonts w:hint="default" w:ascii="仿宋_GB2312" w:hAnsi="仿宋_GB2312" w:eastAsia="仿宋_GB2312" w:cs="仿宋_GB2312"/>
          <w:color w:val="000000"/>
          <w:szCs w:val="24"/>
          <w:lang w:eastAsia="zh-CN"/>
        </w:rPr>
      </w:pPr>
      <w:r>
        <w:rPr>
          <w:rFonts w:hint="eastAsia" w:ascii="仿宋_GB2312" w:hAnsi="仿宋_GB2312" w:eastAsia="仿宋_GB2312" w:cs="仿宋_GB2312"/>
          <w:color w:val="000000"/>
          <w:sz w:val="24"/>
          <w:szCs w:val="24"/>
          <w:lang w:eastAsia="zh-CN"/>
        </w:rPr>
        <w:t>5</w:t>
      </w:r>
      <w:r>
        <w:rPr>
          <w:rFonts w:hint="default" w:ascii="仿宋_GB2312" w:hAnsi="仿宋_GB2312" w:eastAsia="仿宋_GB2312" w:cs="仿宋_GB2312"/>
          <w:color w:val="000000"/>
          <w:szCs w:val="24"/>
          <w:lang w:eastAsia="zh-CN"/>
        </w:rPr>
        <w:t>.投标人应按照采购需求的要求提供详细的技术建议书。投标人提供的各项建议方案应完全符合采购人指明的标准，并满足或高于采购人的要求。</w:t>
      </w:r>
    </w:p>
    <w:p>
      <w:pPr>
        <w:pStyle w:val="8"/>
        <w:ind w:firstLine="480"/>
        <w:rPr>
          <w:rFonts w:hint="default" w:ascii="仿宋_GB2312" w:hAnsi="仿宋_GB2312" w:eastAsia="仿宋_GB2312" w:cs="仿宋_GB2312"/>
          <w:color w:val="000000"/>
          <w:szCs w:val="24"/>
          <w:lang w:val="en-US" w:eastAsia="zh-CN"/>
        </w:rPr>
      </w:pPr>
      <w:r>
        <w:rPr>
          <w:rFonts w:hint="eastAsia" w:ascii="仿宋_GB2312" w:hAnsi="仿宋_GB2312" w:eastAsia="仿宋_GB2312" w:cs="仿宋_GB2312"/>
          <w:color w:val="000000"/>
          <w:sz w:val="24"/>
          <w:szCs w:val="24"/>
          <w:lang w:eastAsia="zh-CN"/>
        </w:rPr>
        <w:t>6</w:t>
      </w:r>
      <w:r>
        <w:rPr>
          <w:rFonts w:hint="default" w:ascii="仿宋_GB2312" w:hAnsi="仿宋_GB2312" w:eastAsia="仿宋_GB2312" w:cs="仿宋_GB2312"/>
          <w:color w:val="000000"/>
          <w:szCs w:val="24"/>
          <w:lang w:eastAsia="zh-CN"/>
        </w:rPr>
        <w:t>.投标人在其技术建议书中，对需求中所提各项要求能否实现与满足，应逐项诚实地予以说明和答复。对本建议书中某项回答过于简单或未作明确答复的，将视为不能满足该项要求。</w:t>
      </w:r>
    </w:p>
    <w:p>
      <w:pPr>
        <w:pStyle w:val="8"/>
        <w:ind w:firstLine="480"/>
        <w:rPr>
          <w:rFonts w:hint="default" w:ascii="仿宋_GB2312" w:hAnsi="仿宋_GB2312" w:eastAsia="仿宋_GB2312" w:cs="仿宋_GB2312"/>
          <w:color w:val="000000"/>
          <w:szCs w:val="24"/>
          <w:lang w:val="en-US" w:eastAsia="zh-CN"/>
        </w:rPr>
      </w:pPr>
      <w:r>
        <w:rPr>
          <w:rFonts w:hint="eastAsia" w:ascii="仿宋_GB2312" w:hAnsi="仿宋_GB2312" w:eastAsia="仿宋_GB2312" w:cs="仿宋_GB2312"/>
          <w:color w:val="000000"/>
          <w:sz w:val="24"/>
          <w:szCs w:val="24"/>
          <w:lang w:val="en-US" w:eastAsia="zh-CN"/>
        </w:rPr>
        <w:t>7.</w:t>
      </w:r>
      <w:r>
        <w:rPr>
          <w:rFonts w:hint="default" w:ascii="仿宋_GB2312" w:hAnsi="仿宋_GB2312" w:eastAsia="仿宋_GB2312" w:cs="仿宋_GB2312"/>
          <w:color w:val="000000"/>
          <w:szCs w:val="24"/>
          <w:lang w:eastAsia="zh-CN"/>
        </w:rPr>
        <w:t>在售后服务期内，投标人提供至少每季度一次巡检，至少每年对设备进行一次深度健康检查。现场巡检维护服务内容包括:投标人对本项目中的设备进行检查，了解设备硬件及系统环境的运行使用情况，并对设备的使用情况作备忘录，做好故障预防性工作，保持设备运行正常。</w:t>
      </w:r>
    </w:p>
    <w:p>
      <w:pPr>
        <w:keepNext w:val="0"/>
        <w:spacing w:before="0" w:after="0" w:line="360" w:lineRule="auto"/>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kern w:val="32"/>
          <w:lang w:val="en-US" w:eastAsia="zh-CN"/>
        </w:rPr>
        <w:t xml:space="preserve">  </w:t>
      </w:r>
      <w:r>
        <w:rPr>
          <w:rFonts w:hint="eastAsia" w:ascii="仿宋_GB2312" w:hAnsi="仿宋_GB2312" w:eastAsia="仿宋_GB2312" w:cs="仿宋_GB2312"/>
          <w:color w:val="000000"/>
          <w:kern w:val="0"/>
          <w:lang w:val="en-US" w:eastAsia="zh-CN"/>
        </w:rPr>
        <w:t xml:space="preserve"> 8.中标人要采取有效方法、途径保证采购人能顺利完成本项目服务过程中各阶段服务方案产出的吸收和转移。</w:t>
      </w:r>
    </w:p>
    <w:p>
      <w:pPr>
        <w:pStyle w:val="4"/>
        <w:spacing w:before="0" w:after="0" w:line="360" w:lineRule="auto"/>
        <w:ind w:firstLine="562" w:firstLineChars="200"/>
        <w:outlineLvl w:val="0"/>
        <w:rPr>
          <w:rFonts w:hint="eastAsia" w:ascii="仿宋_GB2312" w:hAnsi="仿宋_GB2312" w:eastAsia="仿宋_GB2312" w:cs="仿宋_GB2312"/>
          <w:i w:val="0"/>
          <w:iCs w:val="0"/>
          <w:lang w:val="en-US" w:eastAsia="zh-CN"/>
        </w:rPr>
      </w:pPr>
      <w:bookmarkStart w:id="122" w:name="_Toc13443"/>
      <w:bookmarkStart w:id="123" w:name="_Toc12475"/>
      <w:bookmarkStart w:id="124" w:name="_Toc467"/>
      <w:bookmarkStart w:id="125" w:name="_Toc18691"/>
      <w:bookmarkStart w:id="126" w:name="_Toc31216"/>
      <w:bookmarkStart w:id="127" w:name="_Toc27066"/>
      <w:bookmarkStart w:id="128" w:name="_Toc6833"/>
      <w:bookmarkStart w:id="129" w:name="_Toc25249"/>
      <w:bookmarkStart w:id="130" w:name="_Toc25391"/>
      <w:bookmarkStart w:id="131" w:name="_Toc18832"/>
      <w:bookmarkStart w:id="132" w:name="_Toc21598"/>
      <w:bookmarkStart w:id="133" w:name="_Toc5974"/>
      <w:bookmarkStart w:id="134" w:name="_Toc16055"/>
      <w:r>
        <w:rPr>
          <w:rFonts w:hint="eastAsia" w:ascii="仿宋_GB2312" w:hAnsi="仿宋_GB2312" w:eastAsia="仿宋_GB2312" w:cs="仿宋_GB2312"/>
          <w:i w:val="0"/>
          <w:iCs w:val="0"/>
          <w:lang w:val="en-US" w:eastAsia="zh-CN"/>
        </w:rPr>
        <w:t>3.3团队要求</w:t>
      </w:r>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8"/>
        <w:ind w:firstLine="480" w:firstLineChars="200"/>
        <w:rPr>
          <w:rFonts w:hint="eastAsia" w:ascii="仿宋_GB2312" w:hAnsi="仿宋_GB2312" w:eastAsia="仿宋_GB2312" w:cs="仿宋_GB2312"/>
        </w:rPr>
      </w:pPr>
      <w:r>
        <w:rPr>
          <w:rFonts w:hint="eastAsia" w:ascii="仿宋_GB2312" w:hAnsi="仿宋_GB2312" w:eastAsia="仿宋_GB2312" w:cs="仿宋_GB2312"/>
        </w:rPr>
        <w:t>投标人需为本项目</w:t>
      </w:r>
      <w:r>
        <w:rPr>
          <w:rFonts w:hint="eastAsia" w:ascii="仿宋_GB2312" w:hAnsi="仿宋_GB2312" w:eastAsia="仿宋_GB2312" w:cs="仿宋_GB2312"/>
          <w:lang w:eastAsia="zh-CN"/>
        </w:rPr>
        <w:t>在合同签订到部署完成期间</w:t>
      </w:r>
      <w:r>
        <w:rPr>
          <w:rFonts w:hint="eastAsia" w:ascii="仿宋_GB2312" w:hAnsi="仿宋_GB2312" w:eastAsia="仿宋_GB2312" w:cs="仿宋_GB2312"/>
        </w:rPr>
        <w:t>提供一个固定的项目团队</w:t>
      </w:r>
      <w:r>
        <w:rPr>
          <w:rFonts w:hint="eastAsia" w:ascii="仿宋_GB2312" w:hAnsi="仿宋_GB2312" w:eastAsia="仿宋_GB2312" w:cs="仿宋_GB2312"/>
          <w:lang w:eastAsia="zh-CN"/>
        </w:rPr>
        <w:t>，团队成员不少于</w:t>
      </w:r>
      <w:r>
        <w:rPr>
          <w:rFonts w:hint="eastAsia" w:ascii="仿宋_GB2312" w:hAnsi="仿宋_GB2312" w:eastAsia="仿宋_GB2312" w:cs="仿宋_GB2312"/>
          <w:lang w:val="en-US" w:eastAsia="zh-CN"/>
        </w:rPr>
        <w:t>5人</w:t>
      </w:r>
      <w:r>
        <w:rPr>
          <w:rFonts w:hint="eastAsia" w:ascii="仿宋_GB2312" w:hAnsi="仿宋_GB2312" w:eastAsia="仿宋_GB2312" w:cs="仿宋_GB2312"/>
        </w:rPr>
        <w:t>。投标人需指定1名项目经理全程负责本项目的沟通与协调工作，并安排人员开展设备到货和集成实施工作。投标人需</w:t>
      </w:r>
      <w:r>
        <w:rPr>
          <w:rFonts w:hint="eastAsia" w:ascii="仿宋_GB2312" w:hAnsi="仿宋_GB2312" w:eastAsia="仿宋_GB2312" w:cs="仿宋_GB2312"/>
          <w:lang w:eastAsia="zh-CN"/>
        </w:rPr>
        <w:t>在合同签订到部署完成期间</w:t>
      </w:r>
      <w:r>
        <w:rPr>
          <w:rFonts w:hint="eastAsia" w:ascii="仿宋_GB2312" w:hAnsi="仿宋_GB2312" w:eastAsia="仿宋_GB2312" w:cs="仿宋_GB2312"/>
        </w:rPr>
        <w:t>为本项目安排至少1名技术</w:t>
      </w:r>
      <w:r>
        <w:rPr>
          <w:rFonts w:hint="eastAsia" w:ascii="仿宋_GB2312" w:hAnsi="仿宋_GB2312" w:eastAsia="仿宋_GB2312" w:cs="仿宋_GB2312"/>
          <w:lang w:eastAsia="zh-CN"/>
        </w:rPr>
        <w:t>负责人</w:t>
      </w:r>
      <w:r>
        <w:rPr>
          <w:rFonts w:hint="eastAsia" w:ascii="仿宋_GB2312" w:hAnsi="仿宋_GB2312" w:eastAsia="仿宋_GB2312" w:cs="仿宋_GB2312"/>
        </w:rPr>
        <w:t>、</w:t>
      </w:r>
      <w:r>
        <w:rPr>
          <w:rFonts w:hint="eastAsia" w:ascii="仿宋_GB2312" w:hAnsi="仿宋_GB2312" w:eastAsia="仿宋_GB2312" w:cs="仿宋_GB2312"/>
          <w:lang w:val="en-US" w:eastAsia="zh-CN"/>
        </w:rPr>
        <w:t>2</w:t>
      </w:r>
      <w:r>
        <w:rPr>
          <w:rFonts w:hint="eastAsia" w:ascii="仿宋_GB2312" w:hAnsi="仿宋_GB2312" w:eastAsia="仿宋_GB2312" w:cs="仿宋_GB2312"/>
        </w:rPr>
        <w:t>名</w:t>
      </w:r>
      <w:r>
        <w:rPr>
          <w:rFonts w:hint="eastAsia" w:ascii="仿宋_GB2312" w:hAnsi="仿宋_GB2312" w:eastAsia="仿宋_GB2312" w:cs="仿宋_GB2312"/>
          <w:lang w:eastAsia="zh-CN"/>
        </w:rPr>
        <w:t>实施</w:t>
      </w:r>
      <w:r>
        <w:rPr>
          <w:rFonts w:hint="eastAsia" w:ascii="仿宋_GB2312" w:hAnsi="仿宋_GB2312" w:eastAsia="仿宋_GB2312" w:cs="仿宋_GB2312"/>
        </w:rPr>
        <w:t>工程师、</w:t>
      </w:r>
      <w:r>
        <w:rPr>
          <w:rFonts w:hint="eastAsia" w:ascii="仿宋_GB2312" w:hAnsi="仿宋_GB2312" w:eastAsia="仿宋_GB2312" w:cs="仿宋_GB2312"/>
          <w:lang w:val="en-US" w:eastAsia="zh-CN"/>
        </w:rPr>
        <w:t>若干名</w:t>
      </w:r>
      <w:r>
        <w:rPr>
          <w:rFonts w:hint="eastAsia" w:ascii="仿宋_GB2312" w:hAnsi="仿宋_GB2312" w:eastAsia="仿宋_GB2312" w:cs="仿宋_GB2312"/>
        </w:rPr>
        <w:t>工程师，全程配合开展所购设备及相关软件配置工作</w:t>
      </w:r>
      <w:r>
        <w:rPr>
          <w:rFonts w:hint="eastAsia" w:ascii="仿宋_GB2312" w:hAnsi="仿宋_GB2312" w:eastAsia="仿宋_GB2312" w:cs="仿宋_GB2312"/>
          <w:lang w:eastAsia="zh-CN"/>
        </w:rPr>
        <w:t>，保障项目的顺利实施</w:t>
      </w:r>
      <w:r>
        <w:rPr>
          <w:rFonts w:hint="eastAsia" w:ascii="仿宋_GB2312" w:hAnsi="仿宋_GB2312" w:eastAsia="仿宋_GB2312" w:cs="仿宋_GB2312"/>
        </w:rPr>
        <w:t>。</w:t>
      </w:r>
    </w:p>
    <w:p>
      <w:pPr>
        <w:pStyle w:val="8"/>
        <w:ind w:firstLine="480" w:firstLineChars="200"/>
        <w:rPr>
          <w:rFonts w:hint="eastAsia" w:ascii="仿宋_GB2312" w:hAnsi="仿宋_GB2312" w:eastAsia="仿宋_GB2312" w:cs="仿宋_GB2312"/>
        </w:rPr>
      </w:pPr>
      <w:r>
        <w:rPr>
          <w:rFonts w:hint="eastAsia" w:ascii="仿宋_GB2312" w:hAnsi="仿宋_GB2312" w:eastAsia="仿宋_GB2312" w:cs="仿宋_GB2312"/>
          <w:lang w:val="en-US" w:eastAsia="zh-CN"/>
        </w:rPr>
        <w:t>1.</w:t>
      </w:r>
      <w:r>
        <w:rPr>
          <w:rFonts w:hint="eastAsia" w:ascii="仿宋_GB2312" w:hAnsi="仿宋_GB2312" w:eastAsia="仿宋_GB2312" w:cs="仿宋_GB2312"/>
        </w:rPr>
        <w:t>在服务期间，中标人须组成专门的项目服务团队，指定项目经理。项目经理由一名具有专业知识的资深管理人员出任，负责整个项目组的项目运作及工作安排、调度和协调。项目经理作为与采购人的接口负责本项目的项目管理，统筹相关工作，项目监督与情况汇报，控制工作质量，执行变更和应急情况管理，并根据实际情况调整服务方人员安排，以保证此项目的正常高效运作。技术服务工程师需具有丰富实施的技术支持和售后服务的实践经验，具有很强的专业技术水平。服务工作结束后，须提交项目总结报告，由采购人进行评估验收。</w:t>
      </w:r>
    </w:p>
    <w:p>
      <w:pPr>
        <w:pStyle w:val="8"/>
        <w:ind w:firstLine="480" w:firstLineChars="200"/>
        <w:rPr>
          <w:rFonts w:hint="eastAsia" w:ascii="仿宋_GB2312" w:hAnsi="仿宋_GB2312" w:eastAsia="仿宋_GB2312" w:cs="仿宋_GB2312"/>
          <w:sz w:val="24"/>
          <w:szCs w:val="20"/>
          <w:lang w:val="en-US" w:eastAsia="en-US" w:bidi="ar-SA"/>
        </w:rPr>
      </w:pPr>
      <w:r>
        <w:rPr>
          <w:rFonts w:hint="eastAsia" w:ascii="仿宋_GB2312" w:hAnsi="仿宋_GB2312" w:eastAsia="仿宋_GB2312" w:cs="仿宋_GB2312"/>
          <w:sz w:val="24"/>
          <w:szCs w:val="20"/>
          <w:lang w:val="en-US" w:eastAsia="zh-CN" w:bidi="ar-SA"/>
        </w:rPr>
        <w:t>2.</w:t>
      </w:r>
      <w:r>
        <w:rPr>
          <w:rFonts w:hint="eastAsia" w:ascii="仿宋_GB2312" w:hAnsi="仿宋_GB2312" w:eastAsia="仿宋_GB2312" w:cs="仿宋_GB2312"/>
          <w:sz w:val="24"/>
          <w:szCs w:val="20"/>
          <w:lang w:val="en-US" w:eastAsia="en-US" w:bidi="ar-SA"/>
        </w:rPr>
        <w:t>针对本项目配备的项目经理（1人）：具有3年</w:t>
      </w:r>
      <w:r>
        <w:rPr>
          <w:rFonts w:hint="eastAsia" w:ascii="仿宋_GB2312" w:hAnsi="仿宋_GB2312" w:eastAsia="仿宋_GB2312" w:cs="仿宋_GB2312"/>
          <w:sz w:val="24"/>
          <w:szCs w:val="20"/>
          <w:lang w:val="en-US" w:eastAsia="zh-CN" w:bidi="ar-SA"/>
        </w:rPr>
        <w:t>或</w:t>
      </w:r>
      <w:r>
        <w:rPr>
          <w:rFonts w:hint="eastAsia" w:ascii="仿宋_GB2312" w:hAnsi="仿宋_GB2312" w:eastAsia="仿宋_GB2312" w:cs="仿宋_GB2312"/>
          <w:sz w:val="24"/>
          <w:szCs w:val="20"/>
          <w:lang w:val="en-US" w:eastAsia="en-US" w:bidi="ar-SA"/>
        </w:rPr>
        <w:t>以上</w:t>
      </w:r>
      <w:r>
        <w:rPr>
          <w:rFonts w:hint="eastAsia" w:ascii="仿宋_GB2312" w:hAnsi="仿宋_GB2312" w:eastAsia="仿宋_GB2312" w:cs="仿宋_GB2312"/>
          <w:sz w:val="24"/>
          <w:szCs w:val="20"/>
          <w:lang w:val="en-US" w:eastAsia="zh-CN" w:bidi="ar-SA"/>
        </w:rPr>
        <w:t>信息系统集成或服务器相关项目</w:t>
      </w:r>
      <w:r>
        <w:rPr>
          <w:rFonts w:hint="eastAsia" w:ascii="仿宋_GB2312" w:hAnsi="仿宋_GB2312" w:eastAsia="仿宋_GB2312" w:cs="仿宋_GB2312"/>
          <w:sz w:val="24"/>
          <w:szCs w:val="20"/>
          <w:lang w:val="en-US" w:eastAsia="en-US" w:bidi="ar-SA"/>
        </w:rPr>
        <w:t>工作经验，具有计算机技术与软件专业技术资格证书中的信息系统项目管理师证书</w:t>
      </w:r>
    </w:p>
    <w:p>
      <w:pPr>
        <w:pStyle w:val="8"/>
        <w:ind w:firstLine="480" w:firstLineChars="200"/>
        <w:rPr>
          <w:rFonts w:hint="default" w:ascii="仿宋_GB2312" w:hAnsi="仿宋_GB2312" w:eastAsia="仿宋_GB2312" w:cs="仿宋_GB2312"/>
          <w:sz w:val="24"/>
          <w:szCs w:val="20"/>
          <w:lang w:val="en-US" w:eastAsia="zh-CN" w:bidi="ar-SA"/>
        </w:rPr>
      </w:pPr>
      <w:r>
        <w:rPr>
          <w:rFonts w:hint="eastAsia" w:ascii="仿宋_GB2312" w:hAnsi="仿宋_GB2312" w:eastAsia="仿宋_GB2312" w:cs="仿宋_GB2312"/>
          <w:sz w:val="24"/>
          <w:szCs w:val="20"/>
          <w:lang w:val="en-US" w:eastAsia="en-US" w:bidi="ar-SA"/>
        </w:rPr>
        <w:t>3.针对本项目配备的技术负责人（1人）和实施工程师（2人）：具有存储生产厂家或认证机构颁发的相关存储认证证书。技术负责人应具有2年</w:t>
      </w:r>
      <w:r>
        <w:rPr>
          <w:rFonts w:hint="eastAsia" w:ascii="仿宋_GB2312" w:hAnsi="仿宋_GB2312" w:eastAsia="仿宋_GB2312" w:cs="仿宋_GB2312"/>
          <w:sz w:val="24"/>
          <w:szCs w:val="20"/>
          <w:lang w:val="en-US" w:eastAsia="zh-CN" w:bidi="ar-SA"/>
        </w:rPr>
        <w:t>或</w:t>
      </w:r>
      <w:r>
        <w:rPr>
          <w:rFonts w:hint="eastAsia" w:ascii="仿宋_GB2312" w:hAnsi="仿宋_GB2312" w:eastAsia="仿宋_GB2312" w:cs="仿宋_GB2312"/>
          <w:sz w:val="24"/>
          <w:szCs w:val="20"/>
          <w:lang w:val="en-US" w:eastAsia="en-US" w:bidi="ar-SA"/>
        </w:rPr>
        <w:t>以上</w:t>
      </w:r>
      <w:r>
        <w:rPr>
          <w:rFonts w:hint="eastAsia" w:ascii="仿宋_GB2312" w:hAnsi="仿宋_GB2312" w:eastAsia="仿宋_GB2312" w:cs="仿宋_GB2312"/>
          <w:sz w:val="24"/>
          <w:szCs w:val="20"/>
          <w:lang w:val="en-US" w:eastAsia="zh-CN" w:bidi="ar-SA"/>
        </w:rPr>
        <w:t>信息系统集成或服务器相关项目</w:t>
      </w:r>
      <w:r>
        <w:rPr>
          <w:rFonts w:hint="eastAsia" w:ascii="仿宋_GB2312" w:hAnsi="仿宋_GB2312" w:eastAsia="仿宋_GB2312" w:cs="仿宋_GB2312"/>
          <w:sz w:val="24"/>
          <w:szCs w:val="20"/>
          <w:lang w:val="en-US" w:eastAsia="en-US" w:bidi="ar-SA"/>
        </w:rPr>
        <w:t>工作经验。</w:t>
      </w:r>
    </w:p>
    <w:p>
      <w:pPr>
        <w:pStyle w:val="8"/>
        <w:ind w:firstLine="480" w:firstLineChars="200"/>
        <w:rPr>
          <w:rFonts w:hint="eastAsia" w:ascii="仿宋_GB2312" w:hAnsi="仿宋_GB2312" w:eastAsia="仿宋_GB2312" w:cs="仿宋_GB2312"/>
        </w:rPr>
      </w:pPr>
      <w:r>
        <w:rPr>
          <w:rFonts w:hint="eastAsia" w:ascii="仿宋_GB2312" w:hAnsi="仿宋_GB2312" w:eastAsia="仿宋_GB2312" w:cs="仿宋_GB2312"/>
          <w:sz w:val="24"/>
          <w:szCs w:val="20"/>
          <w:lang w:val="en-US" w:eastAsia="zh-CN" w:bidi="ar-SA"/>
        </w:rPr>
        <w:t>4.</w:t>
      </w:r>
      <w:r>
        <w:rPr>
          <w:rFonts w:hint="eastAsia" w:ascii="仿宋_GB2312" w:hAnsi="仿宋_GB2312" w:eastAsia="仿宋_GB2312" w:cs="仿宋_GB2312"/>
          <w:sz w:val="24"/>
          <w:szCs w:val="20"/>
          <w:lang w:val="en-US" w:eastAsia="en-US" w:bidi="ar-SA"/>
        </w:rPr>
        <w:t>中标人应配合采购人进行人员管理，</w:t>
      </w:r>
      <w:r>
        <w:rPr>
          <w:rFonts w:hint="eastAsia" w:ascii="仿宋_GB2312" w:hAnsi="仿宋_GB2312" w:eastAsia="仿宋_GB2312" w:cs="仿宋_GB2312"/>
        </w:rPr>
        <w:t>服务人员要服从招标人的管理。</w:t>
      </w:r>
    </w:p>
    <w:p>
      <w:pPr>
        <w:pStyle w:val="8"/>
        <w:ind w:firstLine="480" w:firstLineChars="200"/>
        <w:rPr>
          <w:rFonts w:hint="eastAsia" w:ascii="仿宋_GB2312" w:hAnsi="仿宋_GB2312" w:eastAsia="仿宋_GB2312" w:cs="仿宋_GB2312"/>
        </w:rPr>
      </w:pPr>
      <w:r>
        <w:rPr>
          <w:rFonts w:hint="eastAsia" w:ascii="仿宋_GB2312" w:hAnsi="仿宋_GB2312" w:eastAsia="仿宋_GB2312" w:cs="仿宋_GB2312"/>
          <w:lang w:val="en-US" w:eastAsia="zh-CN"/>
        </w:rPr>
        <w:t>5.</w:t>
      </w:r>
      <w:r>
        <w:rPr>
          <w:rFonts w:hint="eastAsia" w:ascii="仿宋_GB2312" w:hAnsi="仿宋_GB2312" w:eastAsia="仿宋_GB2312" w:cs="仿宋_GB2312"/>
        </w:rPr>
        <w:t xml:space="preserve">服务地点由招标人指定，中标人和实施人服务往返交通方式及费用、食宿费、办公电脑由中标人自行负责。 </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团队全部人员为投标人单位正式职工，提供上述相关人员身份证复印件、简历、劳动合同，并提供最近12个月的任意一个月的社保缴纳证明并加盖投标人公章）。</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采购人如认为中标人的项目组成员达不到要求，有权要求中标人更换，中标人必须负责在1周之内调换符合采购人要求的项目成员。提供承诺函加盖投标人公章。</w:t>
      </w:r>
    </w:p>
    <w:p>
      <w:pPr>
        <w:pStyle w:val="8"/>
        <w:ind w:firstLine="480" w:firstLineChars="200"/>
        <w:rPr>
          <w:rFonts w:hint="default"/>
          <w:lang w:val="en-US" w:eastAsia="zh-CN"/>
        </w:rPr>
      </w:pPr>
      <w:r>
        <w:rPr>
          <w:rFonts w:hint="eastAsia" w:ascii="仿宋_GB2312" w:hAnsi="仿宋_GB2312" w:eastAsia="仿宋_GB2312" w:cs="仿宋_GB2312"/>
          <w:lang w:eastAsia="zh-CN"/>
        </w:rPr>
        <w:t>中标人原则上不允许更换人员，如特殊情况需要调整项目组成员的，应提前1周书面通知采购人，并获得采购人的确认后才能安排调整，且更换的人员必须具有同等或以上级别和实施经验，并且做好项目交接和资料回收工作；人员搭配应合理，并满足项目实施的要求。提供承诺函加盖投标人公章。</w:t>
      </w:r>
      <w:r>
        <w:rPr>
          <w:rFonts w:hint="eastAsia" w:ascii="仿宋_GB2312" w:hAnsi="仿宋_GB2312" w:eastAsia="仿宋_GB2312" w:cs="仿宋_GB2312"/>
          <w:sz w:val="28"/>
          <w:szCs w:val="28"/>
          <w:lang w:val="en-US" w:eastAsia="zh-CN"/>
        </w:rPr>
        <w:t xml:space="preserve">  </w:t>
      </w:r>
    </w:p>
    <w:p>
      <w:pPr>
        <w:pStyle w:val="4"/>
        <w:spacing w:before="0" w:after="0" w:line="360" w:lineRule="auto"/>
        <w:ind w:firstLine="562" w:firstLineChars="200"/>
        <w:outlineLvl w:val="0"/>
        <w:rPr>
          <w:rFonts w:hint="eastAsia" w:ascii="仿宋_GB2312" w:hAnsi="仿宋_GB2312" w:eastAsia="仿宋_GB2312" w:cs="仿宋_GB2312"/>
          <w:i w:val="0"/>
          <w:iCs w:val="0"/>
          <w:lang w:val="en-US" w:eastAsia="zh-CN"/>
        </w:rPr>
      </w:pPr>
      <w:bookmarkStart w:id="135" w:name="_Toc16749"/>
      <w:bookmarkStart w:id="136" w:name="_Toc23077"/>
      <w:bookmarkStart w:id="137" w:name="_Toc13344"/>
      <w:bookmarkStart w:id="138" w:name="_Toc14527"/>
      <w:bookmarkStart w:id="139" w:name="_Toc30602"/>
      <w:bookmarkStart w:id="140" w:name="_Toc32579"/>
      <w:bookmarkStart w:id="141" w:name="_Toc30677"/>
      <w:bookmarkStart w:id="142" w:name="_Toc8047"/>
      <w:bookmarkStart w:id="143" w:name="_Toc19917"/>
      <w:bookmarkStart w:id="144" w:name="_Toc2225"/>
      <w:bookmarkStart w:id="145" w:name="_Toc26592"/>
      <w:bookmarkStart w:id="146" w:name="_Toc29524"/>
      <w:bookmarkStart w:id="147" w:name="_Toc5223"/>
      <w:r>
        <w:rPr>
          <w:rFonts w:hint="eastAsia" w:ascii="仿宋_GB2312" w:hAnsi="仿宋_GB2312" w:eastAsia="仿宋_GB2312" w:cs="仿宋_GB2312"/>
          <w:i w:val="0"/>
          <w:iCs w:val="0"/>
          <w:lang w:val="en-US" w:eastAsia="zh-CN"/>
        </w:rPr>
        <w:t>3.4管理实施要求</w:t>
      </w:r>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20"/>
        <w:spacing w:before="0" w:after="0" w:line="360" w:lineRule="auto"/>
        <w:ind w:firstLine="64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0"/>
          <w:lang w:eastAsia="zh-CN"/>
        </w:rPr>
        <w:t>投标人应成立项目组，严格遵守本项目管控的要求。基于成熟的项目管理方法论，制订完善的项目管理制度、流程，合理划分项目管理的阶段，在项目执行过程中对项目进行规范化管理，确保项</w:t>
      </w:r>
      <w:r>
        <w:rPr>
          <w:rFonts w:hint="eastAsia" w:ascii="仿宋_GB2312" w:hAnsi="仿宋_GB2312" w:eastAsia="仿宋_GB2312" w:cs="仿宋_GB2312"/>
          <w:color w:val="auto"/>
          <w:sz w:val="24"/>
          <w:szCs w:val="24"/>
        </w:rPr>
        <w:t>目进度和质量。</w:t>
      </w:r>
    </w:p>
    <w:p>
      <w:pPr>
        <w:pStyle w:val="20"/>
        <w:spacing w:before="0" w:after="0" w:line="360" w:lineRule="auto"/>
        <w:ind w:firstLine="64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若在本技术需求书中出现不合理或不完整等可能影响项目实施的问题，中标人有责任和义务提出补充修改方案并征得招标人同意后付诸实施，招标人不再另行支付任何费用。其他未尽事宜，由中标人与招标人协商。</w:t>
      </w:r>
    </w:p>
    <w:p>
      <w:pPr>
        <w:spacing w:before="0" w:after="0" w:line="360" w:lineRule="auto"/>
        <w:ind w:firstLine="480" w:firstLineChars="200"/>
        <w:rPr>
          <w:rFonts w:hint="eastAsia" w:ascii="仿宋_GB2312" w:hAnsi="仿宋_GB2312" w:eastAsia="仿宋_GB2312" w:cs="仿宋_GB2312"/>
        </w:rPr>
      </w:pPr>
      <w:r>
        <w:rPr>
          <w:rFonts w:hint="eastAsia" w:ascii="仿宋_GB2312" w:hAnsi="仿宋_GB2312" w:eastAsia="仿宋_GB2312" w:cs="仿宋_GB2312"/>
        </w:rPr>
        <w:t>（1）中标人须遵循采购人的各项规章制度，工作时间不得从事任何与工作无关的事情。未经采购人事先书面同意，中标人不得将由采购人为本项目提供的条文、规格、计划、样品或资料提供给与本项目无关的任何第三方，不得将其用于履行本项目之外的其它用途。即使向与履行本项目有关的人员提供，也应注意保密并限于履行项目所必需的范围。</w:t>
      </w:r>
    </w:p>
    <w:p>
      <w:pPr>
        <w:spacing w:before="0" w:after="0" w:line="360" w:lineRule="auto"/>
        <w:ind w:firstLine="480" w:firstLineChars="200"/>
        <w:rPr>
          <w:rFonts w:hint="eastAsia" w:ascii="仿宋_GB2312" w:hAnsi="仿宋_GB2312" w:eastAsia="仿宋_GB2312" w:cs="仿宋_GB2312"/>
        </w:rPr>
      </w:pPr>
      <w:r>
        <w:rPr>
          <w:rFonts w:hint="eastAsia" w:ascii="仿宋_GB2312" w:hAnsi="仿宋_GB2312" w:eastAsia="仿宋_GB2312" w:cs="仿宋_GB2312"/>
        </w:rPr>
        <w:t>（2）除了项目本身之外，上款所列举的任何物件均是采购人的财产。如果采购人有要求，中标人在完成项目后应将这些物件及全部复制件还给采购人。</w:t>
      </w:r>
    </w:p>
    <w:p>
      <w:pPr>
        <w:spacing w:before="0" w:after="0" w:line="360" w:lineRule="auto"/>
        <w:ind w:firstLine="480" w:firstLineChars="200"/>
        <w:rPr>
          <w:rFonts w:hint="eastAsia" w:ascii="仿宋_GB2312" w:hAnsi="仿宋_GB2312" w:eastAsia="仿宋_GB2312" w:cs="仿宋_GB2312"/>
        </w:rPr>
      </w:pPr>
      <w:r>
        <w:rPr>
          <w:rFonts w:hint="eastAsia" w:ascii="仿宋_GB2312" w:hAnsi="仿宋_GB2312" w:eastAsia="仿宋_GB2312" w:cs="仿宋_GB2312"/>
        </w:rPr>
        <w:t>（3）技术支持过程中至中标人正式向采购人交付文档资料时止，中标人应采取措施对本项目过程中的数据、源代码、技术文档等资料保密，否则，由于中标人过错导致的上述资料泄密的，中标人需承担相应法律责任。</w:t>
      </w:r>
    </w:p>
    <w:p>
      <w:pPr>
        <w:spacing w:before="0" w:after="0" w:line="360" w:lineRule="auto"/>
        <w:ind w:firstLine="480" w:firstLineChars="200"/>
        <w:rPr>
          <w:rFonts w:hint="eastAsia" w:ascii="仿宋_GB2312" w:hAnsi="仿宋_GB2312" w:eastAsia="仿宋_GB2312" w:cs="仿宋_GB2312"/>
        </w:rPr>
      </w:pPr>
      <w:r>
        <w:rPr>
          <w:rFonts w:hint="eastAsia" w:ascii="仿宋_GB2312" w:hAnsi="仿宋_GB2312" w:eastAsia="仿宋_GB2312" w:cs="仿宋_GB2312"/>
        </w:rPr>
        <w:t>（4）项目中所涉及的双方的内部资料、数据、业务流程、工作规范和开发过程中产生的文档记录以及其它商业信息，双方均有责任承担保密义务。未经对方许可，任何一方不得以任何形式向其他方泄露。</w:t>
      </w:r>
    </w:p>
    <w:p>
      <w:pPr>
        <w:spacing w:before="0" w:after="0" w:line="360" w:lineRule="auto"/>
        <w:ind w:firstLine="480" w:firstLineChars="200"/>
        <w:rPr>
          <w:rFonts w:hint="eastAsia" w:ascii="仿宋_GB2312" w:hAnsi="仿宋_GB2312" w:eastAsia="仿宋_GB2312" w:cs="仿宋_GB2312"/>
        </w:rPr>
      </w:pPr>
      <w:r>
        <w:rPr>
          <w:rFonts w:hint="eastAsia" w:ascii="仿宋_GB2312" w:hAnsi="仿宋_GB2312" w:eastAsia="仿宋_GB2312" w:cs="仿宋_GB2312"/>
        </w:rPr>
        <w:t>（5）中标人保证自身及其工作人员对在服务过程中所了解、知悉的采购人或相关单位的政府信息不得对外泄露，否则应付全部法律责任。</w:t>
      </w:r>
    </w:p>
    <w:p>
      <w:pPr>
        <w:pStyle w:val="20"/>
        <w:spacing w:before="0" w:after="0" w:line="360" w:lineRule="auto"/>
        <w:ind w:firstLine="480" w:firstLineChars="200"/>
        <w:textAlignment w:val="baseline"/>
        <w:rPr>
          <w:rFonts w:hint="eastAsia" w:ascii="宋体" w:hAnsi="宋体" w:eastAsia="宋体" w:cs="宋体"/>
          <w:color w:val="auto"/>
          <w:sz w:val="24"/>
          <w:szCs w:val="24"/>
        </w:rPr>
      </w:pPr>
      <w:r>
        <w:rPr>
          <w:rFonts w:hint="eastAsia" w:ascii="仿宋_GB2312" w:hAnsi="仿宋_GB2312" w:eastAsia="仿宋_GB2312" w:cs="仿宋_GB2312"/>
        </w:rPr>
        <w:t>（6）所有使用设备和工具应经过安全检测、避免出现安全漏洞和隐患。</w:t>
      </w:r>
    </w:p>
    <w:p>
      <w:pPr>
        <w:pStyle w:val="4"/>
        <w:spacing w:before="0" w:after="0" w:line="360" w:lineRule="auto"/>
        <w:ind w:firstLine="562" w:firstLineChars="200"/>
        <w:outlineLvl w:val="0"/>
        <w:rPr>
          <w:rFonts w:hint="eastAsia" w:ascii="仿宋_GB2312" w:hAnsi="仿宋_GB2312" w:eastAsia="仿宋_GB2312" w:cs="仿宋_GB2312"/>
          <w:i w:val="0"/>
          <w:iCs w:val="0"/>
          <w:lang w:val="en-US" w:eastAsia="zh-CN"/>
        </w:rPr>
      </w:pPr>
      <w:bookmarkStart w:id="148" w:name="_Toc12097"/>
      <w:bookmarkStart w:id="149" w:name="_Toc15213"/>
      <w:bookmarkStart w:id="150" w:name="_Toc23445"/>
      <w:bookmarkStart w:id="151" w:name="_Toc10115"/>
      <w:bookmarkStart w:id="152" w:name="_Toc30546"/>
      <w:bookmarkStart w:id="153" w:name="_Toc26236"/>
      <w:bookmarkStart w:id="154" w:name="_Toc4104"/>
      <w:bookmarkStart w:id="155" w:name="_Toc24187"/>
      <w:bookmarkStart w:id="156" w:name="_Toc21701"/>
      <w:bookmarkStart w:id="157" w:name="_Toc6394"/>
      <w:bookmarkStart w:id="158" w:name="_Toc19625"/>
      <w:bookmarkStart w:id="159" w:name="_Toc8932"/>
      <w:bookmarkStart w:id="160" w:name="_Toc1850"/>
      <w:r>
        <w:rPr>
          <w:rFonts w:hint="eastAsia" w:ascii="仿宋_GB2312" w:hAnsi="仿宋_GB2312" w:eastAsia="仿宋_GB2312" w:cs="仿宋_GB2312"/>
          <w:i w:val="0"/>
          <w:iCs w:val="0"/>
          <w:lang w:val="en-US" w:eastAsia="zh-CN"/>
        </w:rPr>
        <w:t>3.5风险管控要求</w:t>
      </w:r>
      <w:bookmarkEnd w:id="148"/>
      <w:bookmarkEnd w:id="149"/>
      <w:bookmarkEnd w:id="150"/>
      <w:bookmarkEnd w:id="151"/>
      <w:bookmarkEnd w:id="152"/>
      <w:bookmarkEnd w:id="153"/>
      <w:bookmarkEnd w:id="154"/>
      <w:bookmarkEnd w:id="155"/>
      <w:bookmarkEnd w:id="156"/>
      <w:bookmarkEnd w:id="157"/>
      <w:bookmarkEnd w:id="158"/>
      <w:bookmarkEnd w:id="159"/>
      <w:bookmarkEnd w:id="160"/>
    </w:p>
    <w:p>
      <w:pPr>
        <w:spacing w:line="360" w:lineRule="auto"/>
        <w:ind w:firstLine="48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中标人应做好项目实施风险的管控工作，包括并不限于安全风险管理、进度风险管理及质量风险管理，确保如期高质量完成项目工作。</w:t>
      </w:r>
      <w:r>
        <w:rPr>
          <w:rFonts w:hint="eastAsia" w:ascii="仿宋_GB2312" w:hAnsi="仿宋_GB2312" w:eastAsia="仿宋_GB2312" w:cs="仿宋_GB2312"/>
          <w:sz w:val="24"/>
          <w:szCs w:val="24"/>
          <w:lang w:val="en-US" w:eastAsia="zh-CN"/>
        </w:rPr>
        <w:t xml:space="preserve">   </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1.中标人提供的货物/服务不符合采购文件、本合同要求的，采购人有权拒收并要求中标人进行整改，并且采购人保留要求中标人支付本合同总价5%的违约金的权利；中标人超过5日整改或者整改后仍不符合要求的，采购人有权解除合同并要求中标人支付合同总价30%的违约金，中标人造成采购人损失的，仍应承担全部的赔偿责任。</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2.中标人未能按本合同规定的时间提供货物/服务，从逾期之日起每日按本合同总价5‰的数额向采购人支付违约金；逾期15天及以上的，采购人有权终止合同，双方按已提供服务的期限及内容结算服务费后，中标人向采购人支付本合同总额30%的违约金，由此造成的采购人经济损失由中标人承担，包括但不限于采购人委托第三方处理产生的费用等。</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3.中标人未按约定的要求提供服务，引发重要基础系统出现故障（不可抗力因素除外），导致全省范围内业务中断，持续时间超过4小时，中标人须按照合同总价款的10%向采购人支付违约金，给采购人造成损失的，中标人需承担赔偿责任。若后续事故未能在24小时内解决，或者类似事故一个月内发生2次以上，采购人有权解除本合同，并且不予支付合同尾款。</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4.甲方逾期付款，每日按应付未付款的万分之一向乙方偿付违约金，违约金总额累计       不超过合同总金额的5%。</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5.</w:t>
      </w:r>
      <w:r>
        <w:rPr>
          <w:rFonts w:hint="eastAsia" w:ascii="仿宋_GB2312" w:hAnsi="仿宋_GB2312" w:eastAsia="仿宋_GB2312" w:cs="仿宋_GB2312"/>
          <w:lang w:eastAsia="zh-CN"/>
        </w:rPr>
        <w:t>乙方不得另行开发本合同业务需求范围内、供纳税人(或缴费人)使用的软件,如有违反，甲方将乙方纳入税务系统信息化服务商失信名单。</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6.</w:t>
      </w:r>
      <w:r>
        <w:rPr>
          <w:rFonts w:hint="eastAsia" w:ascii="仿宋_GB2312" w:hAnsi="仿宋_GB2312" w:eastAsia="仿宋_GB2312" w:cs="仿宋_GB2312"/>
          <w:lang w:eastAsia="zh-CN"/>
        </w:rPr>
        <w:t>乙方应建立防止违法违规聘用离职税务人员的风险控制制度。乙方违法违规聘用离职税务人员的，甲方有权视情况采取以下一项或多项措施：</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ab/>
      </w:r>
      <w:r>
        <w:rPr>
          <w:rFonts w:hint="eastAsia" w:ascii="仿宋_GB2312" w:hAnsi="仿宋_GB2312" w:eastAsia="仿宋_GB2312" w:cs="仿宋_GB2312"/>
          <w:lang w:eastAsia="zh-CN"/>
        </w:rPr>
        <w:t>①甲方要求乙方限期改正；</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ab/>
      </w:r>
      <w:r>
        <w:rPr>
          <w:rFonts w:hint="eastAsia" w:ascii="仿宋_GB2312" w:hAnsi="仿宋_GB2312" w:eastAsia="仿宋_GB2312" w:cs="仿宋_GB2312"/>
          <w:lang w:eastAsia="zh-CN"/>
        </w:rPr>
        <w:t>②乙方按合同总价10%的数额向甲方支付违约金；</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③甲方有权解除部分或全部合同。</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7.乙方需保证所提供服务的正常运作，如出现纳税人投诉或相关部门反馈监督意见等情形的，每出现一次乙方需支付本合同总额1%违约金，并赔偿甲方遭受的损失。</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8.如乙方存在违背保密协议或廉政协议约定义务的行为，甲方有权解除合同，乙方须一次性支付本合同总额30%的违约金，由此造成的甲方经济损失由乙方承担。</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9.乙方因违反本合同约定所需承担的违约金、赔偿金等，甲方有权直接于应付款中予以扣除，如不足以抵扣的乙方须赔偿补足。</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10.本合同履行过程中一方违约的，违约方应赔偿守约方的损失，包括但不限于律师费、诉讼/仲裁费、公证费、差旅费、保全费、担保保函费等费用。</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11.</w:t>
      </w:r>
      <w:r>
        <w:rPr>
          <w:rFonts w:hint="eastAsia" w:ascii="仿宋_GB2312" w:hAnsi="仿宋_GB2312" w:eastAsia="仿宋_GB2312" w:cs="仿宋_GB2312"/>
          <w:lang w:eastAsia="zh-CN"/>
        </w:rPr>
        <w:t>其它违约责任按《中华人民共和国民法典》处理。</w:t>
      </w:r>
    </w:p>
    <w:p>
      <w:pPr>
        <w:pStyle w:val="4"/>
        <w:spacing w:before="0" w:after="0" w:line="360" w:lineRule="auto"/>
        <w:ind w:firstLine="562" w:firstLineChars="200"/>
        <w:outlineLvl w:val="0"/>
        <w:rPr>
          <w:rFonts w:hint="eastAsia" w:ascii="仿宋_GB2312" w:hAnsi="仿宋_GB2312" w:eastAsia="仿宋_GB2312" w:cs="仿宋_GB2312"/>
          <w:i w:val="0"/>
          <w:iCs w:val="0"/>
          <w:lang w:val="en-US" w:eastAsia="zh-CN"/>
        </w:rPr>
      </w:pPr>
      <w:bookmarkStart w:id="161" w:name="_Toc18732"/>
      <w:bookmarkStart w:id="162" w:name="_Toc4421"/>
      <w:bookmarkStart w:id="163" w:name="_Toc4554"/>
      <w:bookmarkStart w:id="164" w:name="_Toc18531"/>
      <w:bookmarkStart w:id="165" w:name="_Toc20652"/>
      <w:bookmarkStart w:id="166" w:name="_Toc22756"/>
      <w:bookmarkStart w:id="167" w:name="_Toc12940"/>
      <w:bookmarkStart w:id="168" w:name="_Toc6392"/>
      <w:bookmarkStart w:id="169" w:name="_Toc10183"/>
      <w:bookmarkStart w:id="170" w:name="_Toc21474"/>
      <w:bookmarkStart w:id="171" w:name="_Toc6178"/>
      <w:bookmarkStart w:id="172" w:name="_Toc4543"/>
      <w:bookmarkStart w:id="173" w:name="_Toc48"/>
      <w:r>
        <w:rPr>
          <w:rFonts w:hint="eastAsia" w:ascii="仿宋_GB2312" w:hAnsi="仿宋_GB2312" w:eastAsia="仿宋_GB2312" w:cs="仿宋_GB2312"/>
          <w:i w:val="0"/>
          <w:iCs w:val="0"/>
          <w:lang w:val="en-US" w:eastAsia="zh-CN"/>
        </w:rPr>
        <w:t>3.6履约验收要求</w:t>
      </w:r>
      <w:bookmarkEnd w:id="161"/>
      <w:bookmarkEnd w:id="162"/>
      <w:bookmarkEnd w:id="163"/>
      <w:bookmarkEnd w:id="164"/>
      <w:bookmarkEnd w:id="165"/>
      <w:bookmarkEnd w:id="166"/>
      <w:bookmarkEnd w:id="167"/>
      <w:bookmarkEnd w:id="168"/>
      <w:bookmarkEnd w:id="169"/>
      <w:bookmarkEnd w:id="170"/>
      <w:bookmarkEnd w:id="171"/>
      <w:bookmarkEnd w:id="172"/>
      <w:bookmarkEnd w:id="173"/>
    </w:p>
    <w:p>
      <w:pPr>
        <w:spacing w:line="360" w:lineRule="auto"/>
        <w:ind w:firstLine="480" w:firstLineChars="200"/>
        <w:rPr>
          <w:rFonts w:hint="eastAsia" w:ascii="仿宋_GB2312" w:hAnsi="仿宋_GB2312" w:eastAsia="仿宋_GB2312" w:cs="仿宋_GB2312"/>
          <w:szCs w:val="20"/>
          <w:lang w:eastAsia="zh-CN"/>
        </w:rPr>
      </w:pPr>
      <w:r>
        <w:rPr>
          <w:rFonts w:hint="eastAsia" w:ascii="仿宋_GB2312" w:hAnsi="仿宋_GB2312" w:eastAsia="仿宋_GB2312" w:cs="仿宋_GB2312"/>
          <w:szCs w:val="20"/>
          <w:lang w:eastAsia="zh-CN"/>
        </w:rPr>
        <w:t>合同签订后，在合同约定时间内完成存储的供货和安装部署。完成后中标人应提供以下资料进行验收：设备到场开箱检查表、设备移交清单、安装部署报告、测试及试运行报告、用户手册或硬件使用维护说明书、验收技术评审表、原厂维保服务（含介质保留服务）证明文件、软件授权</w:t>
      </w:r>
      <w:r>
        <w:rPr>
          <w:rFonts w:hint="eastAsia" w:ascii="仿宋_GB2312" w:hAnsi="仿宋_GB2312" w:eastAsia="仿宋_GB2312" w:cs="仿宋_GB2312"/>
          <w:szCs w:val="20"/>
          <w:lang w:val="en-US" w:eastAsia="zh-CN"/>
        </w:rPr>
        <w:t>/license证明文件</w:t>
      </w:r>
      <w:r>
        <w:rPr>
          <w:rFonts w:hint="eastAsia" w:ascii="仿宋_GB2312" w:hAnsi="仿宋_GB2312" w:eastAsia="仿宋_GB2312" w:cs="仿宋_GB2312"/>
          <w:szCs w:val="20"/>
          <w:lang w:eastAsia="zh-CN"/>
        </w:rPr>
        <w:t>。</w:t>
      </w:r>
    </w:p>
    <w:p>
      <w:pPr>
        <w:spacing w:line="360" w:lineRule="auto"/>
        <w:ind w:firstLine="480" w:firstLineChars="200"/>
        <w:rPr>
          <w:rFonts w:hint="eastAsia" w:ascii="仿宋_GB2312" w:hAnsi="仿宋_GB2312" w:eastAsia="仿宋_GB2312" w:cs="仿宋_GB2312"/>
          <w:szCs w:val="20"/>
          <w:lang w:eastAsia="zh-CN"/>
        </w:rPr>
      </w:pPr>
      <w:r>
        <w:rPr>
          <w:rFonts w:hint="eastAsia" w:ascii="仿宋_GB2312" w:hAnsi="仿宋_GB2312" w:eastAsia="仿宋_GB2312" w:cs="仿宋_GB2312"/>
          <w:szCs w:val="20"/>
          <w:lang w:eastAsia="zh-CN"/>
        </w:rPr>
        <w:t>1.交付验收标准依次序对照适用标准为：①符合中华人民共和国国家安全质量标准、环保标准或行业标准；②符合招标文件和响应承诺中甲方认可的合理最佳配置、参数及各项要求；③货物来源国官方标准。</w:t>
      </w:r>
    </w:p>
    <w:p>
      <w:pPr>
        <w:spacing w:line="360" w:lineRule="auto"/>
        <w:ind w:firstLine="480" w:firstLineChars="200"/>
        <w:rPr>
          <w:rFonts w:hint="eastAsia" w:ascii="仿宋_GB2312" w:hAnsi="仿宋_GB2312" w:eastAsia="仿宋_GB2312" w:cs="仿宋_GB2312"/>
          <w:szCs w:val="20"/>
          <w:lang w:eastAsia="zh-CN"/>
        </w:rPr>
      </w:pPr>
      <w:r>
        <w:rPr>
          <w:rFonts w:hint="eastAsia" w:ascii="仿宋_GB2312" w:hAnsi="仿宋_GB2312" w:eastAsia="仿宋_GB2312" w:cs="仿宋_GB2312"/>
          <w:szCs w:val="20"/>
          <w:lang w:eastAsia="zh-CN"/>
        </w:rPr>
        <w:t>2.进口产品必须具备原产地证明和商检局的检验证明及合法进货渠道证明。</w:t>
      </w:r>
    </w:p>
    <w:p>
      <w:pPr>
        <w:spacing w:line="360" w:lineRule="auto"/>
        <w:ind w:firstLine="480" w:firstLineChars="200"/>
        <w:rPr>
          <w:rFonts w:hint="eastAsia" w:ascii="仿宋_GB2312" w:hAnsi="仿宋_GB2312" w:eastAsia="仿宋_GB2312" w:cs="仿宋_GB2312"/>
          <w:szCs w:val="20"/>
          <w:lang w:eastAsia="zh-CN"/>
        </w:rPr>
      </w:pPr>
      <w:r>
        <w:rPr>
          <w:rFonts w:hint="eastAsia" w:ascii="仿宋_GB2312" w:hAnsi="仿宋_GB2312" w:eastAsia="仿宋_GB2312" w:cs="仿宋_GB2312"/>
          <w:szCs w:val="20"/>
          <w:lang w:eastAsia="zh-CN"/>
        </w:rPr>
        <w:t>3.货物为原厂商未启封全新包装，具出厂合格证，序列号、包装箱号与出厂批号一致，并可追索查阅。所有随设备的附件必须齐全。</w:t>
      </w:r>
    </w:p>
    <w:p>
      <w:pPr>
        <w:spacing w:line="360" w:lineRule="auto"/>
        <w:ind w:firstLine="480" w:firstLineChars="200"/>
        <w:rPr>
          <w:rFonts w:hint="eastAsia" w:ascii="仿宋_GB2312" w:hAnsi="仿宋_GB2312" w:eastAsia="仿宋_GB2312" w:cs="仿宋_GB2312"/>
          <w:szCs w:val="20"/>
          <w:lang w:eastAsia="zh-CN"/>
        </w:rPr>
      </w:pPr>
      <w:r>
        <w:rPr>
          <w:rFonts w:hint="eastAsia" w:ascii="仿宋_GB2312" w:hAnsi="仿宋_GB2312" w:eastAsia="仿宋_GB2312" w:cs="仿宋_GB2312"/>
          <w:szCs w:val="20"/>
          <w:lang w:eastAsia="zh-CN"/>
        </w:rPr>
        <w:t>4.乙方应将关键主机设备的用户手册、保修手册、有关单证资料及配备件、随机工具等交付给甲方，使用操作及安全须知等重要资料应附有中文说明。</w:t>
      </w:r>
    </w:p>
    <w:p>
      <w:pPr>
        <w:spacing w:line="360" w:lineRule="auto"/>
        <w:ind w:firstLine="480" w:firstLineChars="200"/>
        <w:rPr>
          <w:rFonts w:hint="eastAsia" w:ascii="仿宋_GB2312" w:hAnsi="仿宋_GB2312" w:eastAsia="仿宋_GB2312" w:cs="仿宋_GB2312"/>
          <w:szCs w:val="20"/>
          <w:lang w:eastAsia="zh-CN"/>
        </w:rPr>
      </w:pPr>
      <w:r>
        <w:rPr>
          <w:rFonts w:hint="eastAsia" w:ascii="仿宋_GB2312" w:hAnsi="仿宋_GB2312" w:eastAsia="仿宋_GB2312" w:cs="仿宋_GB2312"/>
          <w:szCs w:val="20"/>
          <w:lang w:eastAsia="zh-CN"/>
        </w:rPr>
        <w:t>5.甲方组成验收小组按国家有关规定、规范进行验收，必要时邀请相关的专业人员或机构参与验收。因货物质量问题发生争议时，由本地质量技术监督部门鉴定。货物符合质量技术标准的，鉴定费由甲方承担；否则鉴定费由乙方承担。</w:t>
      </w:r>
    </w:p>
    <w:p>
      <w:pPr>
        <w:pStyle w:val="4"/>
        <w:spacing w:before="0" w:after="0" w:line="360" w:lineRule="auto"/>
        <w:ind w:firstLine="562" w:firstLineChars="200"/>
        <w:outlineLvl w:val="0"/>
        <w:rPr>
          <w:rFonts w:hint="eastAsia" w:ascii="仿宋_GB2312" w:hAnsi="仿宋_GB2312" w:eastAsia="仿宋_GB2312" w:cs="仿宋_GB2312"/>
          <w:i w:val="0"/>
          <w:iCs w:val="0"/>
          <w:lang w:val="en-US" w:eastAsia="zh-CN"/>
        </w:rPr>
      </w:pPr>
      <w:bookmarkStart w:id="174" w:name="_Toc27946"/>
      <w:bookmarkStart w:id="175" w:name="_Toc32010"/>
      <w:bookmarkStart w:id="176" w:name="_Toc15605"/>
      <w:bookmarkStart w:id="177" w:name="_Toc28180"/>
      <w:bookmarkStart w:id="178" w:name="_Toc23285"/>
      <w:bookmarkStart w:id="179" w:name="_Toc31822"/>
      <w:bookmarkStart w:id="180" w:name="_Toc24259"/>
      <w:bookmarkStart w:id="181" w:name="_Toc86"/>
      <w:bookmarkStart w:id="182" w:name="_Toc20459"/>
      <w:bookmarkStart w:id="183" w:name="_Toc4864"/>
      <w:bookmarkStart w:id="184" w:name="_Toc25859"/>
      <w:bookmarkStart w:id="185" w:name="_Toc10343"/>
      <w:bookmarkStart w:id="186" w:name="_Toc1872"/>
      <w:r>
        <w:rPr>
          <w:rFonts w:hint="eastAsia" w:ascii="仿宋_GB2312" w:hAnsi="仿宋_GB2312" w:eastAsia="仿宋_GB2312" w:cs="仿宋_GB2312"/>
          <w:i w:val="0"/>
          <w:iCs w:val="0"/>
          <w:lang w:val="en-US" w:eastAsia="zh-CN"/>
        </w:rPr>
        <w:t>3.7 通用必备要求</w:t>
      </w:r>
      <w:bookmarkEnd w:id="174"/>
      <w:bookmarkEnd w:id="175"/>
      <w:bookmarkEnd w:id="176"/>
      <w:bookmarkEnd w:id="177"/>
      <w:bookmarkEnd w:id="178"/>
      <w:bookmarkEnd w:id="179"/>
      <w:bookmarkEnd w:id="180"/>
      <w:bookmarkEnd w:id="181"/>
      <w:bookmarkEnd w:id="182"/>
      <w:bookmarkEnd w:id="183"/>
      <w:bookmarkEnd w:id="184"/>
      <w:bookmarkEnd w:id="185"/>
      <w:bookmarkEnd w:id="186"/>
    </w:p>
    <w:p>
      <w:pPr>
        <w:spacing w:before="0" w:after="0" w:line="360" w:lineRule="auto"/>
        <w:ind w:firstLine="482" w:firstLineChars="200"/>
        <w:rPr>
          <w:rFonts w:hint="eastAsia" w:ascii="仿宋_GB2312" w:hAnsi="仿宋_GB2312" w:eastAsia="仿宋_GB2312" w:cs="仿宋_GB2312"/>
          <w:sz w:val="24"/>
          <w:szCs w:val="20"/>
          <w:lang w:eastAsia="zh-CN"/>
        </w:rPr>
      </w:pPr>
      <w:r>
        <w:rPr>
          <w:rFonts w:ascii="仿宋_GB2312" w:hAnsi="仿宋_GB2312" w:eastAsia="仿宋_GB2312" w:cs="仿宋_GB2312"/>
          <w:b/>
        </w:rPr>
        <w:t>★</w:t>
      </w:r>
      <w:r>
        <w:rPr>
          <w:rFonts w:hint="eastAsia" w:ascii="仿宋_GB2312" w:hAnsi="仿宋_GB2312" w:eastAsia="仿宋_GB2312" w:cs="仿宋_GB2312"/>
          <w:sz w:val="24"/>
          <w:szCs w:val="20"/>
          <w:lang w:eastAsia="zh-CN"/>
        </w:rPr>
        <w:t xml:space="preserve">1.本项目中如涉及商品包装和快递包装的，其包装需求标准应不低于《关于印发&lt;商品包装政府采购需求标准（试行）&gt;、&lt;快递包装政府采购需求标准（试行）&gt;的通知》（财办库〔2020〕123 号）规定的包装要求，如有其他包装需求，详见采购文件技术部分相关章节。 </w:t>
      </w:r>
    </w:p>
    <w:p>
      <w:pPr>
        <w:spacing w:before="0" w:after="0" w:line="360" w:lineRule="auto"/>
        <w:ind w:firstLine="482" w:firstLineChars="200"/>
        <w:rPr>
          <w:rFonts w:hint="eastAsia" w:ascii="仿宋_GB2312" w:hAnsi="仿宋_GB2312" w:eastAsia="仿宋_GB2312" w:cs="仿宋_GB2312"/>
          <w:sz w:val="24"/>
          <w:szCs w:val="20"/>
          <w:lang w:eastAsia="zh-CN"/>
        </w:rPr>
      </w:pPr>
      <w:r>
        <w:rPr>
          <w:rFonts w:ascii="仿宋_GB2312" w:hAnsi="仿宋_GB2312" w:eastAsia="仿宋_GB2312" w:cs="仿宋_GB2312"/>
          <w:b/>
        </w:rPr>
        <w:t>★</w:t>
      </w:r>
      <w:r>
        <w:rPr>
          <w:rFonts w:hint="eastAsia" w:ascii="仿宋_GB2312" w:hAnsi="仿宋_GB2312" w:eastAsia="仿宋_GB2312" w:cs="仿宋_GB2312"/>
          <w:sz w:val="24"/>
          <w:szCs w:val="20"/>
          <w:lang w:eastAsia="zh-CN"/>
        </w:rPr>
        <w:t xml:space="preserve">2.本项目中如涉及网络关键设备或网络安全专用产品的，应严格执行国家互联网信息办公室、工业和信息化部、公安部、财政部和国家认证认可监督管理委员会 2023年第 1 号《关于调整网络安全专用产品安全管理有关事项的公告》及国家互联网信息办公室、工业和信息化部、公安部和国家认证认可监督管理委员会 2023 年第 2号《关于调整&lt;网络关键设备和网络安全专用产品目录&gt;的公告》等相关文件要求，所投标（响应）设备或产品至少符合以下条件之一：一是已由具备资格的机构安全认证合格或安全检测符合要求；二是已获得《计算机信息系统安全专用产品销售许可证》，且在有效期内。 </w:t>
      </w:r>
    </w:p>
    <w:p>
      <w:pPr>
        <w:spacing w:before="0" w:after="0" w:line="360" w:lineRule="auto"/>
        <w:ind w:firstLine="482" w:firstLineChars="200"/>
        <w:rPr>
          <w:rFonts w:hint="eastAsia" w:ascii="仿宋_GB2312" w:hAnsi="仿宋_GB2312" w:eastAsia="仿宋_GB2312" w:cs="仿宋_GB2312"/>
          <w:sz w:val="24"/>
          <w:szCs w:val="20"/>
          <w:lang w:eastAsia="zh-CN"/>
        </w:rPr>
      </w:pPr>
      <w:r>
        <w:rPr>
          <w:rFonts w:ascii="仿宋_GB2312" w:hAnsi="仿宋_GB2312" w:eastAsia="仿宋_GB2312" w:cs="仿宋_GB2312"/>
          <w:b/>
        </w:rPr>
        <w:t>★</w:t>
      </w:r>
      <w:r>
        <w:rPr>
          <w:rFonts w:hint="eastAsia" w:ascii="仿宋_GB2312" w:hAnsi="仿宋_GB2312" w:eastAsia="仿宋_GB2312" w:cs="仿宋_GB2312"/>
          <w:sz w:val="24"/>
          <w:szCs w:val="20"/>
          <w:lang w:eastAsia="zh-CN"/>
        </w:rPr>
        <w:t xml:space="preserve">3.本项目中如涉及国家强制性产品认证证书（CCC 认证证书）、电信设备进网许可证、无线电发射设备核准证等市场准入类资质的，应严格执行国家相关法律法规的要求。 </w:t>
      </w:r>
    </w:p>
    <w:p>
      <w:pPr>
        <w:spacing w:before="0" w:after="0" w:line="360" w:lineRule="auto"/>
        <w:ind w:firstLine="480" w:firstLineChars="200"/>
        <w:rPr>
          <w:rFonts w:hint="eastAsia" w:ascii="仿宋_GB2312" w:hAnsi="仿宋_GB2312" w:eastAsia="仿宋_GB2312" w:cs="仿宋_GB2312"/>
          <w:sz w:val="24"/>
          <w:szCs w:val="20"/>
          <w:lang w:eastAsia="zh-CN"/>
        </w:rPr>
      </w:pPr>
      <w:r>
        <w:rPr>
          <w:rFonts w:hint="eastAsia" w:ascii="仿宋_GB2312" w:hAnsi="仿宋_GB2312" w:eastAsia="仿宋_GB2312" w:cs="仿宋_GB2312"/>
          <w:sz w:val="24"/>
          <w:szCs w:val="20"/>
          <w:lang w:eastAsia="zh-CN"/>
        </w:rPr>
        <w:t>以上相关要求，由供应商在响应时应答，在履约验收中，采购人将按照采购文件、中标/成交供应商响应文件、采购合同等对中标/成交供应商提供的货物和服务进行验收，必要时依法依规开展相应检测、认证。</w:t>
      </w:r>
    </w:p>
    <w:p>
      <w:pPr>
        <w:pStyle w:val="4"/>
        <w:spacing w:before="0" w:after="0" w:line="360" w:lineRule="auto"/>
        <w:ind w:firstLine="562" w:firstLineChars="200"/>
        <w:outlineLvl w:val="0"/>
        <w:rPr>
          <w:rFonts w:hint="default" w:ascii="仿宋_GB2312" w:hAnsi="仿宋_GB2312" w:eastAsia="仿宋_GB2312" w:cs="仿宋_GB2312"/>
          <w:i w:val="0"/>
          <w:iCs w:val="0"/>
          <w:lang w:val="en-US" w:eastAsia="zh-CN"/>
        </w:rPr>
      </w:pPr>
      <w:bookmarkStart w:id="187" w:name="_Toc13573"/>
      <w:bookmarkStart w:id="188" w:name="_Toc27617"/>
      <w:bookmarkStart w:id="189" w:name="_Toc10188"/>
      <w:bookmarkStart w:id="190" w:name="_Toc16744"/>
      <w:bookmarkStart w:id="191" w:name="_Toc1702"/>
      <w:bookmarkStart w:id="192" w:name="_Toc3770"/>
      <w:bookmarkStart w:id="193" w:name="_Toc14202"/>
      <w:bookmarkStart w:id="194" w:name="_Toc27363"/>
      <w:bookmarkStart w:id="195" w:name="_Toc13634"/>
      <w:bookmarkStart w:id="196" w:name="_Toc18051"/>
      <w:bookmarkStart w:id="197" w:name="_Toc7073"/>
      <w:bookmarkStart w:id="198" w:name="_Toc15889"/>
      <w:bookmarkStart w:id="199" w:name="_Toc29055"/>
      <w:bookmarkStart w:id="200" w:name="_Toc10235"/>
      <w:r>
        <w:rPr>
          <w:rFonts w:hint="eastAsia" w:ascii="仿宋_GB2312" w:hAnsi="仿宋_GB2312" w:eastAsia="仿宋_GB2312" w:cs="仿宋_GB2312"/>
          <w:i w:val="0"/>
          <w:iCs w:val="0"/>
          <w:lang w:val="en-US" w:eastAsia="zh-CN"/>
        </w:rPr>
        <w:t>3.8税务信息化服务商廉政相关要求</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spacing w:before="0" w:after="0" w:line="360" w:lineRule="auto"/>
        <w:ind w:firstLine="480" w:firstLineChars="200"/>
        <w:rPr>
          <w:rFonts w:hint="eastAsia" w:ascii="仿宋_GB2312" w:hAnsi="仿宋_GB2312" w:eastAsia="仿宋_GB2312" w:cs="仿宋_GB2312"/>
          <w:sz w:val="24"/>
          <w:szCs w:val="20"/>
          <w:lang w:val="en-US" w:eastAsia="zh-CN"/>
        </w:rPr>
      </w:pPr>
      <w:r>
        <w:rPr>
          <w:rFonts w:hint="eastAsia" w:ascii="仿宋_GB2312" w:hAnsi="仿宋_GB2312" w:eastAsia="仿宋_GB2312" w:cs="仿宋_GB2312"/>
          <w:sz w:val="24"/>
          <w:szCs w:val="20"/>
          <w:lang w:val="en-US" w:eastAsia="zh-CN"/>
        </w:rPr>
        <w:t>税务信息化服务商应严格遵守并落实《税务信息化服务商廉政相关要求》。</w:t>
      </w:r>
    </w:p>
    <w:p>
      <w:pPr>
        <w:spacing w:before="0" w:after="0" w:line="360" w:lineRule="auto"/>
        <w:ind w:left="0" w:leftChars="0" w:firstLine="480" w:firstLineChars="200"/>
        <w:rPr>
          <w:rFonts w:hint="eastAsia" w:ascii="仿宋_GB2312" w:hAnsi="仿宋_GB2312" w:eastAsia="仿宋_GB2312" w:cs="仿宋_GB2312"/>
          <w:sz w:val="24"/>
          <w:szCs w:val="20"/>
          <w:lang w:eastAsia="zh-CN"/>
        </w:rPr>
      </w:pPr>
      <w:r>
        <w:rPr>
          <w:rFonts w:hint="eastAsia" w:ascii="仿宋_GB2312" w:hAnsi="仿宋_GB2312" w:eastAsia="仿宋_GB2312" w:cs="仿宋_GB2312"/>
          <w:sz w:val="24"/>
          <w:szCs w:val="20"/>
          <w:lang w:val="en-US" w:eastAsia="zh-CN"/>
        </w:rPr>
        <w:t>税务信息化服务商在中标（成交）后需签署《税务信息化项目服务商廉洁承诺书》，并提交至采购人项目实施单位。</w:t>
      </w:r>
    </w:p>
    <w:p>
      <w:pPr>
        <w:spacing w:line="360" w:lineRule="auto"/>
        <w:ind w:firstLine="478" w:firstLineChars="171"/>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highlight w:val="none"/>
          <w:lang w:val="en-US" w:eastAsia="zh-CN"/>
        </w:rPr>
        <w:t>税务信息</w:t>
      </w:r>
      <w:r>
        <w:rPr>
          <w:rFonts w:hint="eastAsia" w:ascii="仿宋_GB2312" w:hAnsi="仿宋_GB2312" w:eastAsia="仿宋_GB2312" w:cs="仿宋_GB2312"/>
          <w:color w:val="auto"/>
          <w:sz w:val="24"/>
          <w:szCs w:val="20"/>
          <w:highlight w:val="none"/>
          <w:lang w:val="en-US" w:eastAsia="zh-CN"/>
        </w:rPr>
        <w:t>化项目终验前，服务商需</w:t>
      </w:r>
      <w:r>
        <w:rPr>
          <w:rFonts w:hint="eastAsia" w:ascii="仿宋_GB2312" w:hAnsi="仿宋_GB2312" w:eastAsia="仿宋_GB2312" w:cs="仿宋_GB2312"/>
          <w:i w:val="0"/>
          <w:caps w:val="0"/>
          <w:color w:val="auto"/>
          <w:spacing w:val="0"/>
          <w:sz w:val="24"/>
          <w:szCs w:val="20"/>
          <w:highlight w:val="none"/>
          <w:lang w:eastAsia="zh-CN"/>
        </w:rPr>
        <w:t>向</w:t>
      </w:r>
      <w:r>
        <w:rPr>
          <w:rFonts w:hint="eastAsia" w:ascii="仿宋_GB2312" w:hAnsi="仿宋_GB2312" w:eastAsia="仿宋_GB2312" w:cs="仿宋_GB2312"/>
          <w:i w:val="0"/>
          <w:caps w:val="0"/>
          <w:spacing w:val="0"/>
          <w:sz w:val="24"/>
          <w:szCs w:val="20"/>
          <w:lang w:eastAsia="zh-CN"/>
        </w:rPr>
        <w:t>采购人</w:t>
      </w:r>
      <w:r>
        <w:rPr>
          <w:rFonts w:hint="eastAsia" w:ascii="仿宋_GB2312" w:hAnsi="仿宋_GB2312" w:eastAsia="仿宋_GB2312" w:cs="仿宋_GB2312"/>
          <w:i w:val="0"/>
          <w:caps w:val="0"/>
          <w:color w:val="auto"/>
          <w:spacing w:val="0"/>
          <w:sz w:val="24"/>
          <w:szCs w:val="20"/>
          <w:highlight w:val="none"/>
          <w:lang w:eastAsia="zh-CN"/>
        </w:rPr>
        <w:t>提交《</w:t>
      </w:r>
      <w:r>
        <w:rPr>
          <w:rFonts w:hint="eastAsia" w:ascii="仿宋_GB2312" w:hAnsi="仿宋_GB2312" w:eastAsia="仿宋_GB2312" w:cs="仿宋_GB2312"/>
          <w:color w:val="auto"/>
          <w:sz w:val="24"/>
          <w:szCs w:val="20"/>
          <w:highlight w:val="none"/>
          <w:lang w:val="en-US" w:eastAsia="zh-CN"/>
        </w:rPr>
        <w:t>税务信息化项目服务商廉政反馈书</w:t>
      </w:r>
      <w:r>
        <w:rPr>
          <w:rFonts w:hint="eastAsia" w:ascii="仿宋_GB2312" w:hAnsi="仿宋_GB2312" w:eastAsia="仿宋_GB2312" w:cs="仿宋_GB2312"/>
          <w:i w:val="0"/>
          <w:caps w:val="0"/>
          <w:color w:val="auto"/>
          <w:spacing w:val="0"/>
          <w:sz w:val="24"/>
          <w:szCs w:val="20"/>
          <w:highlight w:val="none"/>
          <w:lang w:eastAsia="zh-CN"/>
        </w:rPr>
        <w:t>》。</w:t>
      </w:r>
    </w:p>
    <w:p>
      <w:pPr>
        <w:pStyle w:val="4"/>
        <w:spacing w:before="0" w:after="0" w:line="360" w:lineRule="auto"/>
        <w:ind w:firstLine="562" w:firstLineChars="200"/>
        <w:outlineLvl w:val="0"/>
        <w:rPr>
          <w:rFonts w:hint="eastAsia" w:ascii="仿宋_GB2312" w:hAnsi="仿宋_GB2312" w:eastAsia="仿宋_GB2312" w:cs="仿宋_GB2312"/>
          <w:i w:val="0"/>
          <w:iCs w:val="0"/>
          <w:lang w:val="en-US" w:eastAsia="zh-CN"/>
        </w:rPr>
      </w:pPr>
      <w:bookmarkStart w:id="201" w:name="_Toc9401"/>
      <w:bookmarkStart w:id="202" w:name="_Toc18392"/>
      <w:bookmarkStart w:id="203" w:name="_Toc8246"/>
      <w:bookmarkStart w:id="204" w:name="_Toc203"/>
      <w:bookmarkStart w:id="205" w:name="_Toc12957"/>
      <w:bookmarkStart w:id="206" w:name="_Toc13879"/>
      <w:bookmarkStart w:id="207" w:name="_Toc7123"/>
      <w:bookmarkStart w:id="208" w:name="_Toc23592"/>
      <w:bookmarkStart w:id="209" w:name="_Toc31745"/>
      <w:bookmarkStart w:id="210" w:name="_Toc23385"/>
      <w:bookmarkStart w:id="211" w:name="_Toc14823"/>
      <w:bookmarkStart w:id="212" w:name="_Toc26270"/>
      <w:bookmarkStart w:id="213" w:name="_Toc10585"/>
      <w:r>
        <w:rPr>
          <w:rFonts w:hint="eastAsia" w:ascii="仿宋_GB2312" w:hAnsi="仿宋_GB2312" w:eastAsia="仿宋_GB2312" w:cs="仿宋_GB2312"/>
          <w:i w:val="0"/>
          <w:iCs w:val="0"/>
          <w:lang w:val="en-US" w:eastAsia="zh-CN"/>
        </w:rPr>
        <w:t>3.9保密要求</w:t>
      </w:r>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采购人与中标人的保密协议将于合同签署时生效，有效期为本协议签订之日起至本协议终止之日后满五年。</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中标人人员须遵循采购人的各项规章制度，工作时间不得从事任何与工作无关的事情。未经采购人事先书面同意，中标人不得将由采购人为本合同提供的条文、规格、计划、样品或资料提供给与本合同无关的任何第三方，不得将其用于履行本合同之外的其它用途。即使向与履行本合同有关的人员提供，也应注意保密并限于履行合同所必需的范围。</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采购人不得将由中标人向采购人提供的产品技术方案、技术指标、计算机软件、数据库、研究开发记录、技术报告、检测报告、实验数据、试验结果、操作手册、技术文档等技术资料，以及采购人所知悉的中标人经营策略、客户名单、采购资料、定价政策、财务资料、进货渠道等商业信息提供给与本合同无关的任何单位或个人。</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除了合同本身之外，上款所列举的任何物件均是采购人的财产。如果采购人有要求，中标人在完成合同后应将这些物件及全部复制件还给采购人。</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项目中所涉及的双方的内部资料、数据、业务流程、工作规范和开发过程中产生的文档记录以及其它商业信息，双方均有责任承担保密义务。未经对方许可，任何一方不得以任何形式向其他方泄露。</w:t>
      </w:r>
    </w:p>
    <w:p>
      <w:pPr>
        <w:pStyle w:val="8"/>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中标人保证中标人及其工作人员对在服务过程中所了解、知悉的采购人或相关单位的政府信息不得对外泄露，否则应付全部法律责任。</w:t>
      </w:r>
    </w:p>
    <w:p/>
    <w:p>
      <w:pPr>
        <w:pStyle w:val="4"/>
        <w:spacing w:before="0" w:after="0" w:line="360" w:lineRule="auto"/>
        <w:ind w:firstLine="562" w:firstLineChars="200"/>
        <w:outlineLvl w:val="0"/>
        <w:rPr>
          <w:rFonts w:hint="eastAsia" w:ascii="仿宋_GB2312" w:hAnsi="仿宋_GB2312" w:eastAsia="仿宋_GB2312" w:cs="仿宋_GB2312"/>
          <w:i w:val="0"/>
          <w:iCs w:val="0"/>
          <w:lang w:val="en-US" w:eastAsia="zh-CN"/>
        </w:rPr>
      </w:pPr>
      <w:bookmarkStart w:id="214" w:name="_Toc1999"/>
      <w:bookmarkStart w:id="215" w:name="_Toc15583"/>
      <w:bookmarkStart w:id="216" w:name="_Toc29020"/>
      <w:bookmarkStart w:id="217" w:name="_Toc4619"/>
      <w:bookmarkStart w:id="218" w:name="_Toc12632"/>
      <w:bookmarkStart w:id="219" w:name="_Toc29494"/>
      <w:bookmarkStart w:id="220" w:name="_Toc3594"/>
      <w:bookmarkStart w:id="221" w:name="_Toc19658"/>
      <w:bookmarkStart w:id="222" w:name="_Toc25537"/>
      <w:bookmarkStart w:id="223" w:name="_Toc2432"/>
      <w:bookmarkStart w:id="224" w:name="_Toc5278"/>
      <w:bookmarkStart w:id="225" w:name="_Toc5461"/>
      <w:bookmarkStart w:id="226" w:name="_Toc31228"/>
      <w:r>
        <w:rPr>
          <w:rFonts w:hint="eastAsia" w:ascii="仿宋_GB2312" w:hAnsi="仿宋_GB2312" w:eastAsia="仿宋_GB2312" w:cs="仿宋_GB2312"/>
          <w:i w:val="0"/>
          <w:iCs w:val="0"/>
          <w:lang w:val="en-US" w:eastAsia="zh-CN"/>
        </w:rPr>
        <w:t>3.10 知识产权要求</w:t>
      </w:r>
      <w:bookmarkEnd w:id="214"/>
      <w:bookmarkEnd w:id="215"/>
      <w:bookmarkEnd w:id="216"/>
      <w:bookmarkEnd w:id="217"/>
      <w:bookmarkEnd w:id="218"/>
      <w:bookmarkEnd w:id="219"/>
      <w:bookmarkEnd w:id="220"/>
      <w:bookmarkEnd w:id="221"/>
      <w:bookmarkEnd w:id="222"/>
      <w:bookmarkEnd w:id="223"/>
      <w:bookmarkEnd w:id="224"/>
      <w:bookmarkEnd w:id="225"/>
      <w:bookmarkEnd w:id="226"/>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1.中标人在服务过程中产生的所有技术资料、提交件的知识产权归采购人所有。</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2.中标人交付给采购人的成果不得侵犯第三方的合法权益。如果采购人因使用本项目成果或其中一部分而被第三方起诉侵犯其专利权、商标权或其它知识产权，中标人将依法承担相应的法律责任。</w:t>
      </w:r>
    </w:p>
    <w:p>
      <w:pPr>
        <w:spacing w:line="360" w:lineRule="auto"/>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lang w:eastAsia="zh-CN"/>
        </w:rPr>
        <w:t>3.中标人为执行本合同而提供的与本合同无关的单位或个人的技术资料、软件、工具及中标人已有知识产权产品的使用权归采购人所有。</w:t>
      </w:r>
    </w:p>
    <w:p>
      <w:pPr>
        <w:pStyle w:val="2"/>
        <w:keepNext w:val="0"/>
        <w:spacing w:before="0" w:after="0" w:line="360" w:lineRule="auto"/>
        <w:ind w:left="0" w:leftChars="0" w:firstLine="482" w:firstLineChars="150"/>
        <w:jc w:val="left"/>
        <w:rPr>
          <w:rFonts w:hint="eastAsia" w:ascii="仿宋_GB2312" w:hAnsi="仿宋_GB2312" w:eastAsia="仿宋_GB2312" w:cs="仿宋_GB2312"/>
          <w:kern w:val="36"/>
          <w:lang w:eastAsia="zh-CN"/>
        </w:rPr>
      </w:pPr>
    </w:p>
    <w:p>
      <w:pPr>
        <w:pStyle w:val="2"/>
        <w:keepNext w:val="0"/>
        <w:spacing w:before="0" w:after="0" w:line="360" w:lineRule="auto"/>
        <w:ind w:left="0" w:leftChars="0" w:firstLine="482" w:firstLineChars="150"/>
        <w:jc w:val="left"/>
        <w:rPr>
          <w:rFonts w:hint="default" w:ascii="仿宋_GB2312" w:hAnsi="仿宋_GB2312" w:eastAsia="仿宋_GB2312" w:cs="仿宋_GB2312"/>
          <w:kern w:val="36"/>
          <w:lang w:val="en-US" w:eastAsia="zh-CN"/>
        </w:rPr>
      </w:pPr>
      <w:r>
        <w:rPr>
          <w:rFonts w:hint="eastAsia" w:ascii="仿宋_GB2312" w:hAnsi="仿宋_GB2312" w:eastAsia="仿宋_GB2312" w:cs="仿宋_GB2312"/>
          <w:kern w:val="36"/>
          <w:lang w:eastAsia="zh-CN"/>
        </w:rPr>
        <w:t>第四章</w:t>
      </w:r>
      <w:r>
        <w:rPr>
          <w:rFonts w:hint="eastAsia" w:ascii="仿宋_GB2312" w:hAnsi="仿宋_GB2312" w:eastAsia="仿宋_GB2312" w:cs="仿宋_GB2312"/>
          <w:kern w:val="36"/>
          <w:lang w:val="en-US" w:eastAsia="zh-CN"/>
        </w:rPr>
        <w:t xml:space="preserve"> 采购要求</w:t>
      </w:r>
    </w:p>
    <w:p>
      <w:pPr>
        <w:pStyle w:val="5"/>
        <w:keepNext w:val="0"/>
        <w:spacing w:before="0" w:after="0" w:line="360" w:lineRule="auto"/>
        <w:ind w:firstLine="562" w:firstLineChars="200"/>
        <w:outlineLvl w:val="1"/>
        <w:rPr>
          <w:rFonts w:hint="eastAsia" w:ascii="仿宋_GB2312" w:hAnsi="仿宋_GB2312" w:eastAsia="仿宋_GB2312" w:cs="仿宋_GB2312"/>
          <w:b/>
          <w:bCs/>
          <w:i w:val="0"/>
          <w:iCs w:val="0"/>
          <w:sz w:val="28"/>
          <w:szCs w:val="28"/>
          <w:lang w:val="en-US" w:eastAsia="zh-CN" w:bidi="ar-SA"/>
        </w:rPr>
      </w:pPr>
      <w:bookmarkStart w:id="227" w:name="_Toc11314"/>
      <w:bookmarkStart w:id="228" w:name="_Toc4911"/>
      <w:bookmarkStart w:id="229" w:name="_Toc271"/>
      <w:bookmarkStart w:id="230" w:name="_Toc19726"/>
      <w:bookmarkStart w:id="231" w:name="_Toc29278"/>
      <w:bookmarkStart w:id="232" w:name="_Toc1232"/>
      <w:bookmarkStart w:id="233" w:name="_Toc17589"/>
      <w:bookmarkStart w:id="234" w:name="_Toc31468"/>
      <w:bookmarkStart w:id="235" w:name="_Toc18626"/>
      <w:bookmarkStart w:id="236" w:name="_Toc24700"/>
      <w:bookmarkStart w:id="237" w:name="_Toc25021"/>
      <w:bookmarkStart w:id="238" w:name="_Toc9704"/>
      <w:bookmarkStart w:id="239" w:name="_Toc5712"/>
      <w:r>
        <w:rPr>
          <w:rFonts w:hint="eastAsia" w:ascii="仿宋_GB2312" w:hAnsi="仿宋_GB2312" w:eastAsia="仿宋_GB2312" w:cs="仿宋_GB2312"/>
          <w:b/>
          <w:bCs/>
          <w:i w:val="0"/>
          <w:iCs w:val="0"/>
          <w:sz w:val="28"/>
          <w:szCs w:val="28"/>
          <w:lang w:val="en-US" w:eastAsia="zh-CN" w:bidi="ar-SA"/>
        </w:rPr>
        <w:t>4.1采购方式</w:t>
      </w:r>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8"/>
        <w:ind w:firstLine="480" w:firstLineChars="200"/>
        <w:rPr>
          <w:rFonts w:hint="eastAsia"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公开招标</w:t>
      </w:r>
    </w:p>
    <w:p>
      <w:pPr>
        <w:pStyle w:val="5"/>
        <w:keepNext w:val="0"/>
        <w:spacing w:before="0" w:after="0" w:line="360" w:lineRule="auto"/>
        <w:ind w:firstLine="562" w:firstLineChars="200"/>
        <w:outlineLvl w:val="1"/>
        <w:rPr>
          <w:rFonts w:hint="eastAsia" w:ascii="仿宋_GB2312" w:hAnsi="仿宋_GB2312" w:eastAsia="仿宋_GB2312" w:cs="仿宋_GB2312"/>
          <w:b/>
          <w:bCs/>
          <w:i w:val="0"/>
          <w:iCs w:val="0"/>
          <w:sz w:val="28"/>
          <w:szCs w:val="28"/>
          <w:lang w:val="en-US" w:eastAsia="zh-CN" w:bidi="ar-SA"/>
        </w:rPr>
      </w:pPr>
      <w:bookmarkStart w:id="240" w:name="_Toc3246"/>
      <w:bookmarkStart w:id="241" w:name="_Toc10763"/>
      <w:bookmarkStart w:id="242" w:name="_Toc7683"/>
      <w:bookmarkStart w:id="243" w:name="_Toc17559"/>
      <w:bookmarkStart w:id="244" w:name="_Toc5823"/>
      <w:bookmarkStart w:id="245" w:name="_Toc7285"/>
      <w:bookmarkStart w:id="246" w:name="_Toc455"/>
      <w:bookmarkStart w:id="247" w:name="_Toc28787"/>
      <w:bookmarkStart w:id="248" w:name="_Toc2623"/>
      <w:bookmarkStart w:id="249" w:name="_Toc17304"/>
      <w:bookmarkStart w:id="250" w:name="_Toc9294"/>
      <w:bookmarkStart w:id="251" w:name="_Toc32213"/>
      <w:bookmarkStart w:id="252" w:name="_Toc8793"/>
      <w:r>
        <w:rPr>
          <w:rFonts w:hint="eastAsia" w:ascii="仿宋_GB2312" w:hAnsi="仿宋_GB2312" w:eastAsia="仿宋_GB2312" w:cs="仿宋_GB2312"/>
          <w:b/>
          <w:bCs/>
          <w:i w:val="0"/>
          <w:iCs w:val="0"/>
          <w:sz w:val="28"/>
          <w:szCs w:val="28"/>
          <w:lang w:val="en-US" w:eastAsia="zh-CN" w:bidi="ar-SA"/>
        </w:rPr>
        <w:t>4.2采购预算</w:t>
      </w:r>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8"/>
        <w:ind w:firstLine="480" w:firstLineChars="200"/>
        <w:rPr>
          <w:rFonts w:hint="eastAsia"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616万元</w:t>
      </w:r>
    </w:p>
    <w:p>
      <w:pPr>
        <w:pStyle w:val="5"/>
        <w:keepNext w:val="0"/>
        <w:spacing w:before="0" w:after="0" w:line="360" w:lineRule="auto"/>
        <w:ind w:firstLine="562" w:firstLineChars="200"/>
        <w:outlineLvl w:val="1"/>
        <w:rPr>
          <w:rFonts w:hint="eastAsia" w:ascii="仿宋_GB2312" w:hAnsi="仿宋_GB2312" w:eastAsia="仿宋_GB2312" w:cs="仿宋_GB2312"/>
          <w:b/>
          <w:bCs/>
          <w:i w:val="0"/>
          <w:iCs w:val="0"/>
          <w:sz w:val="28"/>
          <w:szCs w:val="28"/>
          <w:lang w:val="en-US" w:eastAsia="zh-CN" w:bidi="ar-SA"/>
        </w:rPr>
      </w:pPr>
      <w:bookmarkStart w:id="253" w:name="_Toc19964"/>
      <w:bookmarkStart w:id="254" w:name="_Toc1132"/>
      <w:bookmarkStart w:id="255" w:name="_Toc2269"/>
      <w:bookmarkStart w:id="256" w:name="_Toc16514"/>
      <w:bookmarkStart w:id="257" w:name="_Toc20768"/>
      <w:bookmarkStart w:id="258" w:name="_Toc19545"/>
      <w:bookmarkStart w:id="259" w:name="_Toc29455"/>
      <w:bookmarkStart w:id="260" w:name="_Toc18724"/>
      <w:bookmarkStart w:id="261" w:name="_Toc12747"/>
      <w:bookmarkStart w:id="262" w:name="_Toc4522"/>
      <w:bookmarkStart w:id="263" w:name="_Toc23087"/>
      <w:bookmarkStart w:id="264" w:name="_Toc15523"/>
      <w:bookmarkStart w:id="265" w:name="_Toc7777"/>
      <w:r>
        <w:rPr>
          <w:rFonts w:hint="eastAsia" w:ascii="仿宋_GB2312" w:hAnsi="仿宋_GB2312" w:eastAsia="仿宋_GB2312" w:cs="仿宋_GB2312"/>
          <w:b/>
          <w:bCs/>
          <w:i w:val="0"/>
          <w:iCs w:val="0"/>
          <w:sz w:val="28"/>
          <w:szCs w:val="28"/>
          <w:lang w:val="en-US" w:eastAsia="zh-CN" w:bidi="ar-SA"/>
        </w:rPr>
        <w:t>4.3实施时间要求</w:t>
      </w:r>
      <w:bookmarkEnd w:id="253"/>
      <w:bookmarkEnd w:id="254"/>
      <w:bookmarkEnd w:id="255"/>
      <w:bookmarkEnd w:id="256"/>
      <w:bookmarkEnd w:id="257"/>
      <w:bookmarkEnd w:id="258"/>
      <w:bookmarkEnd w:id="259"/>
      <w:bookmarkEnd w:id="260"/>
      <w:bookmarkEnd w:id="261"/>
      <w:bookmarkEnd w:id="262"/>
      <w:bookmarkEnd w:id="263"/>
      <w:bookmarkEnd w:id="264"/>
      <w:bookmarkEnd w:id="265"/>
    </w:p>
    <w:p>
      <w:pPr>
        <w:spacing w:before="0" w:after="0" w:line="360"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自签订合同30天内，完成设备到货；设备到货</w:t>
      </w:r>
      <w:r>
        <w:rPr>
          <w:rFonts w:hint="eastAsia" w:ascii="仿宋_GB2312" w:hAnsi="仿宋_GB2312" w:eastAsia="仿宋_GB2312" w:cs="仿宋_GB2312"/>
          <w:sz w:val="24"/>
          <w:szCs w:val="24"/>
          <w:lang w:val="en-US" w:eastAsia="zh-CN"/>
        </w:rPr>
        <w:t>30</w:t>
      </w:r>
      <w:r>
        <w:rPr>
          <w:rFonts w:hint="eastAsia" w:ascii="仿宋_GB2312" w:hAnsi="仿宋_GB2312" w:eastAsia="仿宋_GB2312" w:cs="仿宋_GB2312"/>
          <w:sz w:val="24"/>
          <w:szCs w:val="24"/>
        </w:rPr>
        <w:t>日内完成设备的上架、按照招标人要求完成配置等工作；</w:t>
      </w:r>
      <w:r>
        <w:rPr>
          <w:rFonts w:hint="eastAsia" w:ascii="仿宋_GB2312" w:hAnsi="仿宋_GB2312" w:eastAsia="仿宋_GB2312" w:cs="仿宋_GB2312"/>
        </w:rPr>
        <w:t>安装部署</w:t>
      </w:r>
      <w:r>
        <w:rPr>
          <w:rFonts w:hint="eastAsia" w:ascii="仿宋_GB2312" w:hAnsi="仿宋_GB2312" w:eastAsia="仿宋_GB2312" w:cs="仿宋_GB2312"/>
          <w:sz w:val="24"/>
          <w:szCs w:val="24"/>
          <w:lang w:eastAsia="zh-CN"/>
        </w:rPr>
        <w:t>实施</w:t>
      </w:r>
      <w:r>
        <w:rPr>
          <w:rFonts w:hint="eastAsia" w:ascii="仿宋_GB2312" w:hAnsi="仿宋_GB2312" w:eastAsia="仿宋_GB2312" w:cs="仿宋_GB2312"/>
        </w:rPr>
        <w:t>完成并通过验收后进入为期五年的质保期。</w:t>
      </w:r>
    </w:p>
    <w:p>
      <w:pPr>
        <w:pStyle w:val="5"/>
        <w:keepNext w:val="0"/>
        <w:spacing w:before="0" w:after="0" w:line="360" w:lineRule="auto"/>
        <w:ind w:firstLine="562" w:firstLineChars="200"/>
        <w:outlineLvl w:val="1"/>
        <w:rPr>
          <w:rFonts w:hint="eastAsia" w:ascii="仿宋_GB2312" w:hAnsi="仿宋_GB2312" w:eastAsia="仿宋_GB2312" w:cs="仿宋_GB2312"/>
          <w:b/>
          <w:bCs/>
          <w:i w:val="0"/>
          <w:iCs w:val="0"/>
          <w:sz w:val="28"/>
          <w:szCs w:val="28"/>
          <w:lang w:val="en-US" w:eastAsia="zh-CN" w:bidi="ar-SA"/>
        </w:rPr>
      </w:pPr>
      <w:bookmarkStart w:id="266" w:name="_Toc6963"/>
      <w:r>
        <w:rPr>
          <w:rFonts w:hint="eastAsia" w:ascii="仿宋_GB2312" w:hAnsi="仿宋_GB2312" w:eastAsia="仿宋_GB2312" w:cs="仿宋_GB2312"/>
          <w:b/>
          <w:bCs/>
          <w:i w:val="0"/>
          <w:iCs w:val="0"/>
          <w:sz w:val="28"/>
          <w:szCs w:val="28"/>
          <w:lang w:val="en-US" w:eastAsia="zh-CN" w:bidi="ar-SA"/>
        </w:rPr>
        <w:t>4.4验收标准</w:t>
      </w:r>
      <w:bookmarkEnd w:id="266"/>
    </w:p>
    <w:p>
      <w:pPr>
        <w:spacing w:line="360" w:lineRule="auto"/>
        <w:ind w:firstLine="561"/>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1.本项目验收依据国家税务总局广东省税务局信息化项目管理相关要求、招标文件要求、中标人投标文件及承诺、本项目合同约定标准进行验收。</w:t>
      </w:r>
    </w:p>
    <w:p>
      <w:pPr>
        <w:spacing w:line="360" w:lineRule="auto"/>
        <w:ind w:firstLine="561"/>
        <w:rPr>
          <w:rFonts w:hint="eastAsia" w:ascii="仿宋_GB2312" w:hAnsi="仿宋_GB2312" w:eastAsia="仿宋_GB2312" w:cs="仿宋_GB2312"/>
          <w:sz w:val="24"/>
          <w:szCs w:val="24"/>
          <w:lang w:val="en-US" w:eastAsia="zh-CN" w:bidi="ar-SA"/>
        </w:rPr>
      </w:pPr>
      <w:r>
        <w:rPr>
          <w:rFonts w:hint="eastAsia" w:ascii="仿宋_GB2312" w:hAnsi="仿宋_GB2312" w:eastAsia="仿宋_GB2312" w:cs="仿宋_GB2312"/>
          <w:sz w:val="24"/>
          <w:szCs w:val="24"/>
          <w:lang w:val="en-US" w:eastAsia="zh-CN" w:bidi="ar-SA"/>
        </w:rPr>
        <w:t>2.符合验收条件后由中标人提出验收申请，由采购人给出验收资料需求清单，中标人按清单准备好验收资料后由采购人和中标人共同完成验收。</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420"/>
        <w:jc w:val="both"/>
        <w:textAlignment w:val="auto"/>
        <w:rPr>
          <w:rFonts w:hint="eastAsia"/>
          <w:lang w:val="en-US" w:eastAsia="zh-CN"/>
        </w:rPr>
      </w:pPr>
      <w:r>
        <w:rPr>
          <w:rFonts w:hint="eastAsia" w:ascii="仿宋_GB2312" w:hAnsi="仿宋_GB2312" w:eastAsia="仿宋_GB2312" w:cs="仿宋_GB2312"/>
          <w:sz w:val="24"/>
          <w:szCs w:val="24"/>
          <w:lang w:val="en-US" w:eastAsia="zh-CN" w:bidi="ar-SA"/>
        </w:rPr>
        <w:t>3.本项目验收内容包括到货开箱检验、安装调试验收、试运行测试、质保和维保服务等。</w:t>
      </w:r>
    </w:p>
    <w:p>
      <w:pPr>
        <w:pStyle w:val="4"/>
        <w:keepNext w:val="0"/>
        <w:spacing w:before="0" w:after="0" w:line="360" w:lineRule="auto"/>
        <w:ind w:firstLine="562" w:firstLineChars="200"/>
        <w:outlineLvl w:val="0"/>
        <w:rPr>
          <w:rFonts w:hint="eastAsia" w:ascii="仿宋_GB2312" w:hAnsi="仿宋_GB2312" w:eastAsia="仿宋_GB2312" w:cs="仿宋_GB2312"/>
          <w:b/>
          <w:bCs/>
          <w:i w:val="0"/>
          <w:iCs w:val="0"/>
          <w:sz w:val="28"/>
          <w:szCs w:val="28"/>
          <w:lang w:val="en-US" w:eastAsia="zh-CN" w:bidi="ar-SA"/>
        </w:rPr>
      </w:pPr>
      <w:bookmarkStart w:id="267" w:name="_Toc18683"/>
      <w:bookmarkStart w:id="268" w:name="_Toc10197"/>
      <w:bookmarkStart w:id="269" w:name="_Toc8595"/>
      <w:bookmarkStart w:id="270" w:name="_Toc18769"/>
      <w:bookmarkStart w:id="271" w:name="_Toc15118"/>
      <w:bookmarkStart w:id="272" w:name="_Toc10602"/>
      <w:bookmarkStart w:id="273" w:name="_Toc27848"/>
      <w:bookmarkStart w:id="274" w:name="_Toc25606"/>
      <w:bookmarkStart w:id="275" w:name="_Toc19650"/>
      <w:bookmarkStart w:id="276" w:name="_Toc32175"/>
      <w:bookmarkStart w:id="277" w:name="_Toc7346"/>
      <w:bookmarkStart w:id="278" w:name="_Toc10264"/>
      <w:bookmarkStart w:id="279" w:name="_Toc11546"/>
      <w:r>
        <w:rPr>
          <w:rFonts w:hint="eastAsia" w:ascii="仿宋_GB2312" w:hAnsi="仿宋_GB2312" w:eastAsia="仿宋_GB2312" w:cs="仿宋_GB2312"/>
          <w:b/>
          <w:bCs/>
          <w:i w:val="0"/>
          <w:iCs w:val="0"/>
          <w:sz w:val="28"/>
          <w:szCs w:val="28"/>
          <w:lang w:val="en-US" w:eastAsia="zh-CN" w:bidi="ar-SA"/>
        </w:rPr>
        <w:t>4.5付款安排</w:t>
      </w:r>
      <w:bookmarkEnd w:id="267"/>
      <w:bookmarkEnd w:id="268"/>
      <w:bookmarkEnd w:id="269"/>
      <w:bookmarkEnd w:id="270"/>
      <w:bookmarkEnd w:id="271"/>
      <w:bookmarkEnd w:id="272"/>
      <w:bookmarkEnd w:id="273"/>
      <w:bookmarkEnd w:id="274"/>
      <w:bookmarkEnd w:id="275"/>
      <w:bookmarkEnd w:id="276"/>
      <w:bookmarkEnd w:id="277"/>
      <w:bookmarkEnd w:id="278"/>
      <w:bookmarkEnd w:id="279"/>
    </w:p>
    <w:tbl>
      <w:tblPr>
        <w:tblStyle w:val="14"/>
        <w:tblW w:w="5000" w:type="pct"/>
        <w:tblInd w:w="30" w:type="dxa"/>
        <w:tblLayout w:type="autofit"/>
        <w:tblCellMar>
          <w:top w:w="15" w:type="dxa"/>
          <w:left w:w="15" w:type="dxa"/>
          <w:bottom w:w="15" w:type="dxa"/>
          <w:right w:w="15" w:type="dxa"/>
        </w:tblCellMar>
      </w:tblPr>
      <w:tblGrid>
        <w:gridCol w:w="1507"/>
        <w:gridCol w:w="6016"/>
        <w:gridCol w:w="1881"/>
      </w:tblGrid>
      <w:tr>
        <w:tblPrEx>
          <w:tblCellMar>
            <w:top w:w="15" w:type="dxa"/>
            <w:left w:w="15" w:type="dxa"/>
            <w:bottom w:w="15" w:type="dxa"/>
            <w:right w:w="15" w:type="dxa"/>
          </w:tblCellMar>
        </w:tblPrEx>
        <w:tc>
          <w:tcPr>
            <w:tcW w:w="801"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付款名称</w:t>
            </w:r>
          </w:p>
        </w:tc>
        <w:tc>
          <w:tcPr>
            <w:tcW w:w="3198"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付款要求</w:t>
            </w:r>
          </w:p>
        </w:tc>
        <w:tc>
          <w:tcPr>
            <w:tcW w:w="1000" w:type="pct"/>
            <w:tcBorders>
              <w:top w:val="single" w:color="000000" w:sz="6" w:space="0"/>
              <w:left w:val="single" w:color="000000" w:sz="6" w:space="0"/>
              <w:bottom w:val="single" w:color="000000" w:sz="6" w:space="0"/>
              <w:right w:val="single" w:color="000000" w:sz="6" w:space="0"/>
            </w:tcBorders>
            <w:shd w:val="clear" w:color="auto" w:fill="D3D3D3"/>
            <w:noWrap w:val="0"/>
            <w:tcMar>
              <w:top w:w="22" w:type="dxa"/>
              <w:left w:w="22" w:type="dxa"/>
              <w:bottom w:w="22" w:type="dxa"/>
              <w:right w:w="22" w:type="dxa"/>
            </w:tcMar>
            <w:vAlign w:val="center"/>
          </w:tcPr>
          <w:p>
            <w:pPr>
              <w:jc w:val="center"/>
              <w:rPr>
                <w:rFonts w:ascii="仿宋_GB2312" w:hAnsi="仿宋_GB2312" w:eastAsia="仿宋_GB2312" w:cs="仿宋_GB2312"/>
                <w:b/>
                <w:bCs/>
                <w:i w:val="0"/>
                <w:iCs w:val="0"/>
                <w:smallCaps w:val="0"/>
                <w:color w:val="000000"/>
                <w:sz w:val="21"/>
                <w:szCs w:val="21"/>
              </w:rPr>
            </w:pPr>
            <w:r>
              <w:rPr>
                <w:rFonts w:ascii="仿宋_GB2312" w:hAnsi="仿宋_GB2312" w:eastAsia="仿宋_GB2312" w:cs="仿宋_GB2312"/>
                <w:b/>
                <w:bCs/>
                <w:i w:val="0"/>
                <w:iCs w:val="0"/>
                <w:smallCaps w:val="0"/>
                <w:color w:val="000000"/>
                <w:sz w:val="21"/>
                <w:szCs w:val="21"/>
              </w:rPr>
              <w:t>付款比例(%)</w:t>
            </w:r>
          </w:p>
        </w:tc>
      </w:tr>
      <w:tr>
        <w:tblPrEx>
          <w:tblCellMar>
            <w:top w:w="15" w:type="dxa"/>
            <w:left w:w="15" w:type="dxa"/>
            <w:bottom w:w="15" w:type="dxa"/>
            <w:right w:w="15" w:type="dxa"/>
          </w:tblCellMar>
        </w:tblPrEx>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ascii="仿宋_GB2312" w:hAnsi="仿宋_GB2312" w:eastAsia="仿宋_GB2312" w:cs="仿宋_GB2312"/>
                <w:b w:val="0"/>
                <w:bCs w:val="0"/>
                <w:i w:val="0"/>
                <w:iCs w:val="0"/>
                <w:smallCaps w:val="0"/>
                <w:color w:val="000000"/>
                <w:sz w:val="21"/>
                <w:szCs w:val="21"/>
              </w:rPr>
              <w:t>第1次付款</w:t>
            </w:r>
          </w:p>
        </w:tc>
        <w:tc>
          <w:tcPr>
            <w:tcW w:w="319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hint="eastAsia" w:ascii="仿宋_GB2312" w:hAnsi="仿宋_GB2312" w:eastAsia="仿宋_GB2312" w:cs="仿宋_GB2312"/>
                <w:color w:val="000000"/>
                <w:sz w:val="21"/>
                <w:szCs w:val="21"/>
              </w:rPr>
              <w:t>在签订合同后，收到等额发票后的</w:t>
            </w:r>
            <w:r>
              <w:rPr>
                <w:rFonts w:hint="eastAsia" w:ascii="仿宋_GB2312" w:hAnsi="仿宋_GB2312" w:eastAsia="仿宋_GB2312" w:cs="仿宋_GB2312"/>
                <w:color w:val="000000"/>
                <w:sz w:val="21"/>
                <w:szCs w:val="21"/>
                <w:lang w:eastAsia="zh-CN"/>
              </w:rPr>
              <w:t>1</w:t>
            </w:r>
            <w:r>
              <w:rPr>
                <w:rFonts w:hint="eastAsia" w:ascii="仿宋_GB2312" w:hAnsi="仿宋_GB2312" w:eastAsia="仿宋_GB2312" w:cs="仿宋_GB2312"/>
                <w:color w:val="000000"/>
                <w:sz w:val="21"/>
                <w:szCs w:val="21"/>
              </w:rPr>
              <w:t>0</w:t>
            </w:r>
            <w:r>
              <w:rPr>
                <w:rFonts w:hint="eastAsia" w:ascii="仿宋_GB2312" w:hAnsi="仿宋_GB2312" w:eastAsia="仿宋_GB2312" w:cs="仿宋_GB2312"/>
                <w:color w:val="000000"/>
                <w:sz w:val="21"/>
                <w:szCs w:val="21"/>
                <w:lang w:eastAsia="zh-CN"/>
              </w:rPr>
              <w:t>个工作日</w:t>
            </w:r>
            <w:r>
              <w:rPr>
                <w:rFonts w:hint="eastAsia" w:ascii="仿宋_GB2312" w:hAnsi="仿宋_GB2312" w:eastAsia="仿宋_GB2312" w:cs="仿宋_GB2312"/>
                <w:color w:val="000000"/>
                <w:sz w:val="21"/>
                <w:szCs w:val="21"/>
              </w:rPr>
              <w:t>内，支付合同总价的50%</w:t>
            </w:r>
          </w:p>
        </w:tc>
        <w:tc>
          <w:tcPr>
            <w:tcW w:w="1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hint="eastAsia" w:ascii="仿宋_GB2312" w:hAnsi="仿宋_GB2312" w:eastAsia="仿宋_GB2312" w:cs="仿宋_GB2312"/>
                <w:b w:val="0"/>
                <w:bCs w:val="0"/>
                <w:i w:val="0"/>
                <w:iCs w:val="0"/>
                <w:smallCaps w:val="0"/>
                <w:color w:val="000000"/>
                <w:sz w:val="21"/>
                <w:szCs w:val="21"/>
                <w:lang w:val="en-US" w:eastAsia="zh-CN"/>
              </w:rPr>
              <w:t>50</w:t>
            </w:r>
            <w:r>
              <w:rPr>
                <w:rFonts w:ascii="仿宋_GB2312" w:hAnsi="仿宋_GB2312" w:eastAsia="仿宋_GB2312" w:cs="仿宋_GB2312"/>
                <w:b w:val="0"/>
                <w:bCs w:val="0"/>
                <w:i w:val="0"/>
                <w:iCs w:val="0"/>
                <w:smallCaps w:val="0"/>
                <w:color w:val="000000"/>
                <w:sz w:val="21"/>
                <w:szCs w:val="21"/>
              </w:rPr>
              <w:t>.0</w:t>
            </w:r>
          </w:p>
        </w:tc>
      </w:tr>
      <w:tr>
        <w:tblPrEx>
          <w:tblCellMar>
            <w:top w:w="15" w:type="dxa"/>
            <w:left w:w="15" w:type="dxa"/>
            <w:bottom w:w="15" w:type="dxa"/>
            <w:right w:w="15" w:type="dxa"/>
          </w:tblCellMar>
        </w:tblPrEx>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hint="default" w:ascii="仿宋_GB2312" w:hAnsi="仿宋_GB2312" w:eastAsia="仿宋_GB2312" w:cs="仿宋_GB2312"/>
                <w:b w:val="0"/>
                <w:bCs w:val="0"/>
                <w:i w:val="0"/>
                <w:iCs w:val="0"/>
                <w:smallCaps w:val="0"/>
                <w:color w:val="000000"/>
                <w:sz w:val="21"/>
                <w:szCs w:val="21"/>
                <w:lang w:val="en-US" w:eastAsia="zh-CN"/>
              </w:rPr>
            </w:pPr>
            <w:r>
              <w:rPr>
                <w:rFonts w:hint="eastAsia" w:ascii="仿宋_GB2312" w:hAnsi="仿宋_GB2312" w:eastAsia="仿宋_GB2312" w:cs="仿宋_GB2312"/>
                <w:b w:val="0"/>
                <w:bCs w:val="0"/>
                <w:i w:val="0"/>
                <w:iCs w:val="0"/>
                <w:smallCaps w:val="0"/>
                <w:color w:val="000000"/>
                <w:sz w:val="21"/>
                <w:szCs w:val="21"/>
                <w:lang w:eastAsia="zh-CN"/>
              </w:rPr>
              <w:t>第</w:t>
            </w:r>
            <w:r>
              <w:rPr>
                <w:rFonts w:hint="eastAsia" w:ascii="仿宋_GB2312" w:hAnsi="仿宋_GB2312" w:eastAsia="仿宋_GB2312" w:cs="仿宋_GB2312"/>
                <w:b w:val="0"/>
                <w:bCs w:val="0"/>
                <w:i w:val="0"/>
                <w:iCs w:val="0"/>
                <w:smallCaps w:val="0"/>
                <w:color w:val="000000"/>
                <w:sz w:val="21"/>
                <w:szCs w:val="21"/>
                <w:lang w:val="en-US" w:eastAsia="zh-CN"/>
              </w:rPr>
              <w:t>2次付款</w:t>
            </w:r>
          </w:p>
        </w:tc>
        <w:tc>
          <w:tcPr>
            <w:tcW w:w="319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ind w:left="210" w:hanging="210" w:hangingChars="100"/>
              <w:jc w:val="left"/>
              <w:rPr>
                <w:rFonts w:ascii="仿宋_GB2312" w:hAnsi="仿宋_GB2312" w:eastAsia="仿宋_GB2312" w:cs="仿宋_GB2312"/>
                <w:b w:val="0"/>
                <w:bCs w:val="0"/>
                <w:i w:val="0"/>
                <w:iCs w:val="0"/>
                <w:smallCaps w:val="0"/>
                <w:color w:val="000000"/>
                <w:sz w:val="21"/>
                <w:szCs w:val="21"/>
              </w:rPr>
            </w:pPr>
            <w:r>
              <w:rPr>
                <w:rFonts w:hint="eastAsia" w:ascii="仿宋_GB2312" w:hAnsi="仿宋_GB2312" w:eastAsia="仿宋_GB2312" w:cs="仿宋_GB2312"/>
                <w:b w:val="0"/>
                <w:bCs w:val="0"/>
                <w:i w:val="0"/>
                <w:iCs w:val="0"/>
                <w:smallCaps w:val="0"/>
                <w:color w:val="000000"/>
                <w:sz w:val="21"/>
                <w:szCs w:val="21"/>
              </w:rPr>
              <w:t>货物全部到达安装现场，</w:t>
            </w:r>
            <w:r>
              <w:rPr>
                <w:rFonts w:hint="eastAsia" w:ascii="仿宋_GB2312" w:hAnsi="仿宋_GB2312" w:eastAsia="仿宋_GB2312" w:cs="仿宋_GB2312"/>
                <w:b w:val="0"/>
                <w:bCs w:val="0"/>
                <w:i w:val="0"/>
                <w:iCs w:val="0"/>
                <w:smallCaps w:val="0"/>
                <w:color w:val="000000"/>
                <w:sz w:val="21"/>
                <w:szCs w:val="21"/>
                <w:lang w:val="en-US" w:eastAsia="zh-CN"/>
              </w:rPr>
              <w:t>并完成部署实施和试运行45天</w:t>
            </w:r>
            <w:r>
              <w:rPr>
                <w:rFonts w:hint="eastAsia" w:ascii="仿宋_GB2312" w:hAnsi="仿宋_GB2312" w:eastAsia="仿宋_GB2312" w:cs="仿宋_GB2312"/>
                <w:b w:val="0"/>
                <w:bCs w:val="0"/>
                <w:i w:val="0"/>
                <w:iCs w:val="0"/>
                <w:smallCaps w:val="0"/>
                <w:color w:val="000000"/>
                <w:sz w:val="21"/>
                <w:szCs w:val="21"/>
                <w:lang w:eastAsia="zh-CN"/>
              </w:rPr>
              <w:t>后</w:t>
            </w:r>
            <w:r>
              <w:rPr>
                <w:rFonts w:hint="eastAsia" w:ascii="仿宋_GB2312" w:hAnsi="仿宋_GB2312" w:eastAsia="仿宋_GB2312" w:cs="仿宋_GB2312"/>
                <w:color w:val="000000"/>
                <w:sz w:val="21"/>
                <w:szCs w:val="21"/>
              </w:rPr>
              <w:t xml:space="preserve">，收到等额发票后的 10 个工作日内，支付合同总价的 </w:t>
            </w:r>
            <w:r>
              <w:rPr>
                <w:rFonts w:hint="eastAsia" w:ascii="仿宋_GB2312" w:hAnsi="仿宋_GB2312" w:eastAsia="仿宋_GB2312" w:cs="仿宋_GB2312"/>
                <w:color w:val="000000"/>
                <w:sz w:val="21"/>
                <w:szCs w:val="21"/>
                <w:lang w:val="en-US" w:eastAsia="zh-CN"/>
              </w:rPr>
              <w:t>4</w:t>
            </w:r>
            <w:r>
              <w:rPr>
                <w:rFonts w:hint="eastAsia" w:ascii="仿宋_GB2312" w:hAnsi="仿宋_GB2312" w:eastAsia="仿宋_GB2312" w:cs="仿宋_GB2312"/>
                <w:color w:val="000000"/>
                <w:sz w:val="21"/>
                <w:szCs w:val="21"/>
              </w:rPr>
              <w:t>0%。</w:t>
            </w:r>
          </w:p>
        </w:tc>
        <w:tc>
          <w:tcPr>
            <w:tcW w:w="1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hint="default" w:ascii="仿宋_GB2312" w:hAnsi="仿宋_GB2312" w:eastAsia="仿宋_GB2312" w:cs="仿宋_GB2312"/>
                <w:b w:val="0"/>
                <w:bCs w:val="0"/>
                <w:i w:val="0"/>
                <w:iCs w:val="0"/>
                <w:smallCaps w:val="0"/>
                <w:color w:val="000000"/>
                <w:sz w:val="21"/>
                <w:szCs w:val="21"/>
                <w:lang w:val="en-US" w:eastAsia="zh-CN"/>
              </w:rPr>
            </w:pPr>
            <w:r>
              <w:rPr>
                <w:rFonts w:hint="eastAsia" w:ascii="仿宋_GB2312" w:hAnsi="仿宋_GB2312" w:eastAsia="仿宋_GB2312" w:cs="仿宋_GB2312"/>
                <w:b w:val="0"/>
                <w:bCs w:val="0"/>
                <w:i w:val="0"/>
                <w:iCs w:val="0"/>
                <w:smallCaps w:val="0"/>
                <w:color w:val="000000"/>
                <w:sz w:val="21"/>
                <w:szCs w:val="21"/>
                <w:lang w:val="en-US" w:eastAsia="zh-CN"/>
              </w:rPr>
              <w:t>40.0</w:t>
            </w:r>
          </w:p>
        </w:tc>
      </w:tr>
      <w:tr>
        <w:tblPrEx>
          <w:tblCellMar>
            <w:top w:w="15" w:type="dxa"/>
            <w:left w:w="15" w:type="dxa"/>
            <w:bottom w:w="15" w:type="dxa"/>
            <w:right w:w="15" w:type="dxa"/>
          </w:tblCellMar>
        </w:tblPrEx>
        <w:tc>
          <w:tcPr>
            <w:tcW w:w="801"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hint="default" w:ascii="仿宋_GB2312" w:hAnsi="仿宋_GB2312" w:eastAsia="仿宋_GB2312" w:cs="仿宋_GB2312"/>
                <w:b w:val="0"/>
                <w:bCs w:val="0"/>
                <w:i w:val="0"/>
                <w:iCs w:val="0"/>
                <w:smallCaps w:val="0"/>
                <w:color w:val="000000"/>
                <w:sz w:val="21"/>
                <w:szCs w:val="21"/>
                <w:lang w:val="en-US" w:eastAsia="zh-CN"/>
              </w:rPr>
            </w:pPr>
            <w:r>
              <w:rPr>
                <w:rFonts w:hint="eastAsia" w:ascii="仿宋_GB2312" w:hAnsi="仿宋_GB2312" w:eastAsia="仿宋_GB2312" w:cs="仿宋_GB2312"/>
                <w:b w:val="0"/>
                <w:bCs w:val="0"/>
                <w:i w:val="0"/>
                <w:iCs w:val="0"/>
                <w:smallCaps w:val="0"/>
                <w:color w:val="000000"/>
                <w:sz w:val="21"/>
                <w:szCs w:val="21"/>
                <w:lang w:eastAsia="zh-CN"/>
              </w:rPr>
              <w:t>第</w:t>
            </w:r>
            <w:r>
              <w:rPr>
                <w:rFonts w:hint="eastAsia" w:ascii="仿宋_GB2312" w:hAnsi="仿宋_GB2312" w:eastAsia="仿宋_GB2312" w:cs="仿宋_GB2312"/>
                <w:b w:val="0"/>
                <w:bCs w:val="0"/>
                <w:i w:val="0"/>
                <w:iCs w:val="0"/>
                <w:smallCaps w:val="0"/>
                <w:color w:val="000000"/>
                <w:sz w:val="21"/>
                <w:szCs w:val="21"/>
                <w:lang w:val="en-US" w:eastAsia="zh-CN"/>
              </w:rPr>
              <w:t>3次付款</w:t>
            </w:r>
          </w:p>
        </w:tc>
        <w:tc>
          <w:tcPr>
            <w:tcW w:w="3198"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ascii="仿宋_GB2312" w:hAnsi="仿宋_GB2312" w:eastAsia="仿宋_GB2312" w:cs="仿宋_GB2312"/>
                <w:b w:val="0"/>
                <w:bCs w:val="0"/>
                <w:i w:val="0"/>
                <w:iCs w:val="0"/>
                <w:smallCaps w:val="0"/>
                <w:color w:val="000000"/>
                <w:sz w:val="21"/>
                <w:szCs w:val="21"/>
              </w:rPr>
            </w:pPr>
            <w:r>
              <w:rPr>
                <w:rFonts w:hint="eastAsia" w:ascii="仿宋_GB2312" w:hAnsi="仿宋_GB2312" w:eastAsia="仿宋_GB2312" w:cs="仿宋_GB2312"/>
                <w:color w:val="000000"/>
                <w:sz w:val="21"/>
                <w:szCs w:val="21"/>
              </w:rPr>
              <w:t>项目验收通过后，收到等额发票后的 10 个工作日内，支付合同总价的 10%。</w:t>
            </w:r>
          </w:p>
        </w:tc>
        <w:tc>
          <w:tcPr>
            <w:tcW w:w="1000" w:type="pc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jc w:val="left"/>
              <w:rPr>
                <w:rFonts w:hint="default" w:ascii="仿宋_GB2312" w:hAnsi="仿宋_GB2312" w:eastAsia="仿宋_GB2312" w:cs="仿宋_GB2312"/>
                <w:b w:val="0"/>
                <w:bCs w:val="0"/>
                <w:i w:val="0"/>
                <w:iCs w:val="0"/>
                <w:smallCaps w:val="0"/>
                <w:color w:val="000000"/>
                <w:sz w:val="21"/>
                <w:szCs w:val="21"/>
                <w:lang w:val="en-US" w:eastAsia="zh-CN"/>
              </w:rPr>
            </w:pPr>
            <w:r>
              <w:rPr>
                <w:rFonts w:hint="eastAsia" w:ascii="仿宋_GB2312" w:hAnsi="仿宋_GB2312" w:eastAsia="仿宋_GB2312" w:cs="仿宋_GB2312"/>
                <w:b w:val="0"/>
                <w:bCs w:val="0"/>
                <w:i w:val="0"/>
                <w:iCs w:val="0"/>
                <w:smallCaps w:val="0"/>
                <w:color w:val="000000"/>
                <w:sz w:val="21"/>
                <w:szCs w:val="21"/>
                <w:lang w:val="en-US" w:eastAsia="zh-CN"/>
              </w:rPr>
              <w:t>10.0</w:t>
            </w:r>
          </w:p>
        </w:tc>
      </w:tr>
    </w:tbl>
    <w:p>
      <w:pPr>
        <w:keepNext w:val="0"/>
        <w:keepLines w:val="0"/>
        <w:pageBreakBefore w:val="0"/>
        <w:widowControl w:val="0"/>
        <w:kinsoku/>
        <w:wordWrap/>
        <w:overflowPunct/>
        <w:topLinePunct w:val="0"/>
        <w:autoSpaceDE/>
        <w:autoSpaceDN/>
        <w:bidi w:val="0"/>
        <w:spacing w:line="580" w:lineRule="exact"/>
        <w:ind w:firstLine="0" w:firstLineChars="0"/>
        <w:textAlignment w:val="auto"/>
        <w:rPr>
          <w:rFonts w:hint="eastAsia" w:ascii="仿宋_GB2312" w:hAnsi="仿宋_GB2312" w:eastAsia="仿宋_GB2312" w:cs="仿宋_GB2312"/>
          <w:sz w:val="32"/>
          <w:szCs w:val="32"/>
          <w:lang w:val="en-US" w:eastAsia="zh-CN"/>
        </w:rPr>
      </w:pPr>
    </w:p>
    <w:sectPr>
      <w:footerReference r:id="rId3" w:type="default"/>
      <w:pgSz w:w="12240" w:h="15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360" w:lineRule="auto"/>
      <w:jc w:val="center"/>
    </w:pPr>
    <w:r>
      <w:fldChar w:fldCharType="begin"/>
    </w:r>
    <w:r>
      <w:instrText xml:space="preserve"> PAGE </w:instrText>
    </w:r>
    <w:r>
      <w:fldChar w:fldCharType="separate"/>
    </w:r>
    <w:r>
      <w:t>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77B3E"/>
    <w:rsid w:val="00AF55ED"/>
    <w:rsid w:val="00CA2A55"/>
    <w:rsid w:val="01AF2F2A"/>
    <w:rsid w:val="02B30E9C"/>
    <w:rsid w:val="043121DF"/>
    <w:rsid w:val="04AA17D4"/>
    <w:rsid w:val="067F5C03"/>
    <w:rsid w:val="06A63B2D"/>
    <w:rsid w:val="071E07C7"/>
    <w:rsid w:val="07302A71"/>
    <w:rsid w:val="098A2722"/>
    <w:rsid w:val="09DE21BC"/>
    <w:rsid w:val="0A94498C"/>
    <w:rsid w:val="0BE62074"/>
    <w:rsid w:val="0CA53406"/>
    <w:rsid w:val="0D140663"/>
    <w:rsid w:val="0D383385"/>
    <w:rsid w:val="0DA77E34"/>
    <w:rsid w:val="0DB92BF5"/>
    <w:rsid w:val="0DED0A0B"/>
    <w:rsid w:val="0E72675C"/>
    <w:rsid w:val="0EFF159F"/>
    <w:rsid w:val="0FF707E8"/>
    <w:rsid w:val="104D2F0A"/>
    <w:rsid w:val="10622110"/>
    <w:rsid w:val="109B5101"/>
    <w:rsid w:val="13333B9A"/>
    <w:rsid w:val="14CF31CC"/>
    <w:rsid w:val="14F1315A"/>
    <w:rsid w:val="153A6C83"/>
    <w:rsid w:val="15BF4A2C"/>
    <w:rsid w:val="15CD049C"/>
    <w:rsid w:val="173F4C3E"/>
    <w:rsid w:val="17657252"/>
    <w:rsid w:val="177A7842"/>
    <w:rsid w:val="187B78D2"/>
    <w:rsid w:val="19577ADB"/>
    <w:rsid w:val="19F142E2"/>
    <w:rsid w:val="1B26402F"/>
    <w:rsid w:val="1B464308"/>
    <w:rsid w:val="1BBD4ACF"/>
    <w:rsid w:val="1BFB072A"/>
    <w:rsid w:val="1D132FE7"/>
    <w:rsid w:val="1D7F5793"/>
    <w:rsid w:val="1DB17CCB"/>
    <w:rsid w:val="1DD65B2E"/>
    <w:rsid w:val="1E022745"/>
    <w:rsid w:val="1E506BE3"/>
    <w:rsid w:val="1F454784"/>
    <w:rsid w:val="1F703D46"/>
    <w:rsid w:val="1F8664E6"/>
    <w:rsid w:val="204F2997"/>
    <w:rsid w:val="20C45267"/>
    <w:rsid w:val="20D24F20"/>
    <w:rsid w:val="21C41B5F"/>
    <w:rsid w:val="22240B3B"/>
    <w:rsid w:val="22416B81"/>
    <w:rsid w:val="22C62BFC"/>
    <w:rsid w:val="236F10A4"/>
    <w:rsid w:val="239F480D"/>
    <w:rsid w:val="242455E7"/>
    <w:rsid w:val="2543478B"/>
    <w:rsid w:val="25687D44"/>
    <w:rsid w:val="25D415BB"/>
    <w:rsid w:val="26255FEF"/>
    <w:rsid w:val="26B04D3B"/>
    <w:rsid w:val="27265C80"/>
    <w:rsid w:val="27AF51D9"/>
    <w:rsid w:val="285840CA"/>
    <w:rsid w:val="288F373E"/>
    <w:rsid w:val="28D1373C"/>
    <w:rsid w:val="2A7D6AD3"/>
    <w:rsid w:val="2B9C1D46"/>
    <w:rsid w:val="2CD14847"/>
    <w:rsid w:val="2CDB182C"/>
    <w:rsid w:val="2D4B079B"/>
    <w:rsid w:val="2EF67C65"/>
    <w:rsid w:val="2F883C65"/>
    <w:rsid w:val="2FB60D48"/>
    <w:rsid w:val="3126392A"/>
    <w:rsid w:val="314C17B7"/>
    <w:rsid w:val="31A11882"/>
    <w:rsid w:val="330B7464"/>
    <w:rsid w:val="3399261B"/>
    <w:rsid w:val="342114DD"/>
    <w:rsid w:val="34B0186C"/>
    <w:rsid w:val="35381750"/>
    <w:rsid w:val="355E7AB9"/>
    <w:rsid w:val="359F673B"/>
    <w:rsid w:val="35BC5568"/>
    <w:rsid w:val="36A03901"/>
    <w:rsid w:val="36F86D4B"/>
    <w:rsid w:val="37436184"/>
    <w:rsid w:val="3931661E"/>
    <w:rsid w:val="399D656A"/>
    <w:rsid w:val="3A150E08"/>
    <w:rsid w:val="3A4C2B9E"/>
    <w:rsid w:val="3A5D3AB1"/>
    <w:rsid w:val="3B7F247D"/>
    <w:rsid w:val="3BC556CE"/>
    <w:rsid w:val="3C8146CC"/>
    <w:rsid w:val="3D707695"/>
    <w:rsid w:val="3D7B1A3B"/>
    <w:rsid w:val="3F337A8A"/>
    <w:rsid w:val="3FB457E7"/>
    <w:rsid w:val="40A0275C"/>
    <w:rsid w:val="41DF5835"/>
    <w:rsid w:val="42326FF6"/>
    <w:rsid w:val="431B35F1"/>
    <w:rsid w:val="45321B8B"/>
    <w:rsid w:val="45616D5C"/>
    <w:rsid w:val="457973E7"/>
    <w:rsid w:val="45BE457D"/>
    <w:rsid w:val="46034BB3"/>
    <w:rsid w:val="46AF4F34"/>
    <w:rsid w:val="47022D64"/>
    <w:rsid w:val="47B84D1F"/>
    <w:rsid w:val="47D0348B"/>
    <w:rsid w:val="47DE6690"/>
    <w:rsid w:val="48762BA5"/>
    <w:rsid w:val="489D5A9F"/>
    <w:rsid w:val="4A913769"/>
    <w:rsid w:val="4C530D25"/>
    <w:rsid w:val="4EC6595A"/>
    <w:rsid w:val="4F144AC7"/>
    <w:rsid w:val="4FB27B57"/>
    <w:rsid w:val="4FE21AA4"/>
    <w:rsid w:val="4FF155B1"/>
    <w:rsid w:val="50265E9B"/>
    <w:rsid w:val="51617BC9"/>
    <w:rsid w:val="52BB09BF"/>
    <w:rsid w:val="52FD566B"/>
    <w:rsid w:val="540B7BE1"/>
    <w:rsid w:val="54697A76"/>
    <w:rsid w:val="54FD2997"/>
    <w:rsid w:val="55122BEA"/>
    <w:rsid w:val="563E2FA8"/>
    <w:rsid w:val="570F5221"/>
    <w:rsid w:val="579F4000"/>
    <w:rsid w:val="57A87B83"/>
    <w:rsid w:val="58AA2FC3"/>
    <w:rsid w:val="59DA5DDC"/>
    <w:rsid w:val="5A050412"/>
    <w:rsid w:val="5A883419"/>
    <w:rsid w:val="5C301284"/>
    <w:rsid w:val="5E9373CB"/>
    <w:rsid w:val="5F472F32"/>
    <w:rsid w:val="60C64A4F"/>
    <w:rsid w:val="60F603E9"/>
    <w:rsid w:val="60FC1771"/>
    <w:rsid w:val="611532FE"/>
    <w:rsid w:val="612B4D40"/>
    <w:rsid w:val="613B7677"/>
    <w:rsid w:val="61E63CB5"/>
    <w:rsid w:val="640A5785"/>
    <w:rsid w:val="64C46B7F"/>
    <w:rsid w:val="64DA7C16"/>
    <w:rsid w:val="64E16C80"/>
    <w:rsid w:val="65150673"/>
    <w:rsid w:val="652A2D91"/>
    <w:rsid w:val="65D920F7"/>
    <w:rsid w:val="66233B04"/>
    <w:rsid w:val="66CD60E3"/>
    <w:rsid w:val="6784644E"/>
    <w:rsid w:val="67A37759"/>
    <w:rsid w:val="67A76AD4"/>
    <w:rsid w:val="69467917"/>
    <w:rsid w:val="695C1BE9"/>
    <w:rsid w:val="699B244C"/>
    <w:rsid w:val="69ED401E"/>
    <w:rsid w:val="6A1C32DA"/>
    <w:rsid w:val="6AEF5B81"/>
    <w:rsid w:val="6B180392"/>
    <w:rsid w:val="6B73607C"/>
    <w:rsid w:val="6B841A4F"/>
    <w:rsid w:val="6C33193A"/>
    <w:rsid w:val="6C5127E1"/>
    <w:rsid w:val="6C930A85"/>
    <w:rsid w:val="6E4E3692"/>
    <w:rsid w:val="6EB547B1"/>
    <w:rsid w:val="6F730C92"/>
    <w:rsid w:val="70811C91"/>
    <w:rsid w:val="708F76E5"/>
    <w:rsid w:val="70B07124"/>
    <w:rsid w:val="727F3A7B"/>
    <w:rsid w:val="72F94DFB"/>
    <w:rsid w:val="73444EBF"/>
    <w:rsid w:val="735C07FB"/>
    <w:rsid w:val="73B21EE2"/>
    <w:rsid w:val="73CD1FF1"/>
    <w:rsid w:val="74467836"/>
    <w:rsid w:val="76C10C6A"/>
    <w:rsid w:val="7733144B"/>
    <w:rsid w:val="7755513A"/>
    <w:rsid w:val="78056D44"/>
    <w:rsid w:val="782E5F1A"/>
    <w:rsid w:val="78917D4F"/>
    <w:rsid w:val="78C46415"/>
    <w:rsid w:val="79231CE7"/>
    <w:rsid w:val="7A511424"/>
    <w:rsid w:val="7AB90C06"/>
    <w:rsid w:val="7ACA3CE3"/>
    <w:rsid w:val="7ACF2119"/>
    <w:rsid w:val="7B7669CC"/>
    <w:rsid w:val="7B9D2488"/>
    <w:rsid w:val="7C0C0BF8"/>
    <w:rsid w:val="7C9D049E"/>
    <w:rsid w:val="7DF911C8"/>
    <w:rsid w:val="7E2561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3"/>
    <w:qFormat/>
    <w:uiPriority w:val="0"/>
    <w:pPr>
      <w:keepNext/>
      <w:spacing w:before="240" w:after="60"/>
      <w:outlineLvl w:val="0"/>
    </w:pPr>
    <w:rPr>
      <w:rFonts w:ascii="Arial" w:hAnsi="Arial" w:cs="Arial"/>
      <w:b/>
      <w:bCs/>
      <w:kern w:val="32"/>
      <w:sz w:val="32"/>
      <w:szCs w:val="32"/>
    </w:rPr>
  </w:style>
  <w:style w:type="paragraph" w:styleId="4">
    <w:name w:val="heading 2"/>
    <w:basedOn w:val="1"/>
    <w:next w:val="1"/>
    <w:qFormat/>
    <w:uiPriority w:val="0"/>
    <w:pPr>
      <w:keepNext/>
      <w:spacing w:before="240" w:after="60"/>
      <w:outlineLvl w:val="1"/>
    </w:pPr>
    <w:rPr>
      <w:rFonts w:ascii="Arial" w:hAnsi="Arial" w:cs="Arial"/>
      <w:b/>
      <w:bCs/>
      <w:i/>
      <w:iCs/>
      <w:sz w:val="28"/>
      <w:szCs w:val="28"/>
    </w:rPr>
  </w:style>
  <w:style w:type="paragraph" w:styleId="5">
    <w:name w:val="heading 3"/>
    <w:basedOn w:val="1"/>
    <w:next w:val="1"/>
    <w:qFormat/>
    <w:uiPriority w:val="0"/>
    <w:pPr>
      <w:keepNext/>
      <w:spacing w:before="240" w:after="60"/>
      <w:outlineLvl w:val="2"/>
    </w:pPr>
    <w:rPr>
      <w:rFonts w:ascii="Arial" w:hAnsi="Arial" w:cs="Arial"/>
      <w:b/>
      <w:bCs/>
      <w:sz w:val="26"/>
      <w:szCs w:val="26"/>
    </w:rPr>
  </w:style>
  <w:style w:type="paragraph" w:styleId="6">
    <w:name w:val="heading 4"/>
    <w:basedOn w:val="1"/>
    <w:next w:val="1"/>
    <w:qFormat/>
    <w:uiPriority w:val="0"/>
    <w:pPr>
      <w:keepNext/>
      <w:spacing w:before="240" w:after="60"/>
      <w:outlineLvl w:val="3"/>
    </w:pPr>
    <w:rPr>
      <w:b/>
      <w:bCs/>
      <w:sz w:val="28"/>
      <w:szCs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3">
    <w:name w:val="首行缩进"/>
    <w:qFormat/>
    <w:uiPriority w:val="99"/>
    <w:pPr>
      <w:ind w:firstLine="480" w:firstLineChars="200"/>
    </w:pPr>
    <w:rPr>
      <w:rFonts w:ascii="仿宋" w:hAnsi="仿宋" w:eastAsia="仿宋" w:cs="Times New Roman"/>
      <w:sz w:val="32"/>
      <w:szCs w:val="21"/>
      <w:lang w:val="en-US" w:eastAsia="zh-CN" w:bidi="ar-SA"/>
    </w:rPr>
  </w:style>
  <w:style w:type="paragraph" w:styleId="7">
    <w:name w:val="annotation text"/>
    <w:basedOn w:val="1"/>
    <w:unhideWhenUsed/>
    <w:qFormat/>
    <w:uiPriority w:val="0"/>
    <w:pPr>
      <w:jc w:val="left"/>
    </w:pPr>
    <w:rPr>
      <w:szCs w:val="24"/>
    </w:rPr>
  </w:style>
  <w:style w:type="paragraph" w:styleId="8">
    <w:name w:val="Body Text"/>
    <w:basedOn w:val="1"/>
    <w:next w:val="9"/>
    <w:unhideWhenUsed/>
    <w:qFormat/>
    <w:uiPriority w:val="0"/>
    <w:pPr>
      <w:spacing w:line="360" w:lineRule="auto"/>
    </w:pPr>
    <w:rPr>
      <w:szCs w:val="20"/>
    </w:rPr>
  </w:style>
  <w:style w:type="paragraph" w:styleId="9">
    <w:name w:val="Body Text 2"/>
    <w:basedOn w:val="1"/>
    <w:unhideWhenUsed/>
    <w:qFormat/>
    <w:uiPriority w:val="99"/>
    <w:pPr>
      <w:spacing w:after="120" w:line="480" w:lineRule="auto"/>
    </w:pPr>
  </w:style>
  <w:style w:type="paragraph" w:styleId="10">
    <w:name w:val="toc 3"/>
    <w:basedOn w:val="1"/>
    <w:next w:val="1"/>
    <w:qFormat/>
    <w:uiPriority w:val="0"/>
    <w:pPr>
      <w:ind w:left="480"/>
    </w:pPr>
  </w:style>
  <w:style w:type="paragraph" w:styleId="11">
    <w:name w:val="toc 1"/>
    <w:basedOn w:val="1"/>
    <w:next w:val="1"/>
    <w:qFormat/>
    <w:uiPriority w:val="0"/>
  </w:style>
  <w:style w:type="paragraph" w:styleId="12">
    <w:name w:val="toc 2"/>
    <w:basedOn w:val="1"/>
    <w:next w:val="1"/>
    <w:qFormat/>
    <w:uiPriority w:val="0"/>
    <w:pPr>
      <w:ind w:left="24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styleId="18">
    <w:name w:val="annotation reference"/>
    <w:unhideWhenUsed/>
    <w:qFormat/>
    <w:uiPriority w:val="99"/>
    <w:rPr>
      <w:sz w:val="21"/>
      <w:szCs w:val="21"/>
    </w:rPr>
  </w:style>
  <w:style w:type="paragraph" w:customStyle="1" w:styleId="19">
    <w:name w:val="MsoNormal"/>
    <w:basedOn w:val="1"/>
    <w:qFormat/>
    <w:uiPriority w:val="0"/>
  </w:style>
  <w:style w:type="paragraph" w:customStyle="1" w:styleId="20">
    <w:name w:val="17 Paragraph"/>
    <w:basedOn w:val="1"/>
    <w:qFormat/>
    <w:uiPriority w:val="0"/>
  </w:style>
  <w:style w:type="paragraph" w:customStyle="1" w:styleId="21">
    <w:name w:val="16"/>
    <w:basedOn w:val="1"/>
    <w:qFormat/>
    <w:uiPriority w:val="0"/>
  </w:style>
  <w:style w:type="character" w:customStyle="1" w:styleId="22">
    <w:name w:val="font11"/>
    <w:basedOn w:val="15"/>
    <w:qFormat/>
    <w:uiPriority w:val="0"/>
    <w:rPr>
      <w:rFonts w:hint="default" w:ascii="等线" w:hAnsi="等线" w:eastAsia="等线" w:cs="等线"/>
      <w:color w:val="000000"/>
      <w:sz w:val="20"/>
      <w:szCs w:val="20"/>
      <w:u w:val="none"/>
    </w:rPr>
  </w:style>
  <w:style w:type="character" w:customStyle="1" w:styleId="23">
    <w:name w:val="font21"/>
    <w:basedOn w:val="15"/>
    <w:qFormat/>
    <w:uiPriority w:val="0"/>
    <w:rPr>
      <w:rFonts w:hint="default" w:ascii="等线" w:hAnsi="等线" w:eastAsia="等线" w:cs="等线"/>
      <w:color w:val="FF0000"/>
      <w:sz w:val="20"/>
      <w:szCs w:val="20"/>
      <w:u w:val="none"/>
    </w:rPr>
  </w:style>
  <w:style w:type="paragraph" w:customStyle="1" w:styleId="24">
    <w:name w:val="null3"/>
    <w:qFormat/>
    <w:uiPriority w:val="0"/>
    <w:rPr>
      <w:rFonts w:hint="eastAsia" w:ascii="Calibri" w:hAnsi="Calibri" w:eastAsia="宋体" w:cs="Times New Roman"/>
      <w:lang w:val="en-US" w:eastAsia="zh-CN" w:bidi="ar-SA"/>
    </w:rPr>
  </w:style>
  <w:style w:type="character" w:customStyle="1" w:styleId="25">
    <w:name w:val="font8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Pages>25</Pages>
  <Words>403</Words>
  <Characters>552</Characters>
  <Lines>1</Lines>
  <Paragraphs>1</Paragraphs>
  <TotalTime>1</TotalTime>
  <ScaleCrop>false</ScaleCrop>
  <LinksUpToDate>false</LinksUpToDate>
  <CharactersWithSpaces>605</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2024-10-23T03:09:00Z</dcterms:created>
  <dc:creator>刘小波</dc:creator>
  <cp:lastModifiedBy>黎妙娟</cp:lastModifiedBy>
  <dcterms:modified xsi:type="dcterms:W3CDTF">2026-09-02T09:58:38Z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y fmtid="{D5CDD505-2E9C-101B-9397-08002B2CF9AE}" pid="3" name="KSOTemplateDocerSaveRecord">
    <vt:lpwstr>eyJoZGlkIjoiZGU1YzYzZDUwMzY3ODJiMGUzMTc1NWQzNjI0MzcwMTIiLCJ1c2VySWQiOiIyNzE4MzY4NDcifQ==</vt:lpwstr>
  </property>
  <property fmtid="{D5CDD505-2E9C-101B-9397-08002B2CF9AE}" pid="4" name="ICV">
    <vt:lpwstr>EC93689023BF4745921D155BE6B7A400_12</vt:lpwstr>
  </property>
</Properties>
</file>