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outlineLvl w:val="9"/>
        <w:rPr>
          <w:rFonts w:hint="eastAsia"/>
          <w:lang w:eastAsia="zh-CN"/>
        </w:rPr>
      </w:pPr>
      <w:bookmarkStart w:id="0" w:name="_Toc9209"/>
      <w:bookmarkStart w:id="1" w:name="_Toc24880"/>
      <w:bookmarkStart w:id="2" w:name="_Toc6637"/>
      <w:bookmarkStart w:id="3" w:name="_Toc21472"/>
      <w:bookmarkStart w:id="4" w:name="_Toc869"/>
      <w:bookmarkStart w:id="5" w:name="_Toc10476"/>
      <w:bookmarkStart w:id="6" w:name="_Toc17276"/>
      <w:bookmarkStart w:id="7" w:name="_Toc23518"/>
      <w:bookmarkStart w:id="8" w:name="_Toc17637"/>
      <w:bookmarkStart w:id="9" w:name="_Toc15254"/>
      <w:bookmarkStart w:id="10" w:name="_Toc3996"/>
      <w:bookmarkStart w:id="11" w:name="_Toc14102"/>
      <w:bookmarkStart w:id="12" w:name="_Toc21170"/>
      <w:bookmarkStart w:id="300" w:name="_GoBack"/>
      <w:bookmarkEnd w:id="300"/>
    </w:p>
    <w:p>
      <w:pPr>
        <w:pStyle w:val="3"/>
        <w:bidi w:val="0"/>
        <w:jc w:val="center"/>
        <w:outlineLvl w:val="9"/>
        <w:rPr>
          <w:rFonts w:hint="eastAsia"/>
          <w:lang w:eastAsia="zh-CN"/>
        </w:rPr>
      </w:pPr>
    </w:p>
    <w:p>
      <w:pPr>
        <w:pStyle w:val="3"/>
        <w:bidi w:val="0"/>
        <w:jc w:val="center"/>
        <w:outlineLvl w:val="9"/>
        <w:rPr>
          <w:rFonts w:hint="eastAsia"/>
          <w:lang w:eastAsia="zh-CN"/>
        </w:rPr>
      </w:pPr>
    </w:p>
    <w:p>
      <w:pPr>
        <w:pStyle w:val="3"/>
        <w:bidi w:val="0"/>
        <w:jc w:val="center"/>
        <w:outlineLvl w:val="9"/>
        <w:rPr>
          <w:rFonts w:hint="eastAsia"/>
          <w:lang w:eastAsia="zh-CN"/>
        </w:rPr>
      </w:pPr>
    </w:p>
    <w:p>
      <w:pPr>
        <w:pStyle w:val="3"/>
        <w:bidi w:val="0"/>
        <w:jc w:val="center"/>
        <w:rPr>
          <w:rFonts w:hint="eastAsia" w:ascii="宋体" w:hAnsi="宋体" w:eastAsia="宋体" w:cs="宋体"/>
          <w:sz w:val="36"/>
          <w:szCs w:val="36"/>
          <w:lang w:eastAsia="zh-CN"/>
        </w:rPr>
      </w:pPr>
      <w:bookmarkStart w:id="13" w:name="_Toc14640"/>
      <w:r>
        <w:rPr>
          <w:rFonts w:hint="eastAsia" w:ascii="宋体" w:hAnsi="宋体" w:eastAsia="宋体" w:cs="宋体"/>
          <w:sz w:val="36"/>
          <w:szCs w:val="36"/>
          <w:lang w:eastAsia="zh-CN"/>
        </w:rPr>
        <w:t>广东税务2026年应用支撑平台迁移等相关服务器购买项目采购需求</w:t>
      </w:r>
      <w:bookmarkEnd w:id="13"/>
    </w:p>
    <w:p>
      <w:pPr>
        <w:pStyle w:val="4"/>
        <w:rPr>
          <w:rFonts w:hint="default"/>
          <w:lang w:val="en-US" w:eastAsia="zh-CN"/>
        </w:rPr>
      </w:pPr>
    </w:p>
    <w:p>
      <w:pPr>
        <w:pStyle w:val="5"/>
        <w:keepNext w:val="0"/>
        <w:spacing w:before="0" w:after="0" w:line="360" w:lineRule="auto"/>
        <w:outlineLvl w:val="9"/>
        <w:rPr>
          <w:rFonts w:ascii="仿宋_GB2312" w:hAnsi="仿宋_GB2312" w:eastAsia="仿宋_GB2312" w:cs="仿宋_GB2312"/>
          <w:i w:val="0"/>
          <w:iCs w:val="0"/>
          <w:lang w:eastAsia="en-US"/>
        </w:rPr>
      </w:pPr>
    </w:p>
    <w:p>
      <w:pPr>
        <w:rPr>
          <w:rFonts w:ascii="仿宋_GB2312" w:hAnsi="仿宋_GB2312" w:eastAsia="仿宋_GB2312" w:cs="仿宋_GB2312"/>
          <w:i w:val="0"/>
          <w:iCs w:val="0"/>
          <w:lang w:eastAsia="en-US"/>
        </w:rPr>
      </w:pPr>
    </w:p>
    <w:p>
      <w:pPr>
        <w:pStyle w:val="2"/>
        <w:outlineLvl w:val="9"/>
        <w:rPr>
          <w:rFonts w:ascii="仿宋_GB2312" w:hAnsi="仿宋_GB2312" w:eastAsia="仿宋_GB2312" w:cs="仿宋_GB2312"/>
          <w:i w:val="0"/>
          <w:iCs w:val="0"/>
          <w:lang w:eastAsia="en-US"/>
        </w:rPr>
      </w:pPr>
    </w:p>
    <w:p>
      <w:pPr>
        <w:rPr>
          <w:rFonts w:ascii="仿宋_GB2312" w:hAnsi="仿宋_GB2312" w:eastAsia="仿宋_GB2312" w:cs="仿宋_GB2312"/>
          <w:i w:val="0"/>
          <w:iCs w:val="0"/>
          <w:lang w:eastAsia="en-US"/>
        </w:rPr>
      </w:pPr>
    </w:p>
    <w:p>
      <w:pPr>
        <w:pStyle w:val="2"/>
        <w:outlineLvl w:val="9"/>
        <w:rPr>
          <w:rFonts w:ascii="仿宋_GB2312" w:hAnsi="仿宋_GB2312" w:eastAsia="仿宋_GB2312" w:cs="仿宋_GB2312"/>
          <w:i w:val="0"/>
          <w:iCs w:val="0"/>
          <w:lang w:eastAsia="en-US"/>
        </w:rPr>
      </w:pPr>
    </w:p>
    <w:p>
      <w:pPr>
        <w:rPr>
          <w:rFonts w:ascii="仿宋_GB2312" w:hAnsi="仿宋_GB2312" w:eastAsia="仿宋_GB2312" w:cs="仿宋_GB2312"/>
          <w:i w:val="0"/>
          <w:iCs w:val="0"/>
          <w:lang w:eastAsia="en-US"/>
        </w:rPr>
      </w:pPr>
    </w:p>
    <w:p>
      <w:pPr>
        <w:pStyle w:val="2"/>
        <w:outlineLvl w:val="9"/>
        <w:rPr>
          <w:rFonts w:ascii="仿宋_GB2312" w:hAnsi="仿宋_GB2312" w:eastAsia="仿宋_GB2312" w:cs="仿宋_GB2312"/>
          <w:i w:val="0"/>
          <w:iCs w:val="0"/>
          <w:lang w:eastAsia="en-US"/>
        </w:rPr>
      </w:pPr>
    </w:p>
    <w:p>
      <w:pPr>
        <w:rPr>
          <w:rFonts w:ascii="仿宋_GB2312" w:hAnsi="仿宋_GB2312" w:eastAsia="仿宋_GB2312" w:cs="仿宋_GB2312"/>
          <w:i w:val="0"/>
          <w:iCs w:val="0"/>
          <w:lang w:eastAsia="en-US"/>
        </w:rPr>
      </w:pPr>
    </w:p>
    <w:p>
      <w:pPr>
        <w:pStyle w:val="2"/>
        <w:outlineLvl w:val="9"/>
        <w:rPr>
          <w:rFonts w:ascii="仿宋_GB2312" w:hAnsi="仿宋_GB2312" w:eastAsia="仿宋_GB2312" w:cs="仿宋_GB2312"/>
          <w:i w:val="0"/>
          <w:iCs w:val="0"/>
          <w:lang w:eastAsia="en-US"/>
        </w:rPr>
      </w:pPr>
    </w:p>
    <w:p>
      <w:pPr>
        <w:jc w:val="center"/>
        <w:rPr>
          <w:rFonts w:hint="eastAsia" w:ascii="宋体" w:hAnsi="宋体" w:eastAsia="宋体" w:cs="宋体"/>
          <w:b/>
          <w:bCs/>
          <w:i w:val="0"/>
          <w:iCs w:val="0"/>
          <w:sz w:val="28"/>
          <w:szCs w:val="28"/>
          <w:lang w:eastAsia="zh-CN"/>
        </w:rPr>
      </w:pPr>
      <w:r>
        <w:rPr>
          <w:rFonts w:hint="eastAsia" w:ascii="宋体" w:hAnsi="宋体" w:eastAsia="宋体" w:cs="宋体"/>
          <w:b/>
          <w:bCs/>
          <w:i w:val="0"/>
          <w:iCs w:val="0"/>
          <w:sz w:val="28"/>
          <w:szCs w:val="28"/>
          <w:lang w:eastAsia="zh-CN"/>
        </w:rPr>
        <w:t>广东省税务局</w:t>
      </w:r>
    </w:p>
    <w:p>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2026年8月</w:t>
      </w:r>
    </w:p>
    <w:p>
      <w:pPr>
        <w:rPr>
          <w:rFonts w:hint="eastAsia" w:asciiTheme="majorEastAsia" w:hAnsiTheme="majorEastAsia" w:eastAsiaTheme="majorEastAsia" w:cstheme="majorEastAsia"/>
          <w:sz w:val="28"/>
          <w:szCs w:val="28"/>
          <w:lang w:eastAsia="en-US"/>
        </w:rPr>
      </w:pPr>
      <w:r>
        <w:rPr>
          <w:rFonts w:hint="eastAsia" w:asciiTheme="majorEastAsia" w:hAnsiTheme="majorEastAsia" w:eastAsiaTheme="majorEastAsia" w:cstheme="majorEastAsia"/>
          <w:sz w:val="28"/>
          <w:szCs w:val="28"/>
          <w:lang w:eastAsia="en-US"/>
        </w:rPr>
        <w:br w:type="page"/>
      </w:r>
    </w:p>
    <w:sdt>
      <w:sdtPr>
        <w:rPr>
          <w:rFonts w:ascii="宋体" w:hAnsi="宋体" w:eastAsia="宋体" w:cs="Times New Roman"/>
          <w:sz w:val="21"/>
          <w:szCs w:val="24"/>
          <w:lang w:val="en-US" w:eastAsia="en-US" w:bidi="ar-SA"/>
        </w:rPr>
        <w:id w:val="147453077"/>
        <w15:color w:val="DBDBDB"/>
        <w:docPartObj>
          <w:docPartGallery w:val="Table of Contents"/>
          <w:docPartUnique/>
        </w:docPartObj>
      </w:sdtPr>
      <w:sdtEndPr>
        <w:rPr>
          <w:rFonts w:ascii="Times New Roman" w:hAnsi="Times New Roman" w:eastAsia="Times New Roman" w:cs="Times New Roman"/>
          <w:sz w:val="24"/>
          <w:szCs w:val="24"/>
          <w:lang w:val="en-US" w:eastAsia="en-US" w:bidi="ar-SA"/>
        </w:rPr>
      </w:sdtEndPr>
      <w:sdtContent>
        <w:p>
          <w:pPr>
            <w:spacing w:before="0" w:beforeLines="0" w:after="0" w:afterLines="0" w:line="240" w:lineRule="auto"/>
            <w:ind w:left="0" w:leftChars="0" w:right="0" w:rightChars="0" w:firstLine="0" w:firstLineChars="0"/>
            <w:jc w:val="center"/>
            <w:rPr>
              <w:lang w:eastAsia="en-US"/>
            </w:rPr>
          </w:pPr>
        </w:p>
        <w:p>
          <w:pPr>
            <w:rPr>
              <w:lang w:eastAsia="en-US"/>
            </w:rPr>
          </w:pPr>
        </w:p>
      </w:sdtContent>
    </w:sdt>
    <w:p>
      <w:pPr>
        <w:pStyle w:val="5"/>
        <w:keepLines w:val="0"/>
        <w:pageBreakBefore w:val="0"/>
        <w:widowControl/>
        <w:kinsoku/>
        <w:wordWrap/>
        <w:overflowPunct/>
        <w:topLinePunct w:val="0"/>
        <w:autoSpaceDE/>
        <w:autoSpaceDN/>
        <w:bidi w:val="0"/>
        <w:adjustRightInd/>
        <w:snapToGrid/>
        <w:spacing w:line="360" w:lineRule="auto"/>
        <w:textAlignment w:val="auto"/>
        <w:outlineLvl w:val="0"/>
        <w:rPr>
          <w:lang w:eastAsia="en-US"/>
        </w:rPr>
      </w:pPr>
      <w:bookmarkStart w:id="14" w:name="_Toc13164"/>
      <w:bookmarkStart w:id="15" w:name="_Toc23452"/>
      <w:r>
        <w:rPr>
          <w:rFonts w:hint="eastAsia"/>
          <w:lang w:eastAsia="en-US"/>
        </w:rPr>
        <w:t>第一章 项目概述</w:t>
      </w:r>
      <w:bookmarkEnd w:id="14"/>
      <w:bookmarkEnd w:id="15"/>
    </w:p>
    <w:p>
      <w:pPr>
        <w:pStyle w:val="2"/>
        <w:keepLines w:val="0"/>
        <w:pageBreakBefore w:val="0"/>
        <w:widowControl/>
        <w:kinsoku/>
        <w:wordWrap/>
        <w:overflowPunct/>
        <w:topLinePunct w:val="0"/>
        <w:autoSpaceDE/>
        <w:autoSpaceDN/>
        <w:bidi w:val="0"/>
        <w:adjustRightInd/>
        <w:snapToGrid/>
        <w:spacing w:line="360" w:lineRule="auto"/>
        <w:textAlignment w:val="auto"/>
        <w:rPr>
          <w:lang w:eastAsia="en-US"/>
        </w:rPr>
      </w:pPr>
      <w:bookmarkStart w:id="16" w:name="_Toc31188"/>
      <w:bookmarkStart w:id="17" w:name="_Toc31948"/>
      <w:r>
        <w:rPr>
          <w:rFonts w:hint="eastAsia"/>
          <w:lang w:eastAsia="en-US"/>
        </w:rPr>
        <w:t>1.1 项目背景</w:t>
      </w:r>
      <w:bookmarkEnd w:id="16"/>
      <w:bookmarkEnd w:id="17"/>
    </w:p>
    <w:p>
      <w:pPr>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0"/>
        <w:rPr>
          <w:rFonts w:hint="default" w:ascii="仿宋_GB2312" w:hAnsi="仿宋_GB2312" w:eastAsia="仿宋_GB2312" w:cs="仿宋_GB2312"/>
          <w:sz w:val="24"/>
          <w:szCs w:val="20"/>
          <w:lang w:val="en-US" w:eastAsia="zh-CN" w:bidi="ar-SA"/>
        </w:rPr>
      </w:pPr>
      <w:bookmarkStart w:id="18" w:name="_Toc10967"/>
      <w:r>
        <w:rPr>
          <w:rFonts w:hint="eastAsia" w:ascii="仿宋_GB2312" w:hAnsi="仿宋_GB2312" w:eastAsia="仿宋_GB2312" w:cs="仿宋_GB2312"/>
          <w:sz w:val="24"/>
          <w:szCs w:val="20"/>
          <w:lang w:val="en-US" w:eastAsia="zh-CN" w:bidi="ar-SA"/>
        </w:rPr>
        <w:t>根据工作安排，应用支撑平台计划迁移到</w:t>
      </w:r>
      <w:r>
        <w:rPr>
          <w:rFonts w:hint="default" w:ascii="仿宋_GB2312" w:hAnsi="仿宋_GB2312" w:eastAsia="仿宋_GB2312" w:cs="仿宋_GB2312"/>
          <w:sz w:val="24"/>
          <w:szCs w:val="20"/>
          <w:lang w:val="en-US" w:eastAsia="zh-CN" w:bidi="ar-SA"/>
        </w:rPr>
        <w:t>广东省局</w:t>
      </w:r>
      <w:r>
        <w:rPr>
          <w:rFonts w:hint="eastAsia" w:ascii="仿宋_GB2312" w:hAnsi="仿宋_GB2312" w:eastAsia="仿宋_GB2312" w:cs="仿宋_GB2312"/>
          <w:sz w:val="24"/>
          <w:szCs w:val="20"/>
          <w:lang w:val="en-US" w:eastAsia="zh-CN" w:bidi="ar-SA"/>
        </w:rPr>
        <w:t>金四云平台</w:t>
      </w:r>
      <w:r>
        <w:rPr>
          <w:rFonts w:hint="eastAsia" w:ascii="仿宋_GB2312" w:hAnsi="仿宋_GB2312" w:eastAsia="仿宋_GB2312" w:cs="仿宋_GB2312"/>
          <w:sz w:val="24"/>
          <w:szCs w:val="20"/>
          <w:lang w:val="en-US" w:eastAsia="zh" w:bidi="ar-SA"/>
        </w:rPr>
        <w:t>（金税云）</w:t>
      </w:r>
      <w:r>
        <w:rPr>
          <w:rFonts w:hint="eastAsia" w:ascii="仿宋_GB2312" w:hAnsi="仿宋_GB2312" w:eastAsia="仿宋_GB2312" w:cs="仿宋_GB2312"/>
          <w:sz w:val="24"/>
          <w:szCs w:val="20"/>
          <w:lang w:val="en-US" w:eastAsia="zh-CN" w:bidi="ar-SA"/>
        </w:rPr>
        <w:t>，</w:t>
      </w:r>
      <w:r>
        <w:rPr>
          <w:rFonts w:hint="default" w:ascii="仿宋_GB2312" w:hAnsi="仿宋_GB2312" w:eastAsia="仿宋_GB2312" w:cs="仿宋_GB2312"/>
          <w:sz w:val="24"/>
          <w:szCs w:val="20"/>
          <w:lang w:val="en-US" w:eastAsia="zh-CN" w:bidi="ar-SA"/>
        </w:rPr>
        <w:t>广东省局</w:t>
      </w:r>
      <w:r>
        <w:rPr>
          <w:rFonts w:hint="eastAsia" w:ascii="仿宋_GB2312" w:hAnsi="仿宋_GB2312" w:eastAsia="仿宋_GB2312" w:cs="仿宋_GB2312"/>
          <w:sz w:val="24"/>
          <w:szCs w:val="20"/>
          <w:lang w:val="en-US" w:eastAsia="zh-CN" w:bidi="ar-SA"/>
        </w:rPr>
        <w:t>金四云平台</w:t>
      </w:r>
      <w:r>
        <w:rPr>
          <w:rFonts w:hint="default" w:ascii="仿宋_GB2312" w:hAnsi="仿宋_GB2312" w:eastAsia="仿宋_GB2312" w:cs="仿宋_GB2312"/>
          <w:sz w:val="24"/>
          <w:szCs w:val="20"/>
          <w:lang w:val="en-US" w:eastAsia="zh-CN" w:bidi="ar-SA"/>
        </w:rPr>
        <w:t>自2022年启动建设，</w:t>
      </w:r>
      <w:r>
        <w:rPr>
          <w:rFonts w:hint="eastAsia" w:ascii="仿宋_GB2312" w:hAnsi="仿宋_GB2312" w:eastAsia="仿宋_GB2312" w:cs="仿宋_GB2312"/>
          <w:sz w:val="24"/>
          <w:szCs w:val="20"/>
          <w:lang w:val="en-US" w:eastAsia="zh" w:bidi="ar-SA"/>
        </w:rPr>
        <w:t>历经两次扩容</w:t>
      </w:r>
      <w:r>
        <w:rPr>
          <w:rFonts w:hint="default" w:ascii="仿宋_GB2312" w:hAnsi="仿宋_GB2312" w:eastAsia="仿宋_GB2312" w:cs="仿宋_GB2312"/>
          <w:sz w:val="24"/>
          <w:szCs w:val="20"/>
          <w:lang w:val="en-US" w:eastAsia="zh-CN" w:bidi="ar-SA"/>
        </w:rPr>
        <w:t>共有</w:t>
      </w:r>
      <w:r>
        <w:rPr>
          <w:rFonts w:hint="eastAsia" w:ascii="仿宋_GB2312" w:hAnsi="仿宋_GB2312" w:eastAsia="仿宋_GB2312" w:cs="仿宋_GB2312"/>
          <w:sz w:val="24"/>
          <w:szCs w:val="20"/>
          <w:lang w:val="en-US" w:eastAsia="zh-CN" w:bidi="ar-SA"/>
        </w:rPr>
        <w:t>近千</w:t>
      </w:r>
      <w:r>
        <w:rPr>
          <w:rFonts w:hint="default" w:ascii="仿宋_GB2312" w:hAnsi="仿宋_GB2312" w:eastAsia="仿宋_GB2312" w:cs="仿宋_GB2312"/>
          <w:sz w:val="24"/>
          <w:szCs w:val="20"/>
          <w:lang w:val="en-US" w:eastAsia="zh-CN" w:bidi="ar-SA"/>
        </w:rPr>
        <w:t>台服务器。当前距末次扩容已近2年，存量资源使用率持续攀升，剩余云资源已难以支撑</w:t>
      </w:r>
      <w:r>
        <w:rPr>
          <w:rFonts w:hint="eastAsia" w:ascii="仿宋_GB2312" w:hAnsi="仿宋_GB2312" w:eastAsia="仿宋_GB2312" w:cs="仿宋_GB2312"/>
          <w:sz w:val="24"/>
          <w:szCs w:val="20"/>
          <w:lang w:val="en-US" w:eastAsia="zh-CN" w:bidi="ar-SA"/>
        </w:rPr>
        <w:t>应用支撑平台</w:t>
      </w:r>
      <w:r>
        <w:rPr>
          <w:rFonts w:hint="eastAsia" w:ascii="仿宋_GB2312" w:hAnsi="仿宋_GB2312" w:eastAsia="仿宋_GB2312" w:cs="仿宋_GB2312"/>
          <w:sz w:val="24"/>
          <w:szCs w:val="20"/>
          <w:lang w:val="en-US" w:eastAsia="zh" w:bidi="ar-SA"/>
        </w:rPr>
        <w:t>回迁等业务需要，</w:t>
      </w:r>
      <w:r>
        <w:rPr>
          <w:rFonts w:hint="default" w:ascii="仿宋_GB2312" w:hAnsi="仿宋_GB2312" w:eastAsia="仿宋_GB2312" w:cs="仿宋_GB2312"/>
          <w:sz w:val="24"/>
          <w:szCs w:val="20"/>
          <w:lang w:val="en-US" w:eastAsia="zh-CN" w:bidi="ar-SA"/>
        </w:rPr>
        <w:t>需采购物理服务器</w:t>
      </w:r>
      <w:r>
        <w:rPr>
          <w:rFonts w:hint="eastAsia" w:ascii="仿宋_GB2312" w:hAnsi="仿宋_GB2312" w:eastAsia="仿宋_GB2312" w:cs="仿宋_GB2312"/>
          <w:sz w:val="24"/>
          <w:szCs w:val="20"/>
          <w:lang w:val="en-US" w:eastAsia="zh" w:bidi="ar-SA"/>
        </w:rPr>
        <w:t>及部分配件，</w:t>
      </w:r>
      <w:r>
        <w:rPr>
          <w:rFonts w:hint="default" w:ascii="仿宋_GB2312" w:hAnsi="仿宋_GB2312" w:eastAsia="仿宋_GB2312" w:cs="仿宋_GB2312"/>
          <w:sz w:val="24"/>
          <w:szCs w:val="20"/>
          <w:lang w:val="en-US" w:eastAsia="zh-CN" w:bidi="ar-SA"/>
        </w:rPr>
        <w:t>开展</w:t>
      </w:r>
      <w:r>
        <w:rPr>
          <w:rFonts w:hint="eastAsia" w:ascii="仿宋_GB2312" w:hAnsi="仿宋_GB2312" w:eastAsia="仿宋_GB2312" w:cs="仿宋_GB2312"/>
          <w:sz w:val="24"/>
          <w:szCs w:val="20"/>
          <w:lang w:val="en-US" w:eastAsia="zh-CN" w:bidi="ar-SA"/>
        </w:rPr>
        <w:t>云平台</w:t>
      </w:r>
      <w:r>
        <w:rPr>
          <w:rFonts w:hint="default" w:ascii="仿宋_GB2312" w:hAnsi="仿宋_GB2312" w:eastAsia="仿宋_GB2312" w:cs="仿宋_GB2312"/>
          <w:sz w:val="24"/>
          <w:szCs w:val="20"/>
          <w:lang w:val="en-US" w:eastAsia="zh-CN" w:bidi="ar-SA"/>
        </w:rPr>
        <w:t>资源扩容工作。</w:t>
      </w:r>
    </w:p>
    <w:p>
      <w:pPr>
        <w:pStyle w:val="2"/>
        <w:keepLines w:val="0"/>
        <w:pageBreakBefore w:val="0"/>
        <w:widowControl/>
        <w:kinsoku/>
        <w:wordWrap/>
        <w:overflowPunct/>
        <w:topLinePunct w:val="0"/>
        <w:autoSpaceDE/>
        <w:autoSpaceDN/>
        <w:bidi w:val="0"/>
        <w:adjustRightInd/>
        <w:snapToGrid/>
        <w:spacing w:line="360" w:lineRule="auto"/>
        <w:textAlignment w:val="auto"/>
        <w:rPr>
          <w:lang w:eastAsia="en-US"/>
        </w:rPr>
      </w:pPr>
      <w:bookmarkStart w:id="19" w:name="_Toc27753"/>
      <w:r>
        <w:rPr>
          <w:rFonts w:hint="eastAsia"/>
          <w:lang w:eastAsia="en-US"/>
        </w:rPr>
        <w:t>1.2 项目目标</w:t>
      </w:r>
      <w:bookmarkEnd w:id="18"/>
      <w:bookmarkEnd w:id="19"/>
    </w:p>
    <w:p>
      <w:pPr>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0"/>
        <w:rPr>
          <w:rFonts w:hint="eastAsia" w:ascii="仿宋_GB2312" w:hAnsi="仿宋_GB2312" w:eastAsia="仿宋_GB2312" w:cs="仿宋_GB2312"/>
          <w:sz w:val="24"/>
          <w:szCs w:val="20"/>
          <w:lang w:val="en-US" w:eastAsia="en-US" w:bidi="ar-SA"/>
        </w:rPr>
      </w:pPr>
      <w:bookmarkStart w:id="20" w:name="_Toc20194"/>
      <w:r>
        <w:rPr>
          <w:rFonts w:hint="default" w:ascii="仿宋_GB2312" w:hAnsi="仿宋_GB2312" w:eastAsia="仿宋_GB2312" w:cs="仿宋_GB2312"/>
          <w:sz w:val="24"/>
          <w:szCs w:val="20"/>
          <w:lang w:val="en-US" w:eastAsia="zh-CN" w:bidi="ar-SA"/>
        </w:rPr>
        <w:t>采购物理服务器</w:t>
      </w:r>
      <w:r>
        <w:rPr>
          <w:rFonts w:hint="eastAsia" w:ascii="仿宋_GB2312" w:hAnsi="仿宋_GB2312" w:eastAsia="仿宋_GB2312" w:cs="仿宋_GB2312"/>
          <w:sz w:val="24"/>
          <w:szCs w:val="20"/>
          <w:lang w:val="en-US" w:eastAsia="zh" w:bidi="ar-SA"/>
        </w:rPr>
        <w:t>，以开展</w:t>
      </w:r>
      <w:r>
        <w:rPr>
          <w:rFonts w:hint="eastAsia" w:ascii="仿宋_GB2312" w:hAnsi="仿宋_GB2312" w:eastAsia="仿宋_GB2312" w:cs="仿宋_GB2312"/>
          <w:sz w:val="24"/>
          <w:szCs w:val="20"/>
          <w:lang w:val="en-US" w:eastAsia="zh-CN" w:bidi="ar-SA"/>
        </w:rPr>
        <w:t>金四云平台</w:t>
      </w:r>
      <w:r>
        <w:rPr>
          <w:rFonts w:hint="eastAsia" w:ascii="仿宋_GB2312" w:hAnsi="仿宋_GB2312" w:eastAsia="仿宋_GB2312" w:cs="仿宋_GB2312"/>
          <w:sz w:val="24"/>
          <w:szCs w:val="20"/>
          <w:lang w:val="en-US" w:eastAsia="zh" w:bidi="ar-SA"/>
        </w:rPr>
        <w:t>资源</w:t>
      </w:r>
      <w:r>
        <w:rPr>
          <w:rFonts w:hint="eastAsia" w:ascii="仿宋_GB2312" w:hAnsi="仿宋_GB2312" w:eastAsia="仿宋_GB2312" w:cs="仿宋_GB2312"/>
          <w:sz w:val="24"/>
          <w:szCs w:val="20"/>
          <w:lang w:val="en-US" w:eastAsia="zh-CN" w:bidi="ar-SA"/>
        </w:rPr>
        <w:t>扩容，满足应用支撑平台</w:t>
      </w:r>
      <w:r>
        <w:rPr>
          <w:rFonts w:hint="eastAsia" w:ascii="仿宋_GB2312" w:hAnsi="仿宋_GB2312" w:eastAsia="仿宋_GB2312" w:cs="仿宋_GB2312"/>
          <w:sz w:val="24"/>
          <w:szCs w:val="20"/>
          <w:lang w:val="en-US" w:eastAsia="zh" w:bidi="ar-SA"/>
        </w:rPr>
        <w:t>等</w:t>
      </w:r>
      <w:r>
        <w:rPr>
          <w:rFonts w:hint="eastAsia" w:ascii="仿宋_GB2312" w:hAnsi="仿宋_GB2312" w:eastAsia="仿宋_GB2312" w:cs="仿宋_GB2312"/>
          <w:sz w:val="24"/>
          <w:szCs w:val="20"/>
          <w:lang w:val="en-US" w:eastAsia="zh-CN" w:bidi="ar-SA"/>
        </w:rPr>
        <w:t>应用系统的</w:t>
      </w:r>
      <w:r>
        <w:rPr>
          <w:rFonts w:hint="eastAsia" w:ascii="仿宋_GB2312" w:hAnsi="仿宋_GB2312" w:eastAsia="仿宋_GB2312" w:cs="仿宋_GB2312"/>
          <w:sz w:val="24"/>
          <w:szCs w:val="20"/>
          <w:lang w:val="en-US" w:eastAsia="zh" w:bidi="ar-SA"/>
        </w:rPr>
        <w:t>部署</w:t>
      </w:r>
      <w:r>
        <w:rPr>
          <w:rFonts w:hint="eastAsia" w:ascii="仿宋_GB2312" w:hAnsi="仿宋_GB2312" w:eastAsia="仿宋_GB2312" w:cs="仿宋_GB2312"/>
          <w:sz w:val="24"/>
          <w:szCs w:val="20"/>
          <w:lang w:val="en-US" w:eastAsia="zh-CN" w:bidi="ar-SA"/>
        </w:rPr>
        <w:t>需</w:t>
      </w:r>
      <w:r>
        <w:rPr>
          <w:rFonts w:hint="eastAsia" w:ascii="仿宋_GB2312" w:hAnsi="仿宋_GB2312" w:eastAsia="仿宋_GB2312" w:cs="仿宋_GB2312"/>
          <w:sz w:val="24"/>
          <w:szCs w:val="20"/>
          <w:lang w:val="en-US" w:eastAsia="zh" w:bidi="ar-SA"/>
        </w:rPr>
        <w:t>要</w:t>
      </w:r>
      <w:r>
        <w:rPr>
          <w:rFonts w:hint="eastAsia" w:ascii="仿宋_GB2312" w:hAnsi="仿宋_GB2312" w:eastAsia="仿宋_GB2312" w:cs="仿宋_GB2312"/>
          <w:sz w:val="24"/>
          <w:szCs w:val="20"/>
          <w:lang w:val="en-US" w:eastAsia="zh-CN" w:bidi="ar-SA"/>
        </w:rPr>
        <w:t>，保障应用系统的正常运行。</w:t>
      </w:r>
      <w:bookmarkEnd w:id="20"/>
    </w:p>
    <w:p>
      <w:pPr>
        <w:pStyle w:val="5"/>
        <w:keepLines w:val="0"/>
        <w:pageBreakBefore w:val="0"/>
        <w:widowControl/>
        <w:kinsoku/>
        <w:wordWrap/>
        <w:overflowPunct/>
        <w:topLinePunct w:val="0"/>
        <w:autoSpaceDE/>
        <w:autoSpaceDN/>
        <w:bidi w:val="0"/>
        <w:adjustRightInd/>
        <w:snapToGrid/>
        <w:spacing w:line="360" w:lineRule="auto"/>
        <w:textAlignment w:val="auto"/>
        <w:outlineLvl w:val="0"/>
        <w:rPr>
          <w:lang w:eastAsia="en-US"/>
        </w:rPr>
      </w:pPr>
      <w:bookmarkStart w:id="21" w:name="_Toc11005"/>
      <w:r>
        <w:rPr>
          <w:rFonts w:hint="eastAsia"/>
          <w:lang w:eastAsia="zh-CN"/>
        </w:rPr>
        <w:t>第二章</w:t>
      </w:r>
      <w:r>
        <w:rPr>
          <w:rFonts w:hint="eastAsia"/>
          <w:lang w:val="en-US" w:eastAsia="zh-CN"/>
        </w:rPr>
        <w:t xml:space="preserve"> </w:t>
      </w:r>
      <w:r>
        <w:rPr>
          <w:rFonts w:hint="eastAsia"/>
          <w:lang w:eastAsia="zh-CN"/>
        </w:rPr>
        <w:t>项目需求</w:t>
      </w:r>
      <w:bookmarkEnd w:id="21"/>
    </w:p>
    <w:p>
      <w:pPr>
        <w:pStyle w:val="2"/>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i w:val="0"/>
          <w:iCs w:val="0"/>
          <w:lang w:eastAsia="zh-CN"/>
        </w:rPr>
      </w:pPr>
      <w:bookmarkStart w:id="22" w:name="_Toc19533"/>
      <w:bookmarkStart w:id="23" w:name="_Toc23436"/>
      <w:r>
        <w:rPr>
          <w:rFonts w:hint="eastAsia" w:ascii="仿宋_GB2312" w:hAnsi="仿宋_GB2312" w:eastAsia="仿宋_GB2312" w:cs="仿宋_GB2312"/>
          <w:i w:val="0"/>
          <w:iCs w:val="0"/>
          <w:lang w:eastAsia="en-US"/>
        </w:rPr>
        <w:t>2.1 总体</w:t>
      </w:r>
      <w:bookmarkEnd w:id="22"/>
      <w:r>
        <w:rPr>
          <w:rFonts w:hint="eastAsia" w:ascii="仿宋_GB2312" w:hAnsi="仿宋_GB2312" w:eastAsia="仿宋_GB2312" w:cs="仿宋_GB2312"/>
          <w:i w:val="0"/>
          <w:iCs w:val="0"/>
          <w:lang w:eastAsia="zh-CN"/>
        </w:rPr>
        <w:t>要求</w:t>
      </w:r>
      <w:bookmarkEnd w:id="23"/>
    </w:p>
    <w:p>
      <w:pPr>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0"/>
        <w:rPr>
          <w:rFonts w:hint="default" w:ascii="仿宋_GB2312" w:hAnsi="仿宋_GB2312" w:eastAsia="仿宋_GB2312" w:cs="仿宋_GB2312"/>
          <w:sz w:val="24"/>
          <w:szCs w:val="20"/>
          <w:lang w:val="en-US" w:eastAsia="en-US" w:bidi="ar-SA"/>
        </w:rPr>
      </w:pPr>
      <w:r>
        <w:rPr>
          <w:rFonts w:hint="default" w:ascii="仿宋_GB2312" w:hAnsi="仿宋_GB2312" w:eastAsia="仿宋_GB2312" w:cs="仿宋_GB2312"/>
          <w:sz w:val="24"/>
          <w:szCs w:val="20"/>
          <w:lang w:val="en-US" w:eastAsia="zh-CN" w:bidi="ar-SA"/>
        </w:rPr>
        <w:t>广东省局</w:t>
      </w:r>
      <w:r>
        <w:rPr>
          <w:rFonts w:hint="eastAsia" w:ascii="仿宋_GB2312" w:hAnsi="仿宋_GB2312" w:eastAsia="仿宋_GB2312" w:cs="仿宋_GB2312"/>
          <w:sz w:val="24"/>
          <w:szCs w:val="20"/>
          <w:lang w:val="en-US" w:eastAsia="zh-CN" w:bidi="ar-SA"/>
        </w:rPr>
        <w:t>金四云平台</w:t>
      </w:r>
      <w:r>
        <w:rPr>
          <w:rFonts w:hint="default" w:ascii="仿宋_GB2312" w:hAnsi="仿宋_GB2312" w:eastAsia="仿宋_GB2312" w:cs="仿宋_GB2312"/>
          <w:sz w:val="24"/>
          <w:szCs w:val="20"/>
          <w:lang w:val="en-US" w:eastAsia="zh-CN" w:bidi="ar-SA"/>
        </w:rPr>
        <w:t>自2022年启动建设，</w:t>
      </w:r>
      <w:r>
        <w:rPr>
          <w:rFonts w:hint="eastAsia" w:ascii="仿宋_GB2312" w:hAnsi="仿宋_GB2312" w:eastAsia="仿宋_GB2312" w:cs="仿宋_GB2312"/>
          <w:sz w:val="24"/>
          <w:szCs w:val="20"/>
          <w:lang w:val="en-US" w:eastAsia="zh" w:bidi="ar-SA"/>
        </w:rPr>
        <w:t>历经两次扩容</w:t>
      </w:r>
      <w:r>
        <w:rPr>
          <w:rFonts w:hint="default" w:ascii="仿宋_GB2312" w:hAnsi="仿宋_GB2312" w:eastAsia="仿宋_GB2312" w:cs="仿宋_GB2312"/>
          <w:sz w:val="24"/>
          <w:szCs w:val="20"/>
          <w:lang w:val="en-US" w:eastAsia="zh-CN" w:bidi="ar-SA"/>
        </w:rPr>
        <w:t>共有</w:t>
      </w:r>
      <w:r>
        <w:rPr>
          <w:rFonts w:hint="eastAsia" w:ascii="仿宋_GB2312" w:hAnsi="仿宋_GB2312" w:eastAsia="仿宋_GB2312" w:cs="仿宋_GB2312"/>
          <w:sz w:val="24"/>
          <w:szCs w:val="20"/>
          <w:lang w:val="en-US" w:eastAsia="zh-CN" w:bidi="ar-SA"/>
        </w:rPr>
        <w:t>近千</w:t>
      </w:r>
      <w:r>
        <w:rPr>
          <w:rFonts w:hint="default" w:ascii="仿宋_GB2312" w:hAnsi="仿宋_GB2312" w:eastAsia="仿宋_GB2312" w:cs="仿宋_GB2312"/>
          <w:sz w:val="24"/>
          <w:szCs w:val="20"/>
          <w:lang w:val="en-US" w:eastAsia="zh-CN" w:bidi="ar-SA"/>
        </w:rPr>
        <w:t>台</w:t>
      </w:r>
      <w:r>
        <w:rPr>
          <w:rFonts w:hint="eastAsia" w:ascii="仿宋_GB2312" w:hAnsi="仿宋_GB2312" w:eastAsia="仿宋_GB2312" w:cs="仿宋_GB2312"/>
          <w:sz w:val="24"/>
          <w:szCs w:val="20"/>
          <w:lang w:val="en-US" w:eastAsia="zh-CN" w:bidi="ar-SA"/>
        </w:rPr>
        <w:t>ARM架构</w:t>
      </w:r>
      <w:r>
        <w:rPr>
          <w:rFonts w:hint="default" w:ascii="仿宋_GB2312" w:hAnsi="仿宋_GB2312" w:eastAsia="仿宋_GB2312" w:cs="仿宋_GB2312"/>
          <w:sz w:val="24"/>
          <w:szCs w:val="20"/>
          <w:lang w:val="en-US" w:eastAsia="zh-CN" w:bidi="ar-SA"/>
        </w:rPr>
        <w:t>服务器</w:t>
      </w:r>
      <w:r>
        <w:rPr>
          <w:rFonts w:hint="eastAsia" w:ascii="仿宋_GB2312" w:hAnsi="仿宋_GB2312" w:eastAsia="仿宋_GB2312" w:cs="仿宋_GB2312"/>
          <w:sz w:val="24"/>
          <w:szCs w:val="20"/>
          <w:lang w:val="en-US" w:eastAsia="zh-CN" w:bidi="ar-SA"/>
        </w:rPr>
        <w:t>，</w:t>
      </w:r>
      <w:r>
        <w:rPr>
          <w:rFonts w:hint="eastAsia" w:ascii="仿宋_GB2312" w:hAnsi="仿宋_GB2312" w:eastAsia="仿宋_GB2312" w:cs="仿宋_GB2312"/>
          <w:sz w:val="24"/>
          <w:szCs w:val="20"/>
          <w:lang w:val="en-US" w:eastAsia="zh" w:bidi="ar-SA"/>
        </w:rPr>
        <w:t>部署金税云TCE3.10</w:t>
      </w:r>
      <w:r>
        <w:rPr>
          <w:rFonts w:hint="eastAsia" w:ascii="仿宋_GB2312" w:hAnsi="仿宋_GB2312" w:eastAsia="仿宋_GB2312" w:cs="仿宋_GB2312"/>
          <w:sz w:val="24"/>
          <w:szCs w:val="20"/>
          <w:lang w:val="en-US" w:eastAsia="zh-CN" w:bidi="ar-SA"/>
        </w:rPr>
        <w:t>.0。为支撑应用支撑平台回迁，需采购159台扩容服务器，及满足25台服务器的扩容配件，以扩容云平台资源。新购设备需满足与现有云平台的兼容性要求，并符合采购方的对资源池规划，充分发挥资源使用质效。</w:t>
      </w:r>
    </w:p>
    <w:p>
      <w:pPr>
        <w:pStyle w:val="2"/>
        <w:bidi w:val="0"/>
        <w:rPr>
          <w:rFonts w:hint="eastAsia" w:ascii="仿宋_GB2312" w:hAnsi="仿宋_GB2312" w:eastAsia="仿宋_GB2312" w:cs="仿宋_GB2312"/>
          <w:i w:val="0"/>
          <w:iCs w:val="0"/>
          <w:lang w:eastAsia="en-US"/>
        </w:rPr>
      </w:pPr>
      <w:bookmarkStart w:id="24" w:name="_Toc22869"/>
      <w:bookmarkStart w:id="25" w:name="_Toc16043"/>
      <w:bookmarkStart w:id="26" w:name="_Toc28374"/>
      <w:bookmarkStart w:id="27" w:name="_Toc21309"/>
      <w:bookmarkStart w:id="28" w:name="_Toc13610"/>
      <w:bookmarkStart w:id="29" w:name="_Toc31661"/>
      <w:bookmarkStart w:id="30" w:name="_Toc21396"/>
      <w:bookmarkStart w:id="31" w:name="_Toc12955"/>
      <w:bookmarkStart w:id="32" w:name="_Toc7161"/>
      <w:bookmarkStart w:id="33" w:name="_Toc30921"/>
      <w:bookmarkStart w:id="34" w:name="_Toc13464"/>
      <w:bookmarkStart w:id="35" w:name="_Toc6067"/>
      <w:bookmarkStart w:id="36" w:name="_Toc19690"/>
      <w:bookmarkStart w:id="37" w:name="_Toc9093"/>
      <w:r>
        <w:rPr>
          <w:rFonts w:hint="eastAsia" w:ascii="仿宋_GB2312" w:hAnsi="仿宋_GB2312" w:eastAsia="仿宋_GB2312" w:cs="仿宋_GB2312"/>
          <w:i w:val="0"/>
          <w:iCs w:val="0"/>
          <w:lang w:val="en-US" w:eastAsia="zh-CN"/>
        </w:rPr>
        <w:t>2</w:t>
      </w:r>
      <w:r>
        <w:rPr>
          <w:rFonts w:hint="eastAsia" w:ascii="仿宋_GB2312" w:hAnsi="仿宋_GB2312" w:eastAsia="仿宋_GB2312" w:cs="仿宋_GB2312"/>
          <w:i w:val="0"/>
          <w:iCs w:val="0"/>
          <w:lang w:eastAsia="en-US"/>
        </w:rPr>
        <w:t>.2采购产品一览表</w:t>
      </w:r>
      <w:bookmarkEnd w:id="24"/>
      <w:bookmarkEnd w:id="25"/>
      <w:bookmarkEnd w:id="26"/>
      <w:bookmarkEnd w:id="27"/>
      <w:bookmarkEnd w:id="28"/>
      <w:bookmarkEnd w:id="29"/>
      <w:bookmarkEnd w:id="30"/>
      <w:bookmarkEnd w:id="31"/>
      <w:bookmarkEnd w:id="32"/>
      <w:bookmarkEnd w:id="33"/>
      <w:bookmarkEnd w:id="34"/>
      <w:bookmarkEnd w:id="35"/>
      <w:bookmarkEnd w:id="36"/>
      <w:bookmarkEnd w:id="37"/>
    </w:p>
    <w:tbl>
      <w:tblPr>
        <w:tblStyle w:val="15"/>
        <w:tblW w:w="5000" w:type="pct"/>
        <w:tblInd w:w="30" w:type="dxa"/>
        <w:tblLayout w:type="autofit"/>
        <w:tblCellMar>
          <w:top w:w="15" w:type="dxa"/>
          <w:left w:w="15" w:type="dxa"/>
          <w:bottom w:w="15" w:type="dxa"/>
          <w:right w:w="15" w:type="dxa"/>
        </w:tblCellMar>
      </w:tblPr>
      <w:tblGrid>
        <w:gridCol w:w="523"/>
        <w:gridCol w:w="1639"/>
        <w:gridCol w:w="1675"/>
        <w:gridCol w:w="591"/>
        <w:gridCol w:w="849"/>
        <w:gridCol w:w="4127"/>
      </w:tblGrid>
      <w:tr>
        <w:tblPrEx>
          <w:tblCellMar>
            <w:top w:w="15" w:type="dxa"/>
            <w:left w:w="15" w:type="dxa"/>
            <w:bottom w:w="15" w:type="dxa"/>
            <w:right w:w="15" w:type="dxa"/>
          </w:tblCellMar>
        </w:tblPrEx>
        <w:tc>
          <w:tcPr>
            <w:tcW w:w="278"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871"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产品类别</w:t>
            </w:r>
          </w:p>
        </w:tc>
        <w:tc>
          <w:tcPr>
            <w:tcW w:w="89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产品名称</w:t>
            </w:r>
          </w:p>
        </w:tc>
        <w:tc>
          <w:tcPr>
            <w:tcW w:w="314"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数量</w:t>
            </w:r>
          </w:p>
        </w:tc>
        <w:tc>
          <w:tcPr>
            <w:tcW w:w="451"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单位</w:t>
            </w:r>
          </w:p>
        </w:tc>
        <w:tc>
          <w:tcPr>
            <w:tcW w:w="2193"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tc>
          <w:tcPr>
            <w:tcW w:w="27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7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通用计算节点</w:t>
            </w:r>
          </w:p>
        </w:tc>
        <w:tc>
          <w:tcPr>
            <w:tcW w:w="89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计算型服务器</w:t>
            </w:r>
          </w:p>
        </w:tc>
        <w:tc>
          <w:tcPr>
            <w:tcW w:w="31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44</w:t>
            </w:r>
          </w:p>
        </w:tc>
        <w:tc>
          <w:tcPr>
            <w:tcW w:w="45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21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firstLine="480" w:firstLineChars="200"/>
              <w:rPr>
                <w:rFonts w:hint="eastAsia" w:ascii="仿宋_GB2312" w:hAnsi="仿宋_GB2312" w:eastAsia="仿宋_GB2312" w:cs="仿宋_GB2312"/>
                <w:sz w:val="24"/>
                <w:szCs w:val="24"/>
                <w:lang w:val="en-US" w:eastAsia="zh-CN"/>
              </w:rPr>
            </w:pPr>
          </w:p>
        </w:tc>
      </w:tr>
      <w:tr>
        <w:tblPrEx>
          <w:tblCellMar>
            <w:top w:w="15" w:type="dxa"/>
            <w:left w:w="15" w:type="dxa"/>
            <w:bottom w:w="15" w:type="dxa"/>
            <w:right w:w="15" w:type="dxa"/>
          </w:tblCellMar>
        </w:tblPrEx>
        <w:tc>
          <w:tcPr>
            <w:tcW w:w="27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87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通用存储节点</w:t>
            </w:r>
          </w:p>
        </w:tc>
        <w:tc>
          <w:tcPr>
            <w:tcW w:w="89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存储型服务器1</w:t>
            </w:r>
          </w:p>
        </w:tc>
        <w:tc>
          <w:tcPr>
            <w:tcW w:w="31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45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21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firstLine="480" w:firstLineChars="200"/>
              <w:rPr>
                <w:rFonts w:hint="eastAsia" w:ascii="仿宋_GB2312" w:hAnsi="仿宋_GB2312" w:eastAsia="仿宋_GB2312" w:cs="仿宋_GB2312"/>
                <w:sz w:val="24"/>
                <w:szCs w:val="24"/>
                <w:lang w:val="en-US" w:eastAsia="zh"/>
              </w:rPr>
            </w:pPr>
          </w:p>
        </w:tc>
      </w:tr>
      <w:tr>
        <w:tblPrEx>
          <w:tblCellMar>
            <w:top w:w="15" w:type="dxa"/>
            <w:left w:w="15" w:type="dxa"/>
            <w:bottom w:w="15" w:type="dxa"/>
            <w:right w:w="15" w:type="dxa"/>
          </w:tblCellMar>
        </w:tblPrEx>
        <w:tc>
          <w:tcPr>
            <w:tcW w:w="27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87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通用存储节点</w:t>
            </w:r>
          </w:p>
        </w:tc>
        <w:tc>
          <w:tcPr>
            <w:tcW w:w="89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存储型服务器2</w:t>
            </w:r>
          </w:p>
        </w:tc>
        <w:tc>
          <w:tcPr>
            <w:tcW w:w="31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112</w:t>
            </w:r>
          </w:p>
        </w:tc>
        <w:tc>
          <w:tcPr>
            <w:tcW w:w="45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21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firstLine="240" w:firstLineChars="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
              </w:rPr>
              <w:t>核心产品</w:t>
            </w:r>
          </w:p>
        </w:tc>
      </w:tr>
      <w:tr>
        <w:tblPrEx>
          <w:tblCellMar>
            <w:top w:w="15" w:type="dxa"/>
            <w:left w:w="15" w:type="dxa"/>
            <w:bottom w:w="15" w:type="dxa"/>
            <w:right w:w="15" w:type="dxa"/>
          </w:tblCellMar>
        </w:tblPrEx>
        <w:tc>
          <w:tcPr>
            <w:tcW w:w="27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87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服务器改配</w:t>
            </w:r>
          </w:p>
        </w:tc>
        <w:tc>
          <w:tcPr>
            <w:tcW w:w="89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服务器改配</w:t>
            </w:r>
          </w:p>
        </w:tc>
        <w:tc>
          <w:tcPr>
            <w:tcW w:w="31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45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21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spacing w:before="0" w:after="0" w:line="360" w:lineRule="auto"/>
              <w:ind w:left="0" w:leftChars="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对25</w:t>
            </w:r>
            <w:r>
              <w:rPr>
                <w:rFonts w:hint="eastAsia" w:ascii="仿宋_GB2312" w:hAnsi="仿宋_GB2312" w:eastAsia="仿宋_GB2312" w:cs="仿宋_GB2312"/>
                <w:sz w:val="24"/>
                <w:szCs w:val="24"/>
                <w:lang w:val="en-US" w:eastAsia="zh"/>
              </w:rPr>
              <w:t>台</w:t>
            </w:r>
            <w:r>
              <w:rPr>
                <w:rFonts w:hint="eastAsia" w:ascii="仿宋_GB2312" w:hAnsi="仿宋_GB2312" w:eastAsia="仿宋_GB2312" w:cs="仿宋_GB2312"/>
                <w:sz w:val="24"/>
                <w:szCs w:val="24"/>
                <w:lang w:val="en-US" w:eastAsia="zh-CN"/>
              </w:rPr>
              <w:t>服务器进行内存和存储的扩容，每台增加512G内存和30T固态硬盘存储</w:t>
            </w:r>
          </w:p>
        </w:tc>
      </w:tr>
    </w:tbl>
    <w:p/>
    <w:p>
      <w:pPr>
        <w:pStyle w:val="2"/>
        <w:bidi w:val="0"/>
      </w:pPr>
      <w:bookmarkStart w:id="38" w:name="_Toc16798"/>
      <w:r>
        <w:rPr>
          <w:rFonts w:hint="eastAsia" w:eastAsia="宋体"/>
          <w:lang w:val="en-US" w:eastAsia="zh-CN"/>
        </w:rPr>
        <w:t>2.3</w:t>
      </w:r>
      <w:r>
        <w:t>采购产品详细清单及技术指标</w:t>
      </w:r>
      <w:bookmarkEnd w:id="0"/>
      <w:bookmarkEnd w:id="1"/>
      <w:bookmarkEnd w:id="2"/>
      <w:bookmarkEnd w:id="3"/>
      <w:bookmarkEnd w:id="4"/>
      <w:bookmarkEnd w:id="5"/>
      <w:bookmarkEnd w:id="6"/>
      <w:bookmarkEnd w:id="7"/>
      <w:bookmarkEnd w:id="8"/>
      <w:bookmarkEnd w:id="9"/>
      <w:bookmarkEnd w:id="10"/>
      <w:bookmarkEnd w:id="11"/>
      <w:bookmarkEnd w:id="12"/>
      <w:bookmarkEnd w:id="38"/>
      <w:bookmarkStart w:id="39" w:name="_Toc31412"/>
      <w:bookmarkStart w:id="40" w:name="_Toc17549"/>
      <w:bookmarkStart w:id="41" w:name="_Toc32607"/>
      <w:bookmarkStart w:id="42" w:name="_Toc20033"/>
    </w:p>
    <w:p>
      <w:pPr>
        <w:pStyle w:val="6"/>
        <w:bidi w:val="0"/>
        <w:rPr>
          <w:rFonts w:hint="eastAsia" w:ascii="仿宋_GB2312" w:hAnsi="仿宋_GB2312" w:eastAsia="仿宋_GB2312" w:cs="仿宋_GB2312"/>
          <w:i w:val="0"/>
          <w:iCs w:val="0"/>
          <w:lang w:eastAsia="zh-CN"/>
        </w:rPr>
      </w:pPr>
      <w:bookmarkStart w:id="43" w:name="_Toc641"/>
      <w:r>
        <w:rPr>
          <w:rFonts w:hint="eastAsia" w:ascii="仿宋_GB2312" w:hAnsi="仿宋_GB2312" w:eastAsia="仿宋_GB2312" w:cs="仿宋_GB2312"/>
          <w:i w:val="0"/>
          <w:iCs w:val="0"/>
          <w:lang w:val="en-US" w:eastAsia="zh-CN"/>
        </w:rPr>
        <w:t>2</w:t>
      </w:r>
      <w:r>
        <w:rPr>
          <w:rFonts w:hint="eastAsia" w:ascii="仿宋_GB2312" w:hAnsi="仿宋_GB2312" w:eastAsia="仿宋_GB2312" w:cs="仿宋_GB2312"/>
          <w:i w:val="0"/>
          <w:iCs w:val="0"/>
          <w:lang w:eastAsia="zh"/>
        </w:rPr>
        <w:t>.3.1</w:t>
      </w:r>
      <w:r>
        <w:rPr>
          <w:rFonts w:hint="eastAsia" w:ascii="仿宋_GB2312" w:hAnsi="仿宋_GB2312" w:eastAsia="仿宋_GB2312" w:cs="仿宋_GB2312"/>
          <w:i w:val="0"/>
          <w:iCs w:val="0"/>
          <w:lang w:eastAsia="zh-CN"/>
        </w:rPr>
        <w:t>通用计算服务器技术参数</w:t>
      </w:r>
      <w:bookmarkEnd w:id="43"/>
    </w:p>
    <w:tbl>
      <w:tblPr>
        <w:tblStyle w:val="15"/>
        <w:tblW w:w="10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5"/>
        <w:gridCol w:w="735"/>
        <w:gridCol w:w="765"/>
        <w:gridCol w:w="930"/>
        <w:gridCol w:w="7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指标分类</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一级指标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二级指标</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CPU规格</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CPU信息</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1、ARM架构，2颗CPU；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2、供应商给出 CPU 信息，包含 CPU 型号、物理核心数、主频、末级缓存容量、线程数、热设计功耗及支持内存的最高速率、通道数和位宽。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主板支持的CPU和内存情况</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供应商给出主板支持的 CPU 和内存的型号数量。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主板内存槽数量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非板载内存的可扩展插槽数量应不少于32个。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主板存储接口</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至少支持 SATA、SAS、M.2、U.2 等存储接口中的 1种。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PCIe 插槽接口</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符合PCIe3.0或以上的高速串行计算机扩展总线标准，PCIe的接口速率与位宽需保证向下兼容。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主板PCIe 插槽数量及规格</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高度大于44.45mm双路或以上服务器 PCIe 插槽或接口应不少于 5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板载网络接口</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若支持板载网络接口应不少于 1个1GE网口；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内存规格</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≥DDR4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内存通道</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单CPU内存通道数≥4，每个通道可支持 1DPC或2DPC，当支持2DPC时，印制电路板上应具备插槽的序号标识，具体通道数应在随机文件中明确。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硬盘类型</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供应商给出服务器支持硬磁盘和固态盘类型及规格。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硬磁盘实配容量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实配固态盘单盘可用容量不小于480GB。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硬盘接口类型</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配备固态盘，应提供至少1种类型固态盘接口，如 UFS、SATA、PCIe等。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硬盘实配数量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配置≥1 块企业级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硬盘插槽数量及规格</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a)供应商应给出配置的硬盘尺寸，如 2.5 英寸、3.5 英寸硬磁盘；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b)机箱高度为88.9mm的服务器可支持的硬盘数量应不少于12块，机箱高度为44.45mm 的服务器可支持的硬盘数量应不少于6块。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硬盘其他参数要求</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支持固态盘，固态盘符合SJ/T 11654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网口速率和数量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配置≥4个千兆RJ45网口、≥1块独立双口光纤网卡，速率≥25Gb，并满配兼容多模模块（SFP+）。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独立网卡网口数量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≥1块独立双口光纤网卡，速率≥25Gb（含光模块)。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独立网卡接口类型</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板载网卡接口类型</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显示接口类型应不少于 1 种，如： VGA、DP、HDMI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USB 接口</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配备不少于2个USB3.0接口。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电源冗余模式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整机电源模块按 1+1 冗余或N+1 冗余配置。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电源模块数量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≥2个交流电源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电源功率</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提供220VAC/240HVDC交直流兼容电源，根据机房环境提供电源线；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电源指示灯</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配备电源指示灯，指示待机、工作异常等状态。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外观和结构</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1）服务器的零部件应紧固无松动，可插拔部件应可靠连接，开关、按钮和其它控制部件应灵活可靠，布局应方便使用；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2）产品表面不应有明显的凹痕、划伤、裂缝、变形和污染等。表面涂层均匀，不应起泡、龟裂、脱落和磨损，金属零部件无锈蚀及其它机械损伤；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3)产品表面说明功能的文字、符号和标志应清晰、端正且牢固；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4）应在服务器的显著位置提供运行状态的指示功能，并在随机文件中明确具体含义；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5）机架、机箱的尺寸应符合通用机柜的安装要求，插入总线插座的电路板接口外形尺寸应符合有关总线标准的规定，将机箱固定在机柜上，机箱底面最大下垂变形不得干涉相邻机体；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6）2U机架式服务器；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7）服务器尺寸具体要求在随机文件中明确。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尺寸（高×宽×深）</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供应商给出产品尺寸；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设计应遵循标准化、系列化的要求；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机箱的内部结构符合通用部件的安装需要。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服务器导轨</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供应商给出导轨尺寸、安装方式等信息。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 个数与机柜高度单位(U) 比</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供应商给出CPU 个数与机柜高度。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环境适应性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气候环境适应性应符合GB/T 9813.3 的有关规定，工作温度 10～35℃，贮存运输温度-40～55℃；工作相对湿度35％～80％，贮存运输相对湿度 20％～93％（40℃）；大气压86～106kPa。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机械环境适应性应符合GB/T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的有关规定，在产品说明中给出具体测试值。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机柜规格</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机柜尺寸</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供应商给出长度、高度和深度。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主板外部接口种类</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支持USB、显示、管理等接口，如：VGA、DP、HDMI、USB3.0、PS/2 接口、BMC 管理端口等。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主板防烧板设计</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支持主板防烧板设计，需保证电源故障后不扩散；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支持网络连接、网络访问、数据交换和网络管控功能。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计算处理</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支持通用计算及虚拟化功能。处理器需集成整型计算单元、浮点计算单元、内存控制器、I/O 模块等，处理器与存储部件、网络部件、I/O 部件等组成计算系统，提供数据处理、网络接入等计算相关功能。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密码算法实现</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b)通过商用密码检测机构检测并经商用密码认证机构认证合格。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RAID卡功能（若支持RAID卡）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RAID卡RAID 级别支持</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支持raid0/1/5/10等，提供1G及以上缓存。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电源热插拔</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整机电源模块应具备热插拔功能。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电源过流保护</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支持过流及短路保护的功能。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散热方式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支持风冷或液冷等散热方式。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其他功能</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支持关键部件冗余（包括电源、风扇等）；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BMC 固件基础功能</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1）支持DHCP设置网络功能；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2）支持静态IP设置网络功能；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3）支持设备日志记录，包括但不限于登录日志、操作日志和报警日志等功能；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4）支持日志信息导出和记录删除功能；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5）支持通过管理接口向外输出准确的报警信息功能；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6）设备的BMC 管理软件应能够按报警的严重程度进行区分；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7）支持IPMI2.0、SNMP或Redfish等接口功能；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8）支持键盘、鼠标和视频的重定向、文本控制台的重定向、远程虚拟媒体、高可靠的硬件监控和管理功能；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9）支持基于网络开启、关闭和重启设备的功能，并查询当前设备开机运行状态；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10）支持故障提示功能，并可通过接口读取服务器故障信息；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11）支持基于网络的固件更新功能，包括BMC 和BIOS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12）支持基于网络安装操作系统的功能，并可通过网络控制台访问设备；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13）支持通过本地的硬盘或光驱等存储设备，基于网络完成设备的操作系统安装功能；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14）支持通过浏览器打开管理界面并登录功能；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15）支持设置口令策略功能；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16）支持访问权限设置功能，并通过日志记录访问事件；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17）支持对出厂默认的用户名及口令进行安全保护功能，并提供默认口令修改提示；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18）支持读取设备主板的工作环境温度功能；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19）支持读取服务器CPU 等核心器件的温度功能；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20）支持通过外部管理工具进行BMC参数设置的功能，并可基于网络通过外部管理工具对BMC进行管理；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21）应支持固件版本查询、固件升级；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22）支持基于网络实现开关机和复位控制的功能；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23）BMC 启动时间应不超过 180s，实现功能包括网络、IPMI、散热、传感器服务可用；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24）支持BMC 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BIOS 固件基础功能</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1）支持查看固件版本、内存信息、主板信息、处理器信息和系统时间信息功能；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2）支持上电初始化界面显示CPU信息、内存信息、固件版本和部分快捷键信息功能；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3）支持设置界面中英文显示切换功能；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4）支持查看PCIe设备信息，SATA设备信息功能；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5）支持操作系统安装和引导功能，应并向操作系统提供计算机主板信息和服务接口；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6）支持设置启动顺序，并按照设置的启动顺序启动功能；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7）支持安全启动功能；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9）支持板载显示控制或独立显卡的显示控制功能；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10）支持 RAID 识别和启动功能；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k）支持串口重定向功能；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11）支持固件更新功能；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12）支持 BIOS 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13）支持网络引导启用和关闭功能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远程控制</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支持远程关机和重新启动功能。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操作系统及驱动的升级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支持通过网络、闪存盘对操作系统、驱动进行升级。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操作系统及驱动的备份还原</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操作系统功能</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1）支持访问控制、安全审计、网络接入鉴别等功能；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操作系统其他功能应满足操作系统政府采购需求标准中加*的指标要求。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 18030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关键部件安全要求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★关键部件安全要求</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固件安全要求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故障检测</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支持故障检测功能，可以检测到具体的FRU（内存、硬盘等）的故障并发出告警。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弱口令字典检查</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支持弱口令字典检查功能，出现在弱口令字典中的字符串不能被设置为用户口令。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白名单访问控制</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支持基于时间、IP 或MAC 白名单访问控制。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二次鉴别</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支持二次鉴别功能。对于用户配置、权限配置、公钥导入等重要的管理操作，已登录用户应通过二次鉴别后，才能执行操作。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密码证书安全加密存储</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支持对带外管理系统中的用户口令和证书等敏感信息进行加密存储，禁止使用私有的和业界已知不安全的密码算法。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敏感信息安全加密传输</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支持使用安全的传输加密协议（如SSH 或 HTTPS等 ）传输用户的敏感信息。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信息安全要求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研发过程安全</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安全要求应符合GB 4943.1 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限用物质的限量应符合GB/T 26572 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CPU主频</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单CPU 核数</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 末级缓存容量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单内存模块容量</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单内存模块容量≥32GB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内存速率</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≥2666MT/s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独立网卡速率</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板载网卡速率</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 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种及以上厂商的内存产品，且均不低于产品支持的内存规格。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固态存储兼容性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种或以上厂商的固态存储产品，且均不低于产品支持的固态存储设备规格。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功能卡兼容性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内置或适配符合PCIe的功能卡，如：网络功能卡、存储功能卡及图形显示功能卡。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兼容多种主流生产商的外部设备，包括显示器、键盘、鼠标、闪存盘、移动硬盘、USB光驱及KVM等，要求使用不同厂商的外部设备时，系统均能正常识别和安装驱动。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数据库兼容</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中间件兼容</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平台软件兼容</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虚拟化软件兼容</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2 款及以上虚拟化软件。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存储可靠性要求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▲SATA SSD可靠性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SSD 的 m1 值（MTBF 的不可接受值） 不低于 200000h。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m1 值（MTBF 的不可接受值）不得低于 30000h。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▲风扇可靠性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风扇寿命应不低于 40000h。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部件可靠性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支持硬盘、电源、风扇热插拔(内置风扇除外)。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包装及运输要求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标志、包装、运输和贮存</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1）提供电话、电子邮件、远程连接等多种形式服务；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2）宕机故障1小时内响应、4小时上门到达现场提供服务、6小时内排除故障，非宕机故障2小时内响应、12小时上门到达现场提供服务48小时内排除故障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培训服务</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供应商提供培训材料、产品手册、培训视频等培训相关内容（费用包含在合同总价内，采购人不再另行支付）。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1）产品整机免费服务周期3年（含换件和维修）；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2）设备停产后继续提供质量保障服务（含备品备件），服务终止时间与最后一批设备交付时间间隔不低于 6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3）产品停止服务时间应提前 1 年告知客户；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4）产品发布日期需在随机文件中明确。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工具要求</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供应商提供设置服务器硬件、辅助操作系统安装等功能的辅助工具和管理软件。且随附软件应具有合法授权或版权。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辅助工具</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支持如下功能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1）本地的数据备份和还原功能；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2）网络的数据备份和还原功能；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3）服务器操作系统的自动安装功能；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4）服务器所配硬件需要的驱动程序和系统补丁。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驱动安装升级指引</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供应商提供出厂安装的配件所需的驱动程序，形式包括但不限于驱动光盘、驱动下载链接等。其他配件应提供指引。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随机附开盖工具</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随服务器打包提供开机箱工具。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管理软件</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具备资源管理、系统管理、性能监控、健康监控、基于网络控制、报警设置功能。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厂家升级产品软件与扩容服务</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供应商提供原厂级的部件/软件产品升级和扩容能力3年。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服务保障升级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供应商提供远程技术支持、软件授权服务、备件更换服务、现场支持服务3年（费用包含在合同总价内，采购人不再另行支付）。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提供上门服务</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提供3年上门保修（费用包含在合同总价内，采购人不再另行支付）。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业务场景性能优化服务及整体架构升级服务</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供应商提供针对特定业务场景性能优化服务及整体架构升级服务。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抗干扰性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当产品部件出现供应风险时，应通知客户并提供风险应对方案确保产品的服务保障，必要时应停止相关受影响产品的销售。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供应能力证明</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云兼容性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云兼容性</w:t>
            </w:r>
          </w:p>
        </w:tc>
        <w:tc>
          <w:tcPr>
            <w:tcW w:w="7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所投服务器实现兼容适配目前金税云所使用的云版本（TCE 3.10.0）。</w:t>
            </w:r>
          </w:p>
        </w:tc>
      </w:tr>
    </w:tbl>
    <w:p>
      <w:pPr>
        <w:pStyle w:val="14"/>
        <w:rPr>
          <w:rFonts w:hint="eastAsia"/>
          <w:lang w:eastAsia="zh-CN"/>
        </w:rPr>
      </w:pPr>
    </w:p>
    <w:p>
      <w:pPr>
        <w:pStyle w:val="6"/>
        <w:bidi w:val="0"/>
        <w:rPr>
          <w:rFonts w:hint="eastAsia" w:ascii="仿宋_GB2312" w:hAnsi="仿宋_GB2312" w:eastAsia="仿宋_GB2312" w:cs="仿宋_GB2312"/>
          <w:lang w:val="en-US" w:eastAsia="zh-CN"/>
        </w:rPr>
      </w:pPr>
      <w:bookmarkStart w:id="44" w:name="_Toc15957"/>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
        </w:rPr>
        <w:t>.3.2</w:t>
      </w:r>
      <w:r>
        <w:rPr>
          <w:rFonts w:hint="eastAsia" w:ascii="仿宋_GB2312" w:hAnsi="仿宋_GB2312" w:eastAsia="仿宋_GB2312" w:cs="仿宋_GB2312"/>
          <w:lang w:eastAsia="zh-CN"/>
        </w:rPr>
        <w:t>通用存储服务器</w:t>
      </w:r>
      <w:r>
        <w:rPr>
          <w:rFonts w:hint="eastAsia" w:ascii="仿宋_GB2312" w:hAnsi="仿宋_GB2312" w:eastAsia="仿宋_GB2312" w:cs="仿宋_GB2312"/>
          <w:lang w:val="en-US" w:eastAsia="zh-CN"/>
        </w:rPr>
        <w:t>1技术参数</w:t>
      </w:r>
      <w:bookmarkEnd w:id="44"/>
    </w:p>
    <w:tbl>
      <w:tblPr>
        <w:tblStyle w:val="15"/>
        <w:tblW w:w="102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
        <w:gridCol w:w="795"/>
        <w:gridCol w:w="780"/>
        <w:gridCol w:w="1350"/>
        <w:gridCol w:w="6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指标分类</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一级指标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二级指标</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CPU信息</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 w:bidi="ar"/>
              </w:rPr>
              <w:t>1、</w:t>
            </w:r>
            <w:r>
              <w:rPr>
                <w:rFonts w:hint="eastAsia" w:ascii="宋体" w:hAnsi="宋体" w:eastAsia="宋体" w:cs="宋体"/>
                <w:i w:val="0"/>
                <w:iCs w:val="0"/>
                <w:color w:val="000000"/>
                <w:kern w:val="0"/>
                <w:sz w:val="16"/>
                <w:szCs w:val="16"/>
                <w:u w:val="none"/>
                <w:lang w:val="en-US" w:eastAsia="zh-CN" w:bidi="ar"/>
              </w:rPr>
              <w:t>ARM架构，2颗CPU；</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16"/>
                <w:szCs w:val="16"/>
                <w:u w:val="none"/>
                <w:lang w:val="en-US" w:eastAsia="en-US" w:bidi="ar-SA"/>
              </w:rPr>
            </w:pPr>
            <w:r>
              <w:rPr>
                <w:rFonts w:hint="eastAsia" w:ascii="宋体" w:hAnsi="宋体" w:eastAsia="宋体" w:cs="宋体"/>
                <w:i w:val="0"/>
                <w:iCs w:val="0"/>
                <w:color w:val="000000"/>
                <w:kern w:val="0"/>
                <w:sz w:val="16"/>
                <w:szCs w:val="16"/>
                <w:u w:val="none"/>
                <w:lang w:val="en-US" w:eastAsia="zh" w:bidi="ar"/>
              </w:rPr>
              <w:t>2、</w:t>
            </w:r>
            <w:r>
              <w:rPr>
                <w:rFonts w:hint="eastAsia" w:ascii="宋体" w:hAnsi="宋体" w:eastAsia="宋体" w:cs="宋体"/>
                <w:i w:val="0"/>
                <w:iCs w:val="0"/>
                <w:color w:val="000000"/>
                <w:kern w:val="0"/>
                <w:sz w:val="16"/>
                <w:szCs w:val="16"/>
                <w:u w:val="none"/>
                <w:lang w:val="en-US" w:eastAsia="zh-CN" w:bidi="ar"/>
              </w:rPr>
              <w:t>供应商给出 CPU 信息，包含 CPU 型号、物理核心数、主频、末级缓存容量、线程数、热设计功耗及支持内存的最高速率、通道数和位宽。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主板支持的CPU和内存情况</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供应商给出主板支持的 CPU 和内存的型号数量。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主板内存槽数量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非板载内存的可扩展插槽数量应不少于32个。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主板存储接口</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至少支持 SATA、SAS、M.2、U.2 等存储接口中的 1 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PCIe 插槽接口</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 PCIe3.0 或以上的高速串行计算机扩展总线标准，PCIe 的接口速率与位宽需保证向下兼容。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主板PCIe 插槽数量及规格</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高度大于 44.45mm 双路或以上服务器 PCIe 插槽或接口应不少于 5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板载网络接口</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若支持板载网络接口应不少于 1 个1GE 网口；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内存数量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内存规格</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≥DDR4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内存通道</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单CPU内存通道数≥4，每个通道可支持 1DPC 或 2DPC，当支持 2DPC 时，印制电路板上应具备插槽的序号标识，具体通道数应在随机文件中明确。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硬盘类型</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供应商给出服务器支持硬磁盘和固态盘类型及规格。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硬磁盘实配容量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共需要3种规格硬盘：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1、实配企业级 SSD 盘单盘可用容量不小于480GB；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2、实配企业级 NVME SSD单盘可用容量不小于6.4TB；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3、实配SATA HDD 盘单盘可用容量不小于12TB。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硬盘接口类型</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 若配备硬磁盘，应提供SAS 3.0 或SATA 3.0 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若配备固态盘，应提供至少 1 种类型固态盘接口，如 UFS、SATA、PCIe等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硬盘实配数量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3种规格硬盘数量要求：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配置≥1块企业级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配置≥2 块企业级 NVME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配置≥10 块 SATA HDD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硬盘插槽数量及规格</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 供应商应给出配置的硬盘尺寸，如 2.5 英寸、3.5 英寸硬磁盘；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机箱高度为 88.9mm 的服务器可支持的硬盘数量应不少于 12块，机箱高度为 44.45mm 的服务器可支持的硬盘数量应不少于 8块。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硬盘其他参数要求</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a)机械硬盘准备时间应不大于30s；侧面固定螺丝孔数量可为4孔或6 孔；工作状态环境温度应满足5℃~55℃,其它参数应符合GB/T 12628的相关规定；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b)若服务器支持固态盘，固态盘符合SJ/T 11654相关规定。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网口速率和数量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配置≥4个千兆RJ45网口、≥1块独立双口光纤网卡，速率≥25Gb，并满配兼容多模模块（SFP+）。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独立网卡网口数量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≥1块独立双口光纤网卡，速率≥25Gb（含光模块)。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独立网卡接口类型</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板载网卡接口类型</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显示接口类型应不少于 1 种，如： VGA、DP、HDMI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★USB 接口</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配备不少于2个USB3.0接口。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电源冗余模式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整机电源模块按 1+1 冗余或N+1 冗余配置。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电源模块数量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≥2个交流电源。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电源功率</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提供220VAC/240HVDC交直流兼容电源，根据机房环境提供电源线；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电源指示灯</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配备电源指示灯，指示待机、工作异常等状态。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外观和结构</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a)服务器的零部件应紧固无松动，可插拔部件应可靠连接，开关、按钮和其它控制部件应灵活可靠，布局应方便使用；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产品表面不应有明显的凹痕、划伤、裂缝、变形和污染等。表面涂层均匀，不应起泡、龟裂、脱落和磨损，金属零部件无锈蚀及其它机械损伤；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 产品表面说明功能的文字、符号和标志应清晰、端正且牢固；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 应在服务器的显著位置提供运行状态的指示功能，并在随机文件中明确具体含义；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 2U机架式服务器;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 服务器尺寸具体要求在随机文件中明确。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尺寸（高×宽×深）</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供应商给出产品尺寸；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设计应遵循标准化、系列化的要求；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机箱的内部结构符合通用部件的安装需要。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服务器导轨</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供应商给出导轨尺寸、安装方式等信息。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 个数与机柜高度单位(U) 比</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供应商给出CPU 个数与机柜高度。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环境适应性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气候环境适应性应符合GB/T 9813.3 的有关规定，工作温度 10～35℃，贮存运输温度-40～55℃；工作相对湿度35%～80%，贮存运输相对湿度20％～93%（40℃）；大气压86～106kPa。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机械环境适应性应符合GB/T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的有关规定，在产品说明中给出具体测试值。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机柜尺寸</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供应商给出长度、高度和深度。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主板外部接口种类</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支持USB、显示、管理等接口，如：VGA、DP、HDMI、USB3.0、PS/2 接口、BMC 管理端口等。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主板防烧板设计</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支持主板防烧板设计，需保证电源故障后不扩散；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支持网络连接、网络访问、数据交换和网络管控功能。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计算处理</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支持通用计算及虚拟化功能。处理器需集成整型计算单元、浮点计算单元、内存控制器、I/O 模块等，处理器与存储部件、网络部件、I/O 部件等组成计算系统，提供数据处理、网络接入等计算相关功能。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密码算法实现</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b)通过商用密码检测机构检测并经商用密码认证机构认证合格。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RAID卡功能（若支持RAID卡）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RAID 卡RAID 级别支持</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 RAID 0/1/5/6/10/50/60，提供1G及以上缓存。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电源热插拔</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整机电源模块应具备热插拔功能。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电源过流保护</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支持过流及短路保护的功能。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散热方式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支持风冷或液冷等散热方式。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其他功能</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支持关键部件冗余（包括电源、风扇等）；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BMC 固件基础功能</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1)支持 DHCP 设置网络功能；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2)支持静态 IP 设置网络功能；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3)支持设备日志记录，包括但不限于登录日志、操作日志和报警日志等功能；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4)支持日志信息导出和记录删除功能；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5)支持通过管理接口向外输出准确的报警信息功能；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6)设备的 BMC 管理软件应能够按报警的严重程度进行区分；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 IPMI2.0、SNMP 或 Redfish 等接口功能；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8)支持键盘、鼠标和视频的重定向、文本控制台的重定向、远程虚拟媒体、高可靠的硬件监控和管理功能；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9)支持基于网络开启、关闭和重启设备的功能，并查询当前设备开机运行状态；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10)支持故障提示功能，并可通过接口读取服务器故障信息；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11)支持基于网络的固件更新功能，包括 BMC 和 BIOS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12)支持基于网络安装操作系统的功能，并可通过网络控制台访问设备；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13)支持通过本地的硬盘或光驱等存储设备，基于网络完成设备的操 作系统安装功能；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14)支持通过浏览器打开管理界面并登录功能；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15)支持设置口令策略功能；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16)支持访问权限设置功能，并通过日志记录访问事件；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17)支持对出厂默认的用户名及口令进行安全保护功能，并提供默认口令修改提示；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18)支持读取设备主板的工作环境温度功能；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19)支持读取服务器 CPU 等核心器件的温度功能；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20)支持通过外部管理工具进行 BMC参数设置的功能，并可基于网络通过外部管理工具对 BMC进行管理；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21)应支持固件版本查询、固件升级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22)支持基于网络实现开关机和复位控制的功能；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23)BMC 启动时间应不超过 180s，实现功能包括网络、IPMI、散热、传感器服务可用；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24)支持BMC固件设置的恢复出厂功能。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BIOS 固件基础功能</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a）支持查看固件版本、内存信息、主板信息、处理器信息和系统时间信息功能；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b）支持上电初始化界面显示 CPU 信息、内存信息、固件版本和部分快捷键信息功能；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c）支持设置界面中英文显示切换功能；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d）支持查看 PCIe 设备信息，SATA 设备信息功能；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e）支持操作系统安装和引导功能，应并向操作系统提供计算机主板信息和服务接口；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f）支持设置启动顺序，并按照设置的启动顺序启动功能；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g）支持安全启动功能；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i）支持板载显示控制或独立显卡的显示控制功能；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j）支持 RAID 识别和启动功能；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k）支持串口重定向功能；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l）支持固件更新功能；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m）支持 BIOS 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n）支持网络引导启用和关闭功能。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远程控制</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支持远程关机和重新启动功能。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操作系统及驱动的升级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支持通过网络、闪存盘对操作系统、驱动进行升级。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操作系统及驱动的备份还原</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操作系统功能</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1）支持访问控制、安全审计、网络接入鉴别等功能；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操作系统其他功能应满足操作系统政府采购需求标准中加*的指标要求。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中文信息处理功能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 18030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关键部件安全要求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关键部件安全要求</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固件安全要求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故障检测</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支持故障检测功能，可以检测到具体的FRU（内存、硬盘等）的故障并发出告警。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弱口令字典检查</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支持弱口令字典检查功能，出现在弱口令字典中的字符串不能被设置为用户口令。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白名单访问控制</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支持基于时间、IP 或MAC 白名单访问控制。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二次鉴别</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支持二次鉴别功能。对于用户配置、权限配置、公钥导入等重要的管理操作，已登录用户应通过二次鉴别后，才能执行操作。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密码证书安全加密存储</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支持对带外管理系统中的用户口令和证书等敏感信息进行加密存储，禁止使用私有的和业界已知不安全的密码算法。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敏感信息安全加密传输</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支持使用安全的传输加密协议（如SSH 或 HTTPS等 ）传输用户的敏感信息。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信息安全要求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研发过程安全</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安全要求应符合GB 4943.1 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限用物质的限量应符合GB/T 26572 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CPU主频</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单CPU 核数</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 末级缓存容量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单内存模块容量</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单内存模块容量≥32GB，总内存≥512GB。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内存速率</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≥2666MT/s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独立网卡速率</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板载网卡速率</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 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种及以上厂商的内存产品，且均不低于产品支持的内存规格。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固态存储兼容性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种或以上厂商的固态存储产品，且均不低于产品支持的固态存储设备规格。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功能卡兼容性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内置或适配符合PCIe的功能卡，如：网络功能卡、存储功能卡及图形显示功能卡。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兼容多种主流生产商的外部设备，包括显示器、键盘、鼠标、闪存盘、移动硬盘、USB光驱及KVM等，要求使用不同厂商的外部设备时，系统均能正常识别和安装驱动。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数据库兼容</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中间件兼容</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平台软件兼容</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虚拟化软件兼容</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2 款及以上虚拟化软件。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存储可靠性要求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▲SATA SSD可靠性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SSD 的 m1 值（MTBF 的不可接受值）不低于 200000h。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m1 值（MTBF 的不可接受值）不得低于 30000h。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▲风扇可靠性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风扇寿命应不低于 40000h。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部件可靠性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支持硬盘、电源、风扇热插拔(内置风扇除外)。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包装及运输要求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包装及运输要求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标志、包装、运输和贮存</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 提供电话、电子邮件、远程连接等多种形式服务；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宕机故障1小时内响应、4小时上门到达现场提供服务、6小时内排除故障，非宕机故障2小时内响应、12小时上门到达现场提供服务48小时内排除故障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 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培训服务</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供应商提供培训材料、产品手册、培训视频等培训相关内容（费用包含在合同总价内，采购人不再另行支付）。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a）产品整机免费服务周期3年（含换件和维修）；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b）设备停产后继续提供质量保障服务（含备品备件），服务终止时间与最后一批设备交付时间间隔不低于 6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 产品停止服务时间应提前 1 年告知客户；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 产品发布日期需在随机文件中明确。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工具要求</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供应商提供设置服务器硬件、辅助操作系统安装等功能的辅助工具和管理软件。且随附软件应具有合法授权或版权。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辅助工具</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支持如下功能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a）本地的数据备份和还原功能；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b)网络的数据备份和还原功能；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c)服务器操作系统的自动安装功能；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d)服务器所配硬件需要的驱动程序和系统补丁。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驱动安装升级指引</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供应商提供出厂安装的配件所需的驱动程序，形式包括但不限于驱动光盘、驱动下载链接等。其他配件应提供指引。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随机附开盖工具</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随服务器打包提供开机箱工具。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管理软件</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具备资源管理、系统管理、性能监控、健康监控、基于网络控制、报警设置功能。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厂家升级产品软件与扩容服务</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供应商提供原厂级的部件/软件产品升级和扩容能力3年。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服务保障升级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供应商提供远程技术支持、软件授权服务、备件更换服务、现场支持服务3年（费用包含在合同总价内，采购人不再另行支付）。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提供上门服务</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提供3年上门保修（费用包含在合同总价内，采购人不再另行支付）。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业务场景性能优化服务及整体架构升级服务</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供应商提供针对特定业务场景性能优化服务及整体架构升级服务。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抗干扰性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当产品部件出现供应风险时，应通知客户并提供风险应对方案确保产品的服务保障，必要时应停止相关受影响产品的销售。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供应能力证明</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云兼容性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Style w:val="26"/>
                <w:lang w:val="en-US" w:eastAsia="zh-CN" w:bidi="ar"/>
              </w:rPr>
              <w:t>★</w:t>
            </w:r>
            <w:r>
              <w:rPr>
                <w:rFonts w:hint="eastAsia" w:ascii="宋体" w:hAnsi="宋体" w:eastAsia="宋体" w:cs="宋体"/>
                <w:i w:val="0"/>
                <w:iCs w:val="0"/>
                <w:color w:val="000000"/>
                <w:kern w:val="0"/>
                <w:sz w:val="16"/>
                <w:szCs w:val="16"/>
                <w:u w:val="none"/>
                <w:lang w:val="en-US" w:eastAsia="zh-CN" w:bidi="ar"/>
              </w:rPr>
              <w:t>云兼容性</w:t>
            </w:r>
          </w:p>
        </w:tc>
        <w:tc>
          <w:tcPr>
            <w:tcW w:w="6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所投服务器实现兼容适配目前金税云所使用的云版本（TCE 3.10.0）。</w:t>
            </w:r>
          </w:p>
        </w:tc>
      </w:tr>
    </w:tbl>
    <w:p>
      <w:pPr>
        <w:pStyle w:val="14"/>
        <w:rPr>
          <w:rFonts w:hint="default"/>
          <w:lang w:val="en-US" w:eastAsia="zh-CN"/>
        </w:rPr>
      </w:pPr>
    </w:p>
    <w:p>
      <w:pPr>
        <w:pStyle w:val="6"/>
        <w:bidi w:val="0"/>
        <w:rPr>
          <w:rFonts w:hint="eastAsia" w:ascii="仿宋_GB2312" w:hAnsi="仿宋_GB2312" w:eastAsia="仿宋_GB2312" w:cs="仿宋_GB2312"/>
          <w:lang w:val="en-US" w:eastAsia="zh-CN"/>
        </w:rPr>
      </w:pPr>
      <w:bookmarkStart w:id="45" w:name="_Toc3136"/>
      <w:r>
        <w:rPr>
          <w:rFonts w:hint="eastAsia" w:ascii="仿宋_GB2312" w:hAnsi="仿宋_GB2312" w:eastAsia="仿宋_GB2312" w:cs="仿宋_GB2312"/>
          <w:lang w:val="en-US" w:eastAsia="zh-CN"/>
        </w:rPr>
        <w:t>2</w:t>
      </w:r>
      <w:r>
        <w:rPr>
          <w:rFonts w:hint="eastAsia" w:ascii="仿宋_GB2312" w:hAnsi="仿宋_GB2312" w:eastAsia="仿宋_GB2312" w:cs="仿宋_GB2312"/>
          <w:lang w:val="en-US" w:eastAsia="zh"/>
        </w:rPr>
        <w:t>.3.3</w:t>
      </w:r>
      <w:r>
        <w:rPr>
          <w:rFonts w:hint="eastAsia" w:ascii="仿宋_GB2312" w:hAnsi="仿宋_GB2312" w:eastAsia="仿宋_GB2312" w:cs="仿宋_GB2312"/>
          <w:lang w:val="en-US" w:eastAsia="zh-CN"/>
        </w:rPr>
        <w:t>通用存储服务器2技术参数</w:t>
      </w:r>
      <w:bookmarkEnd w:id="45"/>
    </w:p>
    <w:tbl>
      <w:tblPr>
        <w:tblStyle w:val="15"/>
        <w:tblW w:w="10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
        <w:gridCol w:w="765"/>
        <w:gridCol w:w="750"/>
        <w:gridCol w:w="1425"/>
        <w:gridCol w:w="7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指标分类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二级指标</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CPU 信息</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 w:bidi="ar"/>
              </w:rPr>
              <w:t>1、</w:t>
            </w:r>
            <w:r>
              <w:rPr>
                <w:rFonts w:hint="eastAsia" w:ascii="宋体" w:hAnsi="宋体" w:eastAsia="宋体" w:cs="宋体"/>
                <w:i w:val="0"/>
                <w:iCs w:val="0"/>
                <w:color w:val="000000"/>
                <w:kern w:val="0"/>
                <w:sz w:val="16"/>
                <w:szCs w:val="16"/>
                <w:u w:val="none"/>
                <w:lang w:val="en-US" w:eastAsia="zh-CN" w:bidi="ar"/>
              </w:rPr>
              <w:t>ARM架构，2颗CPU；</w:t>
            </w:r>
          </w:p>
          <w:p>
            <w:pPr>
              <w:keepNext w:val="0"/>
              <w:keepLines w:val="0"/>
              <w:widowControl/>
              <w:numPr>
                <w:ilvl w:val="0"/>
                <w:numId w:val="0"/>
              </w:numPr>
              <w:suppressLineNumbers w:val="0"/>
              <w:jc w:val="both"/>
              <w:textAlignment w:val="center"/>
              <w:rPr>
                <w:rFonts w:hint="eastAsia" w:ascii="宋体" w:hAnsi="宋体" w:eastAsia="宋体" w:cs="宋体"/>
                <w:i w:val="0"/>
                <w:iCs w:val="0"/>
                <w:color w:val="000000"/>
                <w:sz w:val="16"/>
                <w:szCs w:val="16"/>
                <w:u w:val="none"/>
                <w:lang w:val="en-US" w:eastAsia="en-US" w:bidi="ar-SA"/>
              </w:rPr>
            </w:pPr>
            <w:r>
              <w:rPr>
                <w:rFonts w:hint="eastAsia" w:ascii="宋体" w:hAnsi="宋体" w:eastAsia="宋体" w:cs="宋体"/>
                <w:i w:val="0"/>
                <w:iCs w:val="0"/>
                <w:color w:val="000000"/>
                <w:kern w:val="0"/>
                <w:sz w:val="16"/>
                <w:szCs w:val="16"/>
                <w:u w:val="none"/>
                <w:lang w:val="en-US" w:eastAsia="zh" w:bidi="ar"/>
              </w:rPr>
              <w:t>2、</w:t>
            </w:r>
            <w:r>
              <w:rPr>
                <w:rFonts w:hint="eastAsia" w:ascii="宋体" w:hAnsi="宋体" w:eastAsia="宋体" w:cs="宋体"/>
                <w:i w:val="0"/>
                <w:iCs w:val="0"/>
                <w:color w:val="000000"/>
                <w:kern w:val="0"/>
                <w:sz w:val="16"/>
                <w:szCs w:val="16"/>
                <w:u w:val="none"/>
                <w:lang w:val="en-US" w:eastAsia="zh-CN" w:bidi="ar"/>
              </w:rPr>
              <w:t>供应商给出 CPU 信息，包含 CPU 型号、物理核心数、主频、末级缓存容量、线程数、热设计功耗及支持内存的最高速率、通道数和位宽。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主板支持的CPU和内存情况</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供应商给出主板支持的 CPU 和内存的型号数量。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主板内存槽数量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非板载内存的可扩展插槽数量应不少于32个。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主板存储接口</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至少支持 SATA、SAS、M.2、U.2 等存储接口中的 1 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PCIe 插槽接口</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 PCIe3.0 或以上的高速串行计算机扩展总线标准，PCIe 的接口速率与位宽需保证向下兼容。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主板PCIe 插槽数量及规格</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高度大于 44.45mm 双路或以上服务器 PCIe 插槽或接口应不少于 5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板载网络接口</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若支持板载网络接口应不少于 1 个1GE 网口；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内存规格</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≥DDR4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内存通道</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单CPU内存通道数≥4，每个通道可支持 1DPC 或 2DPC，当支持 2DPC 时，印制电路板上应具备插槽的序号标识，具体通道数应在随机文件中明确。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硬盘类型</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供应商给出服务器支持硬磁盘和固态盘类型及规格。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硬磁盘实配容量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共需要2种规格硬盘：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实配企业级 SSD 盘单盘可用容量不小于480GB；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实配企业级 NVME SSD单盘可用容量不小于7.68TB；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硬盘接口类型</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配备固态盘，应提供至少 1 种类型固态盘接口，如 UFS、SATA、PCIe等。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硬盘实配数量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2种规格硬盘数量要求：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配置≥1块企业级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配置≥4块企业级 NVME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硬盘插槽数量及规格</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 供应商应给出配置的硬盘尺寸， 如 2.5 英寸、3.5 英寸硬磁盘；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机箱高度为 88.9mm 的服务器可支持的硬盘数量应不少于 12 块，机箱高度为 44.45mm 的服务器可支持的硬盘数量应不少于 6 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硬盘其他参数要求</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支持固态盘，固态盘符合SJ/T 11654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网口速率和数量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配置≥4个千兆RJ45网口、≥1块独立双口光纤网卡，速率≥25Gb，并满配兼容多模模块（SFP+）。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独立网卡网口数量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≥1块独立双口光纤网卡，速率≥25Gb（含光模块)。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独立网卡接口类型</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板载网卡接口类型</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支持RJ45/QSFP/SFP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显示接口类型应不少于 1 种，如： VGA、DP、HDMI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外部接口规格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★USB 接口</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配备不少于2个USB3.0接口。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电源冗余模式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整机电源模块按 1+1 冗余或N+1 冗余配置。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电源模块数量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≥2个交流电源。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电源功率</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提供220VAC/240HVDC交直流兼容电源，根据机房环境提供电源线；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电源指示灯</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配备电源指示灯，指示待机、工作异常等状态。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外观和结构</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a)服务器的零部件应紧固无松动，可插拔部件应可靠连接，开关、按钮和其它控制部件应灵活可靠，布局应方便使用；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产品表面不应有明显的凹痕、划伤、裂缝、变形和污染等。表面涂层均匀，不应起泡、龟裂、脱落和磨损，金属零部件无锈蚀及其它机械损伤；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 产品表面说明功能的文字、符号和标志应清晰、端正且牢固；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 应在服务器的显著位置提供运行状态的指示功能，并在随机文件中明确具体含义；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 2U机架式服务器;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 服务器尺寸具体要求在随机文件中明确。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尺寸（高×宽×深）</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供应商给出产品尺寸；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设计应遵循标准化、系列化的要求；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机箱的内部结构符合通用部件的安装需要。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服务器导轨</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供应商给出导轨尺寸、安装方式等信息。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 个数与机柜高度单位(U) 比</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供应商给出CPU 个数与机柜高度。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环境适应性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气候环境适应性应符合GB/T 9813.3 的有关规定，工作温度 10～35℃，贮存运输温度-40～55℃；工作相对湿度35%～80%，贮存运输相对湿度20％～93%（40℃）；大气压86～106kPa。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机械环境适应性应符合GB/T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的有关规定，在产品说明中给出具体测试值。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机柜尺寸</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供应商给出长度、高度和深度。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主板外部接口种类</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支持USB、显示、管理等接口，如：VGA、DP、HDMI、USB3.0、PS/2 接口、BMC 管理端口等。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主板防烧板设计</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支持主板防烧板设计，需保证电源故障后不扩散；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网络功能</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支持网络连接、网络访问、数据交换和网络管控功能。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计算处理</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支持通用计算及虚拟化功能。处理器需集成整型计算单元、浮点计算单元、内存控制器、I/O 模块等，处理器与存储部件、网络部件、I/O 部件等组成计算系统，提供数据处理、网络接入等计算相关功能。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CPU功能</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密码算法实现</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b/>
                <w:bCs/>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b)通过商用密码检测机构检测并经商用密码认证机构认证合格。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RAID卡功能（若支持RAID卡）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RAID 卡RAID 级别支持</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 RAID 0/1/5/6/10/50/60，提供1G及以上缓存。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电源热插拔</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整机电源模块应具备热插拔功能。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电源过流保护</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支持过流及短路保护的功能。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散热方式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支持风冷或液冷等散热方式。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其他功能</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支持关键部件冗余（包括电源、风扇等）。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BMC 固件基础功能</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1)支持DHCP设置网络功能；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2)支持静态 IP设置网络功能；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3)支持设备日志记录，包括但不限于登录日志、操作日志和报警日志等功能；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4)支持日志信息导出和记录删除功能；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5)支持通过管理接口向外输出准确的报警信息功能；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6)设备的BMC管理软件应能够按报警的严重程度进行区分；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7)支持IPMI2.0、SNMP或Redfish等接口功能；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8)支持键盘、鼠标和视频的重定向、文本控制台的重定向、远程虚拟媒体、高可靠的硬件监控和管理功能；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9)支持基于网络开启、关闭和重启设备的功能，并查询当前设备开机运行状态；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10)支持故障提示功能，并可通过接口读取服务器故障信息；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11)支持基于网络的固件更新功能，包括BMC和BIOS等；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12)支持基于网络安装操作系统的功能，并可通过网络控制台访问设备；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13)支持通过本地的硬盘或光驱等存储设备，基于网络完成设备的操作系统安装功能；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14)支持通过浏览器打开管理界面并登录功能；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15)支持设置口令策略功能；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16)支持访问权限设置功能，并通过日志记录访问事件；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17)支持对出厂默认的用户名及口令进行安全保护功能，并提供默认口令修改提示；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18)支持读取设备主板的工作环境温度功能；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19)支持读取服务器CPU等核心器件的温度功能；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20)支持通过外部管理工具进行BMC参数设置的功能，并可基于网络通过外部管理工具对 BMC 进行管理；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21)应支持固件版本查询、固件升级；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22)支持基于网络实现开关机和复位控制的功能；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23)BMC启动时间应不超过180s，实现功能包括网络、IPMI、散热、传感器服务可用；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24)支持BMC固件设置的恢复出厂功能。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BIOS 固件基础功能</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a）支持查看固件版本、内存信息、主板信息、处理器信息和系统时间信息功能；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b）支持上电初始化界面显示 CPU 信息、内存信息、固件版本和部分快捷键信息功能；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c）支持设置界面中英文显示切换功能；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d）支持查看PCIe设备信息，SATA设备信息功能；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e）支持操作系统安装和引导功能，应并向操作系统提供计算机主板信息和服务接口；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f）支持设置启动顺序，并按照设置的启动顺序启动功能；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g）支持安全启动功能；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i）支持板载显示控制或独立显卡的显示控制功能；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j）支持RAID识别和启动功能；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k）支持串口重定向功能；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l）支持固件更新功能；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m）支持BIOS固件设置的恢复出厂功能；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n）支持网络引导启用和关闭功能。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管理系统功能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远程控制</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支持远程关机和重新启动功能。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操作系统及驱动的升级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支持通过网络、闪存盘对操作系统、驱动进行升级。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操作系统及驱动的备份还原</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操作系统及驱动功能</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操作系统功能</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1）支持访问控制、安全审计、网络接入鉴别等功能；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操作系统其他功能应满足操作系统政府采购需求标准中加*的指标要求。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中文信息处理功能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中文信息处理</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 18030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关键部件安全要求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关键部件安全要求</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固件安全要求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故障检测</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支持故障检测功能，可以检测到具体的FRU（内存、硬盘等）的故障并发出告警。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弱口令字典检查</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支持弱口令字典检查功能，出现在弱口令字典中的字符串不能被设置为用户口令。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白名单访问控制</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支持基于时间、IP 或MAC 白名单访问控制。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二次鉴别</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支持二次鉴别功能。对于用户配置、权限配置、公钥导入等重要的管理操作，已登录用户应通过二次鉴别后，才能执行操作。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密码证书安全加密存储</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支持对带外管理系统中的用户口令和证书等敏感信息进行加密存储，禁止使用私有的和业界已知不安全的密码算法。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敏感信息安全加密传输</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支持使用安全的传输加密协议（如SSH 或 HTTPS等 ）传输用户的敏感信息。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信息安全要求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研发过程安全</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物理安全</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安全要求应符合GB 4943.1 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安全要求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限用物质的限量要求</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限用物质的限量应符合GB/T 26572 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CPU主频</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单CPU 核数</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CPU性能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▲单CPU 末级缓存容量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单内存模块容量</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单内存模块容量≥32GB，总内存≥1024GB。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内存速率</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≥2666MT/s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独立网卡速率</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板载网卡速率</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电源能耗</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 GB/T 9813.3 的有关规定。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种及以上厂商的内存产品，且均不低于产品支持的内存规格。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固态存储兼容性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适配 3 种或以上厂商的固态存储产品，且均不低于产品支持的固态存储设备规格。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RAID 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网卡应适配2种或以上厂商产品。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功能卡兼容性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内置或适配符合PCIe的功能卡，如：网络功能卡、存储功能卡及图形显示功能卡。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外设兼容性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兼容多种主流生产商的外部设备，包括显示器、键盘、鼠标、闪存盘、移动硬盘、USB光驱及KVM等，要求使用不同厂商的外部设备时，系统均能正常识别和安装驱动。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数据库兼容</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中间件兼容</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平台软件兼容</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3 个及以上厂商的大数据平台。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虚拟化软件兼容</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 2 款及以上虚拟化软件。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存储可靠性要求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▲SATA SSD可靠性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SSD 的 m1 值（MTBF 的不可接受值） 不低于 200000h。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m1 值（MTBF 的不可接受值）不得低于 30000h。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▲风扇可靠性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风扇寿命应不低于 40000h。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可靠性要求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整机可靠性要求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部件可靠性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支持硬盘、电源、风扇热插拔(内置风扇除外)。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包装及运输要求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包装及运输要求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标志、包装、运输和贮存</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符合GB/T 9813.3 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 提供电话、电子邮件、远程连接等多种形式服务；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 宕机故障1小时内响应、4小时上门到达现场提供服务、6小时内排除故障，非宕机故障2小时内响应、12小时上门到达现场提供服务48小时内排除故障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服务响应</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培训服务</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供应商提供培训材料、产品手册、培训视频等培训相关内容（费用包含在合同总价内，采购人不再另行支付）。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服务周期</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a）产品整机免费服务周期3年（含换件和维修）；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b）设备停产后继续提供质量保障服务（含备品备件），服务终止时间与最后一批设备交付时间间隔不低于 6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 产品停止服务时间应提前 1 年告知客户；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 产品发布日期需在随机文件中明确。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工具要求</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供应商提供设置服务器硬件、辅助操作系统安装等功能的辅助工具和管理软件。且随附软件应具有合法授权或版权。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辅助工具</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支持如下功能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a)本地的数据备份和还原功能；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b）网络的数据备份和还原功能；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c）服务器操作系统的自动安装功能；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6"/>
                <w:szCs w:val="16"/>
                <w:u w:val="none"/>
              </w:rPr>
            </w:pP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 服务器所配硬件需要的驱动程序和系统补丁。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驱动安装升级指引</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供应商提供出厂安装的配件所需的驱动程序，形式包括但不限于驱动光盘、驱动下载链接等。其他配件应提供指引。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随机附开盖工具</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随服务器打包提供开机箱工具。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服务工具要求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管理软件</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具备资源管理、系统管理、性能监控、健康监控、基于网络控制、报警设置功能。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厂家升级产品软件与扩容服务</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供应商提供原厂级的部件/软件产品升级和扩容能力3年。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服务保障升级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供应商提供远程技术支持、软件授权服务、备件更换服务、现场支持服务3年（费用包含在合同总价内，采购人不再另行支付）。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提供上门服务</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提供3年上门保修（费用包含在合同总价内，采购人不再另行支付）。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业务场景性能优化服务及整体架构升级服务</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供应商提供针对特定业务场景性能优化服务及整体架构升级服务。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抗干扰性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当产品部件出现供应风险时，应通知客户并提供风险应对方案确保产品的服务保障，必要时应停止相关受影响产品的销售。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供保要求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供应链质量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供应能力证明</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云兼容性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云兼容性</w:t>
            </w:r>
          </w:p>
        </w:tc>
        <w:tc>
          <w:tcPr>
            <w:tcW w:w="7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所投服务器实现兼容适配目前金税云所使用的云版本（TCE 3.10.0）。</w:t>
            </w:r>
          </w:p>
        </w:tc>
      </w:tr>
    </w:tbl>
    <w:p>
      <w:pPr>
        <w:pStyle w:val="14"/>
        <w:rPr>
          <w:rFonts w:hint="default"/>
          <w:lang w:val="en-US" w:eastAsia="zh-CN"/>
        </w:rPr>
      </w:pPr>
    </w:p>
    <w:p>
      <w:pPr>
        <w:pStyle w:val="14"/>
        <w:rPr>
          <w:rFonts w:hint="default"/>
          <w:lang w:val="en-US" w:eastAsia="zh-CN"/>
        </w:rPr>
      </w:pPr>
    </w:p>
    <w:p>
      <w:pPr>
        <w:pStyle w:val="6"/>
        <w:bidi w:val="0"/>
        <w:rPr>
          <w:rFonts w:hint="eastAsia" w:ascii="仿宋_GB2312" w:hAnsi="仿宋_GB2312" w:eastAsia="仿宋_GB2312" w:cs="仿宋_GB2312"/>
          <w:lang w:val="en-US" w:eastAsia="zh-CN"/>
        </w:rPr>
      </w:pPr>
      <w:bookmarkStart w:id="46" w:name="_Toc8571"/>
      <w:r>
        <w:rPr>
          <w:rFonts w:hint="eastAsia" w:ascii="仿宋_GB2312" w:hAnsi="仿宋_GB2312" w:eastAsia="仿宋_GB2312" w:cs="仿宋_GB2312"/>
          <w:lang w:val="en-US" w:eastAsia="zh-CN"/>
        </w:rPr>
        <w:t>2</w:t>
      </w:r>
      <w:r>
        <w:rPr>
          <w:rFonts w:hint="eastAsia" w:ascii="仿宋_GB2312" w:hAnsi="仿宋_GB2312" w:eastAsia="仿宋_GB2312" w:cs="仿宋_GB2312"/>
          <w:lang w:val="en-US" w:eastAsia="zh"/>
        </w:rPr>
        <w:t>.3.4</w:t>
      </w:r>
      <w:r>
        <w:rPr>
          <w:rFonts w:hint="eastAsia" w:ascii="仿宋_GB2312" w:hAnsi="仿宋_GB2312" w:eastAsia="仿宋_GB2312" w:cs="仿宋_GB2312"/>
          <w:lang w:val="en-US" w:eastAsia="zh-CN"/>
        </w:rPr>
        <w:t>服务器改配技术参数（单台服务器）</w:t>
      </w:r>
      <w:bookmarkEnd w:id="46"/>
    </w:p>
    <w:tbl>
      <w:tblPr>
        <w:tblStyle w:val="15"/>
        <w:tblW w:w="103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3"/>
        <w:gridCol w:w="898"/>
        <w:gridCol w:w="854"/>
        <w:gridCol w:w="1496"/>
        <w:gridCol w:w="67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指标分类</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二级指标</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内存数量</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内存规格</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≥DDR4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单内存模块容量</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单内存模块容量≥32GB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性能要求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内存性能</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内存速率</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≥2666MT/s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硬磁盘实配容量</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实配企业级 NVME SSD单盘可用容量不小于7.68TB；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存储规格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硬盘实配数量</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配置≥4块企业级 NVME SSD 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内存兼容性</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兼容所投服务器及金四云平台原有的长城-擎天EF860服务器。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部件兼容性要求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固态存储兼容性</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兼容所投服务器及金四云平台原有的长城-擎天EF860服务器。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服务要求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服务器改配</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 w:bidi="ar"/>
              </w:rPr>
            </w:pPr>
            <w:r>
              <w:rPr>
                <w:rFonts w:hint="eastAsia" w:ascii="宋体" w:hAnsi="宋体" w:eastAsia="宋体" w:cs="宋体"/>
                <w:i w:val="0"/>
                <w:iCs w:val="0"/>
                <w:color w:val="000000"/>
                <w:kern w:val="0"/>
                <w:sz w:val="16"/>
                <w:szCs w:val="16"/>
                <w:u w:val="none"/>
                <w:lang w:val="en-US" w:eastAsia="zh" w:bidi="ar"/>
              </w:rPr>
              <w:t>承诺完成采购人指定服务器的内存和硬盘改配实施工作,提供改配涉及的线缆、板卡、固定件等必要配件。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提供上门服务</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提供3年上门保修（费用包含在合同总价内，采购人不再另行支付）。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增值服务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★硬盘不返还服务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提供三年硬盘不返还服务（费用包含在合同总价内，采购人不再另行支付）。</w:t>
            </w:r>
          </w:p>
        </w:tc>
      </w:tr>
    </w:tbl>
    <w:p>
      <w:pPr>
        <w:pStyle w:val="14"/>
        <w:rPr>
          <w:rFonts w:hint="default"/>
          <w:lang w:val="en-US" w:eastAsia="zh-CN"/>
        </w:rPr>
      </w:pPr>
    </w:p>
    <w:p>
      <w:pPr>
        <w:pStyle w:val="14"/>
      </w:pPr>
    </w:p>
    <w:p>
      <w:pPr>
        <w:pStyle w:val="2"/>
        <w:bidi w:val="0"/>
        <w:rPr>
          <w:rFonts w:hint="eastAsia"/>
          <w:lang w:val="en-US" w:eastAsia="zh-CN"/>
        </w:rPr>
      </w:pPr>
      <w:bookmarkStart w:id="47" w:name="_Toc6984"/>
      <w:bookmarkStart w:id="48" w:name="_Toc21322"/>
      <w:bookmarkStart w:id="49" w:name="_Toc14611"/>
      <w:bookmarkStart w:id="50" w:name="_Toc17653"/>
      <w:bookmarkStart w:id="51" w:name="_Toc8726"/>
      <w:bookmarkStart w:id="52" w:name="_Toc7105"/>
      <w:bookmarkStart w:id="53" w:name="_Toc20677"/>
      <w:bookmarkStart w:id="54" w:name="_Toc5645"/>
      <w:bookmarkStart w:id="55" w:name="_Toc30856"/>
      <w:r>
        <w:rPr>
          <w:rFonts w:hint="eastAsia"/>
          <w:lang w:val="en-US" w:eastAsia="zh-CN"/>
        </w:rPr>
        <w:t>2.4技术要求</w:t>
      </w:r>
      <w:bookmarkEnd w:id="47"/>
      <w:bookmarkEnd w:id="48"/>
    </w:p>
    <w:p>
      <w:pPr>
        <w:spacing w:before="0" w:after="0"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供应商承诺实现金四云内设备通过金税云认证，完全兼容采购人上线应用支撑平台相关软件系统（包括云管理平台软件及应用软件等），若实际不满足要求或不兼容，采购人可终止合同，中标人承担法律责任并赔偿采购人的全部损失（供应商投标时需提供承诺函，可参照投标文件格式“承诺函”）。</w:t>
      </w:r>
    </w:p>
    <w:p>
      <w:pPr>
        <w:spacing w:before="0" w:after="0"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★投标人所投159台金四云服务器互相兼容（供应商投标时需提供承诺函，可参照投标文件格式“承诺函”）。</w:t>
      </w:r>
    </w:p>
    <w:p>
      <w:pPr>
        <w:spacing w:before="0" w:after="0"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lang w:val="en-US" w:eastAsia="zh-CN"/>
        </w:rPr>
        <w:t>★投标人承诺所投服务器及改配后的服务器均实现兼容适配目前广东金四云所使用的云版本，并承诺随采购人安排而兼容适配后续升级的版本。包括且不限于服务器所配备的 CPU、内存、硬盘等主要配件以及 SAS 卡、RAID 卡、网卡等与部署运行相关的配件均已完成适配，并按照采购人和金四云配置要求批量配置所供服务器的硬盘、BIOS、BMC、FRU、SAS 卡配置、网卡配置，以满足云自动检测和部署的要求。如因中标人提供的服务器不满足此次扩容的广东金四云平台兼容要求而影响实施进度，中标人应更换符合要求的设备，并对造成的损失予以赔偿，采购人将不再额外支付费用。投标人设有备件库或承诺中标后设立备件库，并满足1小时内提供备件到</w:t>
      </w:r>
      <w:r>
        <w:rPr>
          <w:rFonts w:hint="eastAsia" w:ascii="仿宋_GB2312" w:hAnsi="仿宋_GB2312" w:eastAsia="仿宋_GB2312" w:cs="仿宋_GB2312"/>
          <w:sz w:val="24"/>
          <w:szCs w:val="24"/>
          <w:highlight w:val="none"/>
          <w:lang w:val="en-US" w:eastAsia="zh-CN"/>
        </w:rPr>
        <w:t>广东税务局五山</w:t>
      </w:r>
      <w:r>
        <w:rPr>
          <w:rFonts w:hint="eastAsia" w:ascii="仿宋_GB2312" w:hAnsi="仿宋_GB2312" w:eastAsia="仿宋_GB2312" w:cs="仿宋_GB2312"/>
          <w:sz w:val="24"/>
          <w:szCs w:val="24"/>
          <w:highlight w:val="none"/>
          <w:lang w:val="en-US" w:eastAsia="zh"/>
        </w:rPr>
        <w:t>和南海两地</w:t>
      </w:r>
      <w:r>
        <w:rPr>
          <w:rFonts w:hint="eastAsia" w:ascii="仿宋_GB2312" w:hAnsi="仿宋_GB2312" w:eastAsia="仿宋_GB2312" w:cs="仿宋_GB2312"/>
          <w:sz w:val="24"/>
          <w:szCs w:val="24"/>
          <w:highlight w:val="none"/>
          <w:lang w:val="en-US" w:eastAsia="zh-CN"/>
        </w:rPr>
        <w:t>数据中心。（供应商投标时需提供承诺函，可参照投标文件格式“承诺函”）</w:t>
      </w:r>
    </w:p>
    <w:p>
      <w:pPr>
        <w:pStyle w:val="14"/>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
        </w:rPr>
        <w:t xml:space="preserve">    </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
        </w:rPr>
        <w:t>在采购人指定的时间和地点，由中标人对指定的原有25台服务器进行搬运、扩容改造，并在指定数据中心机房上架安装，所需配件特性及参数需与金税云所需的规格一致，保持原有服务器保修不变。若在对现有云平台实施扩容过程中，确认实际不满足要求或不兼容，采购人可终止合同，中标人承担法律责任并赔偿采购人的全部损失</w:t>
      </w:r>
      <w:r>
        <w:rPr>
          <w:rFonts w:hint="eastAsia" w:ascii="仿宋_GB2312" w:hAnsi="仿宋_GB2312" w:eastAsia="仿宋_GB2312" w:cs="仿宋_GB2312"/>
          <w:sz w:val="24"/>
          <w:szCs w:val="24"/>
          <w:highlight w:val="none"/>
          <w:lang w:val="en-US" w:eastAsia="zh-CN"/>
        </w:rPr>
        <w:t>（供应商投标时需提供承诺函，可参照投标文件格式“承诺函”）</w:t>
      </w:r>
    </w:p>
    <w:p>
      <w:pPr>
        <w:pStyle w:val="14"/>
        <w:rPr>
          <w:rFonts w:hint="eastAsia" w:ascii="仿宋_GB2312" w:hAnsi="仿宋_GB2312" w:eastAsia="仿宋_GB2312" w:cs="仿宋_GB2312"/>
          <w:sz w:val="24"/>
          <w:szCs w:val="24"/>
          <w:highlight w:val="none"/>
          <w:lang w:val="en-US" w:eastAsia="zh"/>
        </w:rPr>
      </w:pPr>
      <w:r>
        <w:rPr>
          <w:rFonts w:hint="eastAsia" w:ascii="仿宋_GB2312" w:hAnsi="仿宋_GB2312" w:eastAsia="仿宋_GB2312" w:cs="仿宋_GB2312"/>
          <w:sz w:val="24"/>
          <w:szCs w:val="24"/>
          <w:highlight w:val="none"/>
          <w:lang w:val="en-US" w:eastAsia="zh"/>
        </w:rPr>
        <w:t xml:space="preserve">    中标人需在质保期内提供同一数据中心及不限次数的搬迁服务，以及不同数据中心1次的搬迁服务，费用包含在合同总价内，采购人不再另行支付。</w:t>
      </w:r>
    </w:p>
    <w:p>
      <w:pPr>
        <w:pStyle w:val="5"/>
        <w:bidi w:val="0"/>
        <w:outlineLvl w:val="0"/>
        <w:rPr>
          <w:rFonts w:hint="default" w:ascii="仿宋_GB2312" w:hAnsi="仿宋_GB2312" w:eastAsia="仿宋_GB2312" w:cs="仿宋_GB2312"/>
          <w:color w:val="000000"/>
          <w:szCs w:val="24"/>
          <w:lang w:val="en-US" w:eastAsia="zh-CN"/>
        </w:rPr>
      </w:pPr>
      <w:bookmarkStart w:id="56" w:name="_Toc7700"/>
      <w:bookmarkStart w:id="57" w:name="_Toc21125"/>
      <w:bookmarkStart w:id="58" w:name="_Toc12379"/>
      <w:r>
        <w:rPr>
          <w:rFonts w:hint="eastAsia" w:ascii="仿宋_GB2312" w:hAnsi="仿宋_GB2312" w:eastAsia="仿宋_GB2312" w:cs="仿宋_GB2312"/>
          <w:i w:val="0"/>
          <w:iCs w:val="0"/>
          <w:lang w:eastAsia="zh-CN"/>
        </w:rPr>
        <w:t>第三章</w:t>
      </w:r>
      <w:r>
        <w:rPr>
          <w:rFonts w:hint="eastAsia" w:ascii="仿宋_GB2312" w:hAnsi="仿宋_GB2312" w:eastAsia="仿宋_GB2312" w:cs="仿宋_GB2312"/>
          <w:i w:val="0"/>
          <w:iCs w:val="0"/>
          <w:lang w:val="en-US" w:eastAsia="zh-CN"/>
        </w:rPr>
        <w:t xml:space="preserve"> </w:t>
      </w:r>
      <w:r>
        <w:rPr>
          <w:rFonts w:ascii="仿宋_GB2312" w:hAnsi="仿宋_GB2312" w:eastAsia="仿宋_GB2312" w:cs="仿宋_GB2312"/>
          <w:i w:val="0"/>
          <w:iCs w:val="0"/>
        </w:rPr>
        <w:t>服务要求</w:t>
      </w:r>
      <w:bookmarkEnd w:id="39"/>
      <w:bookmarkEnd w:id="40"/>
      <w:bookmarkEnd w:id="41"/>
      <w:bookmarkEnd w:id="42"/>
      <w:bookmarkEnd w:id="49"/>
      <w:bookmarkEnd w:id="50"/>
      <w:bookmarkEnd w:id="51"/>
      <w:bookmarkEnd w:id="52"/>
      <w:bookmarkEnd w:id="53"/>
      <w:bookmarkEnd w:id="54"/>
      <w:bookmarkEnd w:id="55"/>
      <w:bookmarkEnd w:id="56"/>
      <w:bookmarkEnd w:id="57"/>
      <w:bookmarkEnd w:id="58"/>
    </w:p>
    <w:p>
      <w:pPr>
        <w:pStyle w:val="2"/>
        <w:bidi w:val="0"/>
        <w:outlineLvl w:val="1"/>
        <w:rPr>
          <w:rFonts w:hint="eastAsia" w:ascii="仿宋_GB2312" w:hAnsi="仿宋_GB2312" w:eastAsia="仿宋_GB2312" w:cs="仿宋_GB2312"/>
          <w:sz w:val="28"/>
          <w:szCs w:val="28"/>
          <w:lang w:val="en-US" w:eastAsia="zh-CN"/>
        </w:rPr>
      </w:pPr>
      <w:bookmarkStart w:id="59" w:name="_Toc32413"/>
      <w:bookmarkStart w:id="60" w:name="_Toc4180"/>
      <w:bookmarkStart w:id="61" w:name="_Toc28678"/>
      <w:bookmarkStart w:id="62" w:name="_Toc29931"/>
      <w:bookmarkStart w:id="63" w:name="_Toc13270"/>
      <w:bookmarkStart w:id="64" w:name="_Toc970"/>
      <w:bookmarkStart w:id="65" w:name="_Toc25037"/>
      <w:bookmarkStart w:id="66" w:name="_Toc11970"/>
      <w:bookmarkStart w:id="67" w:name="_Toc21843"/>
      <w:bookmarkStart w:id="68" w:name="_Toc12363"/>
      <w:r>
        <w:rPr>
          <w:rFonts w:hint="eastAsia" w:ascii="仿宋_GB2312" w:hAnsi="仿宋_GB2312" w:eastAsia="仿宋_GB2312" w:cs="仿宋_GB2312"/>
          <w:sz w:val="28"/>
          <w:szCs w:val="28"/>
          <w:lang w:val="en-US" w:eastAsia="zh-CN"/>
        </w:rPr>
        <w:t>3.1总体要求</w:t>
      </w:r>
      <w:bookmarkEnd w:id="59"/>
    </w:p>
    <w:p>
      <w:pPr>
        <w:spacing w:before="0" w:after="0" w:line="360" w:lineRule="auto"/>
        <w:ind w:firstLine="480" w:firstLineChars="200"/>
        <w:rPr>
          <w:rFonts w:hint="eastAsia"/>
          <w:lang w:val="en-US" w:eastAsia="zh-CN"/>
        </w:rPr>
      </w:pPr>
      <w:r>
        <w:rPr>
          <w:rFonts w:hint="default"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val="en-US" w:eastAsia="zh-CN"/>
        </w:rPr>
        <w:t>1.</w:t>
      </w:r>
      <w:bookmarkEnd w:id="60"/>
      <w:bookmarkEnd w:id="61"/>
      <w:bookmarkEnd w:id="62"/>
      <w:bookmarkEnd w:id="63"/>
      <w:bookmarkEnd w:id="64"/>
      <w:bookmarkStart w:id="69" w:name="_Toc19324"/>
      <w:bookmarkStart w:id="70" w:name="_Toc30130"/>
      <w:bookmarkStart w:id="71" w:name="_Toc23110"/>
      <w:bookmarkStart w:id="72" w:name="_Toc25426"/>
      <w:bookmarkStart w:id="73" w:name="_Toc29424"/>
      <w:r>
        <w:rPr>
          <w:rFonts w:hint="eastAsia" w:ascii="仿宋_GB2312" w:hAnsi="仿宋_GB2312" w:eastAsia="仿宋_GB2312" w:cs="仿宋_GB2312"/>
          <w:sz w:val="24"/>
          <w:szCs w:val="24"/>
          <w:lang w:val="en-US" w:eastAsia="zh-CN"/>
        </w:rPr>
        <w:t>由中标人负责提供厂商3年或以上7*24小时免费设备保修服务，1小时内响应，包括硬件保修（包括备件）、电话支持、现场支持、上门巡检、软件升级、提供原厂商400热线；由中标人负责提供生产厂商3年上门技术支持服务，包括资源调整、优化、升级以及提供适配云平台所需要的固件更新等；维保期限内提供购买设备的远程技术支持，提供购买的备件更换、返厂寄修服务，提供故障硬盘及存储部件不返还服务，由采购人处置，提供购买设备的软件升级服务，提供网线，光纤等备件（供应商投标时需提供承诺函，可参照投标文件格式“承诺函”）。</w:t>
      </w:r>
    </w:p>
    <w:p>
      <w:pPr>
        <w:pStyle w:val="8"/>
        <w:ind w:firstLine="480"/>
        <w:rPr>
          <w:rFonts w:hint="eastAsia"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val="en-US" w:eastAsia="zh-CN"/>
        </w:rPr>
        <w:t>2</w:t>
      </w:r>
      <w:r>
        <w:rPr>
          <w:rFonts w:hint="eastAsia" w:ascii="仿宋_GB2312" w:hAnsi="仿宋_GB2312" w:eastAsia="仿宋_GB2312" w:cs="仿宋_GB2312"/>
          <w:color w:val="000000"/>
          <w:szCs w:val="24"/>
          <w:lang w:eastAsia="zh-CN"/>
        </w:rPr>
        <w:t>.投标人在中标并签署合同后，应确保项目内涉及的相关方完成招标文件中规定的各项任务，完成实施前期的各项准备工作。</w:t>
      </w:r>
      <w:bookmarkEnd w:id="69"/>
      <w:bookmarkEnd w:id="70"/>
      <w:bookmarkEnd w:id="71"/>
      <w:bookmarkEnd w:id="72"/>
      <w:bookmarkEnd w:id="73"/>
      <w:r>
        <w:rPr>
          <w:rFonts w:hint="eastAsia" w:ascii="仿宋_GB2312" w:hAnsi="仿宋_GB2312" w:eastAsia="仿宋_GB2312" w:cs="仿宋_GB2312"/>
          <w:color w:val="000000"/>
          <w:szCs w:val="24"/>
          <w:lang w:eastAsia="zh-CN"/>
        </w:rPr>
        <w:t xml:space="preserve"> </w:t>
      </w:r>
    </w:p>
    <w:p>
      <w:pPr>
        <w:pStyle w:val="8"/>
        <w:ind w:firstLine="480"/>
        <w:rPr>
          <w:rFonts w:hint="eastAsia" w:ascii="仿宋_GB2312" w:hAnsi="仿宋_GB2312" w:eastAsia="仿宋_GB2312" w:cs="仿宋_GB2312"/>
          <w:color w:val="000000"/>
          <w:szCs w:val="24"/>
          <w:lang w:eastAsia="zh-CN"/>
        </w:rPr>
      </w:pPr>
      <w:bookmarkStart w:id="74" w:name="_Toc25696"/>
      <w:bookmarkStart w:id="75" w:name="_Toc31786"/>
      <w:bookmarkStart w:id="76" w:name="_Toc32127"/>
      <w:bookmarkStart w:id="77" w:name="_Toc7463"/>
      <w:bookmarkStart w:id="78" w:name="_Toc15240"/>
      <w:r>
        <w:rPr>
          <w:rFonts w:hint="default" w:ascii="仿宋_GB2312" w:hAnsi="仿宋_GB2312" w:eastAsia="仿宋_GB2312" w:cs="仿宋_GB2312"/>
          <w:color w:val="000000"/>
          <w:szCs w:val="24"/>
          <w:lang w:eastAsia="zh-CN"/>
        </w:rPr>
        <w:t>3</w:t>
      </w:r>
      <w:r>
        <w:rPr>
          <w:rFonts w:hint="eastAsia" w:ascii="仿宋_GB2312" w:hAnsi="仿宋_GB2312" w:eastAsia="仿宋_GB2312" w:cs="仿宋_GB2312"/>
          <w:color w:val="000000"/>
          <w:szCs w:val="24"/>
          <w:lang w:eastAsia="zh-CN"/>
        </w:rPr>
        <w:t>.投标人必须服从甲方的统一协调，在实施方案设计、设备供货、技术支持等方面相互配合。承诺与本项目相关单位进行积极主动的合作。</w:t>
      </w:r>
      <w:bookmarkEnd w:id="74"/>
      <w:bookmarkEnd w:id="75"/>
      <w:bookmarkEnd w:id="76"/>
      <w:bookmarkEnd w:id="77"/>
      <w:bookmarkEnd w:id="78"/>
      <w:r>
        <w:rPr>
          <w:rFonts w:hint="eastAsia" w:ascii="仿宋_GB2312" w:hAnsi="仿宋_GB2312" w:eastAsia="仿宋_GB2312" w:cs="仿宋_GB2312"/>
          <w:color w:val="000000"/>
          <w:szCs w:val="24"/>
          <w:lang w:eastAsia="zh-CN"/>
        </w:rPr>
        <w:t xml:space="preserve"> </w:t>
      </w:r>
    </w:p>
    <w:p>
      <w:pPr>
        <w:pStyle w:val="8"/>
        <w:ind w:firstLine="480"/>
        <w:rPr>
          <w:rFonts w:hint="eastAsia" w:ascii="仿宋_GB2312" w:hAnsi="仿宋_GB2312" w:eastAsia="仿宋_GB2312" w:cs="仿宋_GB2312"/>
          <w:color w:val="000000"/>
          <w:szCs w:val="24"/>
          <w:lang w:eastAsia="zh-CN"/>
        </w:rPr>
      </w:pPr>
      <w:bookmarkStart w:id="79" w:name="_Toc7176"/>
      <w:bookmarkStart w:id="80" w:name="_Toc23097"/>
      <w:bookmarkStart w:id="81" w:name="_Toc5152"/>
      <w:bookmarkStart w:id="82" w:name="_Toc20089"/>
      <w:bookmarkStart w:id="83" w:name="_Toc32748"/>
      <w:r>
        <w:rPr>
          <w:rFonts w:hint="default" w:ascii="仿宋_GB2312" w:hAnsi="仿宋_GB2312" w:eastAsia="仿宋_GB2312" w:cs="仿宋_GB2312"/>
          <w:color w:val="000000"/>
          <w:szCs w:val="24"/>
          <w:lang w:eastAsia="zh-CN"/>
        </w:rPr>
        <w:t>4</w:t>
      </w:r>
      <w:r>
        <w:rPr>
          <w:rFonts w:hint="eastAsia" w:ascii="仿宋_GB2312" w:hAnsi="仿宋_GB2312" w:eastAsia="仿宋_GB2312" w:cs="仿宋_GB2312"/>
          <w:color w:val="000000"/>
          <w:szCs w:val="24"/>
          <w:lang w:eastAsia="zh-CN"/>
        </w:rPr>
        <w:t>.投标人应严格按中标配置提供相应产品，如设备、软件产品等方面要求中出现不合理或不完整的问题时，投标人有责任和义务提出补救方案并征得甲方的同意后予以实施。标书中未列明但集成过程中需要的各种配件、组件和线缆等由投标人免费提供。</w:t>
      </w:r>
      <w:bookmarkEnd w:id="79"/>
      <w:bookmarkEnd w:id="80"/>
      <w:bookmarkEnd w:id="81"/>
      <w:bookmarkEnd w:id="82"/>
      <w:bookmarkEnd w:id="83"/>
      <w:r>
        <w:rPr>
          <w:rFonts w:hint="eastAsia" w:ascii="仿宋_GB2312" w:hAnsi="仿宋_GB2312" w:eastAsia="仿宋_GB2312" w:cs="仿宋_GB2312"/>
          <w:color w:val="000000"/>
          <w:szCs w:val="24"/>
          <w:lang w:eastAsia="zh-CN"/>
        </w:rPr>
        <w:t xml:space="preserve"> </w:t>
      </w:r>
    </w:p>
    <w:p>
      <w:pPr>
        <w:pStyle w:val="8"/>
        <w:ind w:firstLine="480"/>
        <w:rPr>
          <w:rFonts w:hint="eastAsia" w:ascii="仿宋_GB2312" w:hAnsi="仿宋_GB2312" w:eastAsia="仿宋_GB2312" w:cs="仿宋_GB2312"/>
          <w:color w:val="000000"/>
          <w:szCs w:val="24"/>
          <w:lang w:eastAsia="zh-CN"/>
        </w:rPr>
      </w:pPr>
      <w:bookmarkStart w:id="84" w:name="_Toc25863"/>
      <w:bookmarkStart w:id="85" w:name="_Toc18388"/>
      <w:bookmarkStart w:id="86" w:name="_Toc25934"/>
      <w:bookmarkStart w:id="87" w:name="_Toc26899"/>
      <w:bookmarkStart w:id="88" w:name="_Toc25045"/>
      <w:r>
        <w:rPr>
          <w:rFonts w:hint="default" w:ascii="仿宋_GB2312" w:hAnsi="仿宋_GB2312" w:eastAsia="仿宋_GB2312" w:cs="仿宋_GB2312"/>
          <w:color w:val="000000"/>
          <w:szCs w:val="24"/>
          <w:lang w:eastAsia="zh-CN"/>
        </w:rPr>
        <w:t>5</w:t>
      </w:r>
      <w:r>
        <w:rPr>
          <w:rFonts w:hint="eastAsia" w:ascii="仿宋_GB2312" w:hAnsi="仿宋_GB2312" w:eastAsia="仿宋_GB2312" w:cs="仿宋_GB2312"/>
          <w:color w:val="000000"/>
          <w:szCs w:val="24"/>
          <w:lang w:eastAsia="zh-CN"/>
        </w:rPr>
        <w:t>.投标人负责中标产品的安装实施，要求所有软硬件产品在招标文件中所规定的地点和环境下, 实现正常运行, 并达到招标文件要求的性能和产品技术规格中的性能。</w:t>
      </w:r>
      <w:bookmarkEnd w:id="84"/>
      <w:bookmarkEnd w:id="85"/>
      <w:bookmarkEnd w:id="86"/>
      <w:bookmarkEnd w:id="87"/>
      <w:bookmarkEnd w:id="88"/>
      <w:r>
        <w:rPr>
          <w:rFonts w:hint="eastAsia" w:ascii="仿宋_GB2312" w:hAnsi="仿宋_GB2312" w:eastAsia="仿宋_GB2312" w:cs="仿宋_GB2312"/>
          <w:color w:val="000000"/>
          <w:szCs w:val="24"/>
          <w:lang w:eastAsia="zh-CN"/>
        </w:rPr>
        <w:t xml:space="preserve"> </w:t>
      </w:r>
    </w:p>
    <w:p>
      <w:pPr>
        <w:pStyle w:val="8"/>
        <w:ind w:firstLine="480"/>
        <w:rPr>
          <w:rFonts w:hint="default" w:ascii="仿宋_GB2312" w:hAnsi="仿宋_GB2312" w:eastAsia="仿宋_GB2312" w:cs="仿宋_GB2312"/>
          <w:color w:val="000000"/>
          <w:szCs w:val="24"/>
          <w:lang w:val="en-US" w:eastAsia="zh-CN"/>
        </w:rPr>
      </w:pPr>
      <w:bookmarkStart w:id="89" w:name="_Toc5787"/>
      <w:bookmarkStart w:id="90" w:name="_Toc30848"/>
      <w:bookmarkStart w:id="91" w:name="_Toc9097"/>
      <w:bookmarkStart w:id="92" w:name="_Toc18624"/>
      <w:bookmarkStart w:id="93" w:name="_Toc7259"/>
      <w:r>
        <w:rPr>
          <w:rFonts w:hint="default" w:ascii="仿宋_GB2312" w:hAnsi="仿宋_GB2312" w:eastAsia="仿宋_GB2312" w:cs="仿宋_GB2312"/>
          <w:color w:val="000000"/>
          <w:szCs w:val="24"/>
          <w:lang w:eastAsia="zh-CN"/>
        </w:rPr>
        <w:t>6</w:t>
      </w:r>
      <w:r>
        <w:rPr>
          <w:rFonts w:hint="eastAsia" w:ascii="仿宋_GB2312" w:hAnsi="仿宋_GB2312" w:eastAsia="仿宋_GB2312" w:cs="仿宋_GB2312"/>
          <w:color w:val="000000"/>
          <w:szCs w:val="24"/>
          <w:lang w:eastAsia="zh-CN"/>
        </w:rPr>
        <w:t>.投标人负责项目内设备相关软件和系统的安全加固和软件版本升级工作。</w:t>
      </w:r>
      <w:bookmarkEnd w:id="89"/>
      <w:bookmarkEnd w:id="90"/>
      <w:bookmarkEnd w:id="91"/>
      <w:bookmarkEnd w:id="92"/>
      <w:bookmarkEnd w:id="93"/>
    </w:p>
    <w:p>
      <w:pPr>
        <w:pStyle w:val="8"/>
        <w:ind w:firstLine="480"/>
        <w:rPr>
          <w:rFonts w:hint="eastAsia" w:ascii="仿宋_GB2312" w:hAnsi="仿宋_GB2312" w:eastAsia="仿宋_GB2312" w:cs="仿宋_GB2312"/>
          <w:color w:val="000000"/>
          <w:szCs w:val="24"/>
          <w:lang w:val="en-US" w:eastAsia="zh-CN"/>
        </w:rPr>
      </w:pPr>
      <w:bookmarkStart w:id="94" w:name="_Toc17069"/>
      <w:bookmarkStart w:id="95" w:name="_Toc31242"/>
      <w:bookmarkStart w:id="96" w:name="_Toc9465"/>
      <w:bookmarkStart w:id="97" w:name="_Toc8016"/>
      <w:bookmarkStart w:id="98" w:name="_Toc24572"/>
      <w:r>
        <w:rPr>
          <w:rFonts w:hint="default" w:ascii="仿宋_GB2312" w:hAnsi="仿宋_GB2312" w:eastAsia="仿宋_GB2312" w:cs="仿宋_GB2312"/>
          <w:color w:val="000000"/>
          <w:szCs w:val="24"/>
          <w:lang w:val="en-US" w:eastAsia="zh-CN"/>
        </w:rPr>
        <w:t>7</w:t>
      </w:r>
      <w:r>
        <w:rPr>
          <w:rFonts w:hint="eastAsia" w:ascii="仿宋_GB2312" w:hAnsi="仿宋_GB2312" w:eastAsia="仿宋_GB2312" w:cs="仿宋_GB2312"/>
          <w:color w:val="000000"/>
          <w:szCs w:val="24"/>
          <w:lang w:eastAsia="zh-CN"/>
        </w:rPr>
        <w:t>.中标人须在约定时间内完成供货、安装部署和服务器扩容。完成后，中标人需提供以下资料进行项目验收：设备到场开箱检查表、设备移交清单、安装部署报告、测试及试运行报告、用户手册或硬件使用维护说明书、验收技术评审表、原厂维保服务（含介质保留服务）证明文件。</w:t>
      </w:r>
      <w:bookmarkEnd w:id="94"/>
      <w:bookmarkEnd w:id="95"/>
      <w:bookmarkEnd w:id="96"/>
      <w:bookmarkEnd w:id="97"/>
      <w:bookmarkEnd w:id="98"/>
    </w:p>
    <w:p>
      <w:pPr>
        <w:pStyle w:val="8"/>
        <w:ind w:firstLine="480"/>
        <w:rPr>
          <w:rFonts w:hint="eastAsia" w:ascii="仿宋_GB2312" w:hAnsi="仿宋_GB2312" w:eastAsia="仿宋_GB2312" w:cs="仿宋_GB2312"/>
          <w:color w:val="000000"/>
          <w:szCs w:val="24"/>
          <w:lang w:val="en-US" w:eastAsia="zh-CN"/>
        </w:rPr>
      </w:pPr>
      <w:r>
        <w:rPr>
          <w:rFonts w:hint="eastAsia" w:ascii="仿宋_GB2312" w:hAnsi="仿宋_GB2312" w:eastAsia="仿宋_GB2312" w:cs="仿宋_GB2312"/>
          <w:color w:val="000000"/>
          <w:szCs w:val="24"/>
          <w:lang w:val="en-US" w:eastAsia="zh-CN"/>
        </w:rPr>
        <w:t>8</w:t>
      </w:r>
      <w:r>
        <w:rPr>
          <w:rFonts w:hint="default" w:ascii="仿宋_GB2312" w:hAnsi="仿宋_GB2312" w:eastAsia="仿宋_GB2312" w:cs="仿宋_GB2312"/>
          <w:color w:val="000000"/>
          <w:szCs w:val="24"/>
          <w:lang w:val="en-US" w:eastAsia="zh-CN"/>
        </w:rPr>
        <w:t>.数据安全要求。提供</w:t>
      </w:r>
      <w:r>
        <w:rPr>
          <w:rFonts w:hint="eastAsia" w:ascii="仿宋_GB2312" w:hAnsi="仿宋_GB2312" w:eastAsia="仿宋_GB2312" w:cs="仿宋_GB2312"/>
          <w:color w:val="000000"/>
          <w:szCs w:val="24"/>
          <w:lang w:val="en-US" w:eastAsia="zh-CN"/>
        </w:rPr>
        <w:t>三</w:t>
      </w:r>
      <w:r>
        <w:rPr>
          <w:rFonts w:hint="default" w:ascii="仿宋_GB2312" w:hAnsi="仿宋_GB2312" w:eastAsia="仿宋_GB2312" w:cs="仿宋_GB2312"/>
          <w:color w:val="000000"/>
          <w:szCs w:val="24"/>
          <w:lang w:val="en-US" w:eastAsia="zh-CN"/>
        </w:rPr>
        <w:t>年硬盘不返还服务，即</w:t>
      </w:r>
      <w:r>
        <w:rPr>
          <w:rFonts w:hint="eastAsia" w:ascii="仿宋_GB2312" w:hAnsi="仿宋_GB2312" w:eastAsia="仿宋_GB2312" w:cs="仿宋_GB2312"/>
          <w:color w:val="000000"/>
          <w:szCs w:val="24"/>
          <w:lang w:val="en-US" w:eastAsia="zh-CN"/>
        </w:rPr>
        <w:t>服务器</w:t>
      </w:r>
      <w:r>
        <w:rPr>
          <w:rFonts w:hint="default" w:ascii="仿宋_GB2312" w:hAnsi="仿宋_GB2312" w:eastAsia="仿宋_GB2312" w:cs="仿宋_GB2312"/>
          <w:color w:val="000000"/>
          <w:szCs w:val="24"/>
          <w:lang w:val="en-US" w:eastAsia="zh-CN"/>
        </w:rPr>
        <w:t>发生硬盘故障需要更换的情况，原故障硬盘不得带离现场，由设备部署地用户单位统一保持并依照流程处理。</w:t>
      </w:r>
    </w:p>
    <w:p>
      <w:pPr>
        <w:pStyle w:val="8"/>
        <w:ind w:firstLine="480"/>
        <w:rPr>
          <w:rFonts w:hint="eastAsia" w:ascii="仿宋_GB2312" w:hAnsi="仿宋_GB2312" w:eastAsia="仿宋_GB2312" w:cs="仿宋_GB2312"/>
          <w:color w:val="000000"/>
          <w:szCs w:val="24"/>
          <w:lang w:eastAsia="zh-CN"/>
        </w:rPr>
      </w:pPr>
      <w:bookmarkStart w:id="99" w:name="_Toc15347"/>
      <w:r>
        <w:rPr>
          <w:rFonts w:hint="eastAsia" w:ascii="仿宋_GB2312" w:hAnsi="仿宋_GB2312" w:eastAsia="仿宋_GB2312" w:cs="仿宋_GB2312"/>
          <w:color w:val="000000"/>
          <w:szCs w:val="24"/>
          <w:lang w:val="en-US" w:eastAsia="zh-CN"/>
        </w:rPr>
        <w:t>9.</w:t>
      </w:r>
      <w:r>
        <w:rPr>
          <w:rFonts w:hint="eastAsia" w:ascii="仿宋_GB2312" w:hAnsi="仿宋_GB2312" w:eastAsia="仿宋_GB2312" w:cs="仿宋_GB2312"/>
          <w:color w:val="000000"/>
          <w:szCs w:val="24"/>
          <w:lang w:eastAsia="zh-CN"/>
        </w:rPr>
        <w:t>服务时限标准。在</w:t>
      </w:r>
      <w:r>
        <w:rPr>
          <w:rFonts w:hint="eastAsia" w:ascii="仿宋_GB2312" w:hAnsi="仿宋_GB2312" w:eastAsia="仿宋_GB2312" w:cs="仿宋_GB2312"/>
          <w:color w:val="000000"/>
          <w:szCs w:val="24"/>
          <w:lang w:val="en-US" w:eastAsia="zh-CN"/>
        </w:rPr>
        <w:t>3</w:t>
      </w:r>
      <w:r>
        <w:rPr>
          <w:rFonts w:hint="default" w:ascii="仿宋_GB2312" w:hAnsi="仿宋_GB2312" w:eastAsia="仿宋_GB2312" w:cs="仿宋_GB2312"/>
          <w:color w:val="000000"/>
          <w:szCs w:val="24"/>
          <w:lang w:eastAsia="zh-CN"/>
        </w:rPr>
        <w:t xml:space="preserve"> 年</w:t>
      </w:r>
      <w:r>
        <w:rPr>
          <w:rFonts w:hint="eastAsia" w:ascii="仿宋_GB2312" w:hAnsi="仿宋_GB2312" w:eastAsia="仿宋_GB2312" w:cs="仿宋_GB2312"/>
          <w:color w:val="000000"/>
          <w:szCs w:val="24"/>
          <w:lang w:eastAsia="zh-CN"/>
        </w:rPr>
        <w:t>厂商</w:t>
      </w:r>
      <w:r>
        <w:rPr>
          <w:rFonts w:hint="default" w:ascii="仿宋_GB2312" w:hAnsi="仿宋_GB2312" w:eastAsia="仿宋_GB2312" w:cs="仿宋_GB2312"/>
          <w:color w:val="000000"/>
          <w:szCs w:val="24"/>
          <w:lang w:eastAsia="zh-CN"/>
        </w:rPr>
        <w:t>维保服务期间，</w:t>
      </w:r>
      <w:r>
        <w:rPr>
          <w:rFonts w:hint="eastAsia" w:ascii="仿宋_GB2312" w:hAnsi="仿宋_GB2312" w:eastAsia="仿宋_GB2312" w:cs="仿宋_GB2312"/>
          <w:color w:val="000000"/>
          <w:szCs w:val="24"/>
          <w:lang w:eastAsia="zh-CN"/>
        </w:rPr>
        <w:t>甲方通过电话、微信、邮件等任一方式向投标人申请后，宕机故障</w:t>
      </w:r>
      <w:r>
        <w:rPr>
          <w:rFonts w:hint="eastAsia" w:ascii="仿宋_GB2312" w:hAnsi="仿宋_GB2312" w:eastAsia="仿宋_GB2312" w:cs="仿宋_GB2312"/>
          <w:color w:val="000000"/>
          <w:szCs w:val="24"/>
          <w:lang w:val="en-US" w:eastAsia="zh-CN"/>
        </w:rPr>
        <w:t>1小时</w:t>
      </w:r>
      <w:r>
        <w:rPr>
          <w:rFonts w:hint="eastAsia" w:ascii="仿宋_GB2312" w:hAnsi="仿宋_GB2312" w:eastAsia="仿宋_GB2312" w:cs="仿宋_GB2312"/>
          <w:color w:val="000000"/>
          <w:szCs w:val="24"/>
          <w:lang w:eastAsia="zh-CN"/>
        </w:rPr>
        <w:t>内响应、</w:t>
      </w:r>
      <w:r>
        <w:rPr>
          <w:rFonts w:hint="eastAsia" w:ascii="仿宋_GB2312" w:hAnsi="仿宋_GB2312" w:eastAsia="仿宋_GB2312" w:cs="仿宋_GB2312"/>
          <w:color w:val="000000"/>
          <w:szCs w:val="24"/>
          <w:lang w:val="en-US" w:eastAsia="zh-CN"/>
        </w:rPr>
        <w:t>4</w:t>
      </w:r>
      <w:r>
        <w:rPr>
          <w:rFonts w:hint="eastAsia" w:ascii="仿宋_GB2312" w:hAnsi="仿宋_GB2312" w:eastAsia="仿宋_GB2312" w:cs="仿宋_GB2312"/>
          <w:color w:val="000000"/>
          <w:szCs w:val="24"/>
          <w:lang w:eastAsia="zh-CN"/>
        </w:rPr>
        <w:t>小时上门到达现场提供服务、6小时内排除故障，非宕机故障2小时内响应、12小时上门到达现场提供服务</w:t>
      </w:r>
      <w:r>
        <w:rPr>
          <w:rFonts w:hint="eastAsia" w:ascii="仿宋_GB2312" w:hAnsi="仿宋_GB2312" w:eastAsia="仿宋_GB2312" w:cs="仿宋_GB2312"/>
          <w:color w:val="000000"/>
          <w:szCs w:val="24"/>
          <w:lang w:val="en-US" w:eastAsia="zh-CN"/>
        </w:rPr>
        <w:t>48</w:t>
      </w:r>
      <w:r>
        <w:rPr>
          <w:rFonts w:hint="eastAsia" w:ascii="仿宋_GB2312" w:hAnsi="仿宋_GB2312" w:eastAsia="仿宋_GB2312" w:cs="仿宋_GB2312"/>
          <w:color w:val="000000"/>
          <w:szCs w:val="24"/>
          <w:lang w:eastAsia="zh-CN"/>
        </w:rPr>
        <w:t>小时内排除故障，提供承诺函，格式自拟。</w:t>
      </w:r>
      <w:bookmarkEnd w:id="99"/>
    </w:p>
    <w:p>
      <w:pPr>
        <w:pStyle w:val="8"/>
        <w:ind w:firstLine="480"/>
        <w:rPr>
          <w:rFonts w:hint="eastAsia" w:ascii="仿宋_GB2312" w:hAnsi="仿宋_GB2312" w:eastAsia="仿宋_GB2312" w:cs="仿宋_GB2312"/>
          <w:color w:val="000000"/>
          <w:szCs w:val="24"/>
          <w:lang w:val="en-US" w:eastAsia="zh-CN"/>
        </w:rPr>
      </w:pPr>
      <w:bookmarkStart w:id="100" w:name="_Toc23160"/>
      <w:bookmarkStart w:id="101" w:name="_Toc10309"/>
      <w:bookmarkStart w:id="102" w:name="_Toc28459"/>
      <w:bookmarkStart w:id="103" w:name="_Toc13752"/>
      <w:bookmarkStart w:id="104" w:name="_Toc25922"/>
      <w:r>
        <w:rPr>
          <w:rFonts w:hint="default" w:ascii="仿宋_GB2312" w:hAnsi="仿宋_GB2312" w:eastAsia="仿宋_GB2312" w:cs="仿宋_GB2312"/>
          <w:color w:val="000000"/>
          <w:szCs w:val="24"/>
          <w:lang w:val="en-US" w:eastAsia="zh-CN"/>
        </w:rPr>
        <w:t>12</w:t>
      </w:r>
      <w:r>
        <w:rPr>
          <w:rFonts w:hint="eastAsia" w:ascii="仿宋_GB2312" w:hAnsi="仿宋_GB2312" w:eastAsia="仿宋_GB2312" w:cs="仿宋_GB2312"/>
          <w:color w:val="000000"/>
          <w:szCs w:val="24"/>
          <w:lang w:val="en-US" w:eastAsia="zh-CN"/>
        </w:rPr>
        <w:t>.</w:t>
      </w:r>
      <w:r>
        <w:rPr>
          <w:rFonts w:hint="eastAsia" w:ascii="仿宋_GB2312" w:hAnsi="仿宋_GB2312" w:eastAsia="仿宋_GB2312" w:cs="仿宋_GB2312"/>
          <w:color w:val="000000"/>
          <w:szCs w:val="24"/>
          <w:lang w:eastAsia="zh-CN"/>
        </w:rPr>
        <w:t>设备故障处理</w:t>
      </w:r>
      <w:r>
        <w:rPr>
          <w:rFonts w:hint="default" w:ascii="仿宋_GB2312" w:hAnsi="仿宋_GB2312" w:eastAsia="仿宋_GB2312" w:cs="仿宋_GB2312"/>
          <w:color w:val="000000"/>
          <w:szCs w:val="24"/>
          <w:lang w:eastAsia="zh-CN"/>
        </w:rPr>
        <w:t>。</w:t>
      </w:r>
      <w:r>
        <w:rPr>
          <w:rFonts w:hint="eastAsia" w:ascii="仿宋_GB2312" w:hAnsi="仿宋_GB2312" w:eastAsia="仿宋_GB2312" w:cs="仿宋_GB2312"/>
          <w:color w:val="000000"/>
          <w:szCs w:val="24"/>
          <w:lang w:eastAsia="zh-CN"/>
        </w:rPr>
        <w:t>提供承诺函，格式自拟。</w:t>
      </w:r>
      <w:bookmarkEnd w:id="100"/>
      <w:bookmarkEnd w:id="101"/>
      <w:bookmarkEnd w:id="102"/>
      <w:bookmarkEnd w:id="103"/>
      <w:bookmarkEnd w:id="104"/>
    </w:p>
    <w:p>
      <w:pPr>
        <w:pStyle w:val="8"/>
        <w:ind w:firstLine="480"/>
        <w:rPr>
          <w:rFonts w:hint="eastAsia" w:ascii="仿宋_GB2312" w:hAnsi="仿宋_GB2312" w:eastAsia="仿宋_GB2312" w:cs="仿宋_GB2312"/>
          <w:color w:val="000000"/>
          <w:szCs w:val="24"/>
          <w:lang w:eastAsia="zh-CN"/>
        </w:rPr>
      </w:pPr>
      <w:bookmarkStart w:id="105" w:name="_Toc2570"/>
      <w:bookmarkStart w:id="106" w:name="_Toc4249"/>
      <w:bookmarkStart w:id="107" w:name="_Toc24876"/>
      <w:bookmarkStart w:id="108" w:name="_Toc4251"/>
      <w:bookmarkStart w:id="109" w:name="_Toc3460"/>
      <w:r>
        <w:rPr>
          <w:rFonts w:hint="default" w:ascii="仿宋_GB2312" w:hAnsi="仿宋_GB2312" w:eastAsia="仿宋_GB2312" w:cs="仿宋_GB2312"/>
          <w:color w:val="000000"/>
          <w:szCs w:val="24"/>
          <w:lang w:eastAsia="zh-CN"/>
        </w:rPr>
        <w:t>①</w:t>
      </w:r>
      <w:r>
        <w:rPr>
          <w:rFonts w:hint="eastAsia" w:ascii="仿宋_GB2312" w:hAnsi="仿宋_GB2312" w:eastAsia="仿宋_GB2312" w:cs="仿宋_GB2312"/>
          <w:color w:val="000000"/>
          <w:szCs w:val="24"/>
          <w:lang w:eastAsia="zh-CN"/>
        </w:rPr>
        <w:t>在</w:t>
      </w:r>
      <w:r>
        <w:rPr>
          <w:rFonts w:hint="eastAsia" w:ascii="仿宋_GB2312" w:hAnsi="仿宋_GB2312" w:eastAsia="仿宋_GB2312" w:cs="仿宋_GB2312"/>
          <w:color w:val="000000"/>
          <w:szCs w:val="24"/>
          <w:lang w:val="en-US" w:eastAsia="zh-CN"/>
        </w:rPr>
        <w:t>3</w:t>
      </w:r>
      <w:r>
        <w:rPr>
          <w:rFonts w:hint="default" w:ascii="仿宋_GB2312" w:hAnsi="仿宋_GB2312" w:eastAsia="仿宋_GB2312" w:cs="仿宋_GB2312"/>
          <w:color w:val="000000"/>
          <w:szCs w:val="24"/>
          <w:lang w:eastAsia="zh-CN"/>
        </w:rPr>
        <w:t>年原厂维保服务期间，</w:t>
      </w:r>
      <w:r>
        <w:rPr>
          <w:rFonts w:hint="eastAsia" w:ascii="仿宋_GB2312" w:hAnsi="仿宋_GB2312" w:eastAsia="仿宋_GB2312" w:cs="仿宋_GB2312"/>
          <w:color w:val="000000"/>
          <w:szCs w:val="24"/>
          <w:lang w:eastAsia="zh-CN"/>
        </w:rPr>
        <w:t>本项目</w:t>
      </w:r>
      <w:r>
        <w:rPr>
          <w:rFonts w:hint="default" w:ascii="仿宋_GB2312" w:hAnsi="仿宋_GB2312" w:eastAsia="仿宋_GB2312" w:cs="仿宋_GB2312"/>
          <w:color w:val="000000"/>
          <w:szCs w:val="24"/>
          <w:lang w:eastAsia="zh-CN"/>
        </w:rPr>
        <w:t>设备</w:t>
      </w:r>
      <w:r>
        <w:rPr>
          <w:rFonts w:hint="eastAsia" w:ascii="仿宋_GB2312" w:hAnsi="仿宋_GB2312" w:eastAsia="仿宋_GB2312" w:cs="仿宋_GB2312"/>
          <w:color w:val="000000"/>
          <w:szCs w:val="24"/>
          <w:lang w:eastAsia="zh-CN"/>
        </w:rPr>
        <w:t>运行过程中如果发生故障，投标人须启动多层技术资源支持，包括但不限于：现场技术支持服务、二线技术支持服务等，协助投标人排查问题，并尽快恢复设备正常运行。</w:t>
      </w:r>
      <w:bookmarkEnd w:id="105"/>
      <w:bookmarkEnd w:id="106"/>
      <w:bookmarkEnd w:id="107"/>
      <w:bookmarkEnd w:id="108"/>
      <w:bookmarkEnd w:id="109"/>
    </w:p>
    <w:p>
      <w:pPr>
        <w:pStyle w:val="8"/>
        <w:ind w:firstLine="480"/>
        <w:rPr>
          <w:rFonts w:hint="eastAsia" w:ascii="仿宋_GB2312" w:hAnsi="仿宋_GB2312" w:eastAsia="仿宋_GB2312" w:cs="仿宋_GB2312"/>
          <w:color w:val="000000"/>
          <w:szCs w:val="24"/>
          <w:lang w:eastAsia="zh-CN"/>
        </w:rPr>
      </w:pPr>
      <w:bookmarkStart w:id="110" w:name="_Toc25387"/>
      <w:bookmarkStart w:id="111" w:name="_Toc22983"/>
      <w:bookmarkStart w:id="112" w:name="_Toc27494"/>
      <w:bookmarkStart w:id="113" w:name="_Toc5071"/>
      <w:bookmarkStart w:id="114" w:name="_Toc4232"/>
      <w:r>
        <w:rPr>
          <w:rFonts w:hint="default" w:ascii="仿宋_GB2312" w:hAnsi="仿宋_GB2312" w:eastAsia="仿宋_GB2312" w:cs="仿宋_GB2312"/>
          <w:color w:val="000000"/>
          <w:szCs w:val="24"/>
          <w:lang w:eastAsia="zh-CN"/>
        </w:rPr>
        <w:t>②</w:t>
      </w:r>
      <w:r>
        <w:rPr>
          <w:rFonts w:hint="eastAsia" w:ascii="仿宋_GB2312" w:hAnsi="仿宋_GB2312" w:eastAsia="仿宋_GB2312" w:cs="仿宋_GB2312"/>
          <w:color w:val="000000"/>
          <w:szCs w:val="24"/>
          <w:lang w:eastAsia="zh-CN"/>
        </w:rPr>
        <w:t>在</w:t>
      </w:r>
      <w:r>
        <w:rPr>
          <w:rFonts w:hint="eastAsia" w:ascii="仿宋_GB2312" w:hAnsi="仿宋_GB2312" w:eastAsia="仿宋_GB2312" w:cs="仿宋_GB2312"/>
          <w:color w:val="000000"/>
          <w:szCs w:val="24"/>
          <w:lang w:val="en-US" w:eastAsia="zh-CN"/>
        </w:rPr>
        <w:t>3</w:t>
      </w:r>
      <w:r>
        <w:rPr>
          <w:rFonts w:hint="default" w:ascii="仿宋_GB2312" w:hAnsi="仿宋_GB2312" w:eastAsia="仿宋_GB2312" w:cs="仿宋_GB2312"/>
          <w:color w:val="000000"/>
          <w:szCs w:val="24"/>
          <w:lang w:eastAsia="zh-CN"/>
        </w:rPr>
        <w:t xml:space="preserve"> 年原厂维保服务期间，</w:t>
      </w:r>
      <w:r>
        <w:rPr>
          <w:rFonts w:hint="eastAsia" w:ascii="仿宋_GB2312" w:hAnsi="仿宋_GB2312" w:eastAsia="仿宋_GB2312" w:cs="仿宋_GB2312"/>
          <w:color w:val="000000"/>
          <w:szCs w:val="24"/>
          <w:lang w:eastAsia="zh-CN"/>
        </w:rPr>
        <w:t>本项目</w:t>
      </w:r>
      <w:r>
        <w:rPr>
          <w:rFonts w:hint="default" w:ascii="仿宋_GB2312" w:hAnsi="仿宋_GB2312" w:eastAsia="仿宋_GB2312" w:cs="仿宋_GB2312"/>
          <w:color w:val="000000"/>
          <w:szCs w:val="24"/>
          <w:lang w:eastAsia="zh-CN"/>
        </w:rPr>
        <w:t>设备</w:t>
      </w:r>
      <w:r>
        <w:rPr>
          <w:rFonts w:hint="eastAsia" w:ascii="仿宋_GB2312" w:hAnsi="仿宋_GB2312" w:eastAsia="仿宋_GB2312" w:cs="仿宋_GB2312"/>
          <w:color w:val="000000"/>
          <w:szCs w:val="24"/>
          <w:lang w:eastAsia="zh-CN"/>
        </w:rPr>
        <w:t>运行过程中如果出现影响信息系统的故障和问题，投标人须在 2 小时内提供问题的紧急解决方案，并尽快恢复故障产品正常运行。</w:t>
      </w:r>
      <w:bookmarkEnd w:id="110"/>
      <w:bookmarkEnd w:id="111"/>
      <w:bookmarkEnd w:id="112"/>
      <w:bookmarkEnd w:id="113"/>
      <w:bookmarkEnd w:id="114"/>
    </w:p>
    <w:p>
      <w:pPr>
        <w:pStyle w:val="8"/>
        <w:ind w:firstLine="480"/>
        <w:rPr>
          <w:rFonts w:hint="eastAsia" w:ascii="仿宋_GB2312" w:hAnsi="仿宋_GB2312" w:eastAsia="仿宋_GB2312" w:cs="仿宋_GB2312"/>
          <w:color w:val="000000"/>
          <w:szCs w:val="24"/>
          <w:lang w:eastAsia="zh-CN"/>
        </w:rPr>
      </w:pPr>
      <w:bookmarkStart w:id="115" w:name="_Toc8276"/>
      <w:bookmarkStart w:id="116" w:name="_Toc1720"/>
      <w:bookmarkStart w:id="117" w:name="_Toc18759"/>
      <w:bookmarkStart w:id="118" w:name="_Toc21630"/>
      <w:bookmarkStart w:id="119" w:name="_Toc12446"/>
      <w:r>
        <w:rPr>
          <w:rFonts w:hint="default" w:ascii="仿宋_GB2312" w:hAnsi="仿宋_GB2312" w:eastAsia="仿宋_GB2312" w:cs="仿宋_GB2312"/>
          <w:color w:val="000000"/>
          <w:szCs w:val="24"/>
          <w:lang w:eastAsia="zh-CN"/>
        </w:rPr>
        <w:t>③</w:t>
      </w:r>
      <w:r>
        <w:rPr>
          <w:rFonts w:hint="eastAsia" w:ascii="仿宋_GB2312" w:hAnsi="仿宋_GB2312" w:eastAsia="仿宋_GB2312" w:cs="仿宋_GB2312"/>
          <w:color w:val="000000"/>
          <w:szCs w:val="24"/>
          <w:lang w:eastAsia="zh-CN"/>
        </w:rPr>
        <w:t>在</w:t>
      </w:r>
      <w:r>
        <w:rPr>
          <w:rFonts w:hint="eastAsia" w:ascii="仿宋_GB2312" w:hAnsi="仿宋_GB2312" w:eastAsia="仿宋_GB2312" w:cs="仿宋_GB2312"/>
          <w:color w:val="000000"/>
          <w:szCs w:val="24"/>
          <w:lang w:val="en-US" w:eastAsia="zh-CN"/>
        </w:rPr>
        <w:t>3</w:t>
      </w:r>
      <w:r>
        <w:rPr>
          <w:rFonts w:hint="default" w:ascii="仿宋_GB2312" w:hAnsi="仿宋_GB2312" w:eastAsia="仿宋_GB2312" w:cs="仿宋_GB2312"/>
          <w:color w:val="000000"/>
          <w:szCs w:val="24"/>
          <w:lang w:eastAsia="zh-CN"/>
        </w:rPr>
        <w:t>年原厂维保服务期间，</w:t>
      </w:r>
      <w:r>
        <w:rPr>
          <w:rFonts w:hint="eastAsia" w:ascii="仿宋_GB2312" w:hAnsi="仿宋_GB2312" w:eastAsia="仿宋_GB2312" w:cs="仿宋_GB2312"/>
          <w:color w:val="000000"/>
          <w:szCs w:val="24"/>
          <w:lang w:eastAsia="zh-CN"/>
        </w:rPr>
        <w:t>本项目</w:t>
      </w:r>
      <w:r>
        <w:rPr>
          <w:rFonts w:hint="default" w:ascii="仿宋_GB2312" w:hAnsi="仿宋_GB2312" w:eastAsia="仿宋_GB2312" w:cs="仿宋_GB2312"/>
          <w:color w:val="000000"/>
          <w:szCs w:val="24"/>
          <w:lang w:eastAsia="zh-CN"/>
        </w:rPr>
        <w:t>设备</w:t>
      </w:r>
      <w:r>
        <w:rPr>
          <w:rFonts w:hint="eastAsia" w:ascii="仿宋_GB2312" w:hAnsi="仿宋_GB2312" w:eastAsia="仿宋_GB2312" w:cs="仿宋_GB2312"/>
          <w:color w:val="000000"/>
          <w:szCs w:val="24"/>
          <w:lang w:eastAsia="zh-CN"/>
        </w:rPr>
        <w:t>运行过程中如果出现暂未影响信息系统的故障问题，投标人须及时排查并定位故障原因，在采购人要求的时间内提供问题的解决方案，并尽快恢复故障产品正常运行。</w:t>
      </w:r>
      <w:bookmarkEnd w:id="115"/>
      <w:bookmarkEnd w:id="116"/>
      <w:bookmarkEnd w:id="117"/>
      <w:bookmarkEnd w:id="118"/>
      <w:bookmarkEnd w:id="119"/>
    </w:p>
    <w:p>
      <w:pPr>
        <w:pStyle w:val="2"/>
        <w:bidi w:val="0"/>
        <w:outlineLvl w:val="1"/>
        <w:rPr>
          <w:rFonts w:ascii="FangSong_GB2312" w:hAnsi="FangSong_GB2312" w:eastAsia="FangSong_GB2312" w:cs="FangSong_GB2312"/>
          <w:sz w:val="28"/>
          <w:szCs w:val="28"/>
        </w:rPr>
      </w:pPr>
      <w:bookmarkStart w:id="120" w:name="_Toc8312"/>
      <w:bookmarkStart w:id="121" w:name="_Toc12042"/>
      <w:bookmarkStart w:id="122" w:name="_Toc14711"/>
      <w:bookmarkStart w:id="123" w:name="_Toc31926"/>
      <w:bookmarkStart w:id="124" w:name="_Toc16444"/>
      <w:bookmarkStart w:id="125" w:name="_Toc28534"/>
      <w:bookmarkStart w:id="126" w:name="_Toc17643"/>
      <w:bookmarkStart w:id="127" w:name="_Toc31654"/>
      <w:bookmarkStart w:id="128" w:name="_Toc20580"/>
      <w:bookmarkStart w:id="129" w:name="_Toc5606"/>
      <w:r>
        <w:rPr>
          <w:rFonts w:ascii="仿宋_GB2312" w:hAnsi="仿宋_GB2312" w:eastAsia="仿宋_GB2312" w:cs="仿宋_GB2312"/>
          <w:i w:val="0"/>
          <w:iCs w:val="0"/>
          <w:sz w:val="28"/>
          <w:szCs w:val="28"/>
        </w:rPr>
        <w:t>3.</w:t>
      </w:r>
      <w:r>
        <w:rPr>
          <w:rFonts w:hint="eastAsia" w:ascii="仿宋_GB2312" w:hAnsi="仿宋_GB2312" w:eastAsia="仿宋_GB2312" w:cs="仿宋_GB2312"/>
          <w:i w:val="0"/>
          <w:iCs w:val="0"/>
          <w:sz w:val="28"/>
          <w:szCs w:val="28"/>
          <w:lang w:val="en-US" w:eastAsia="zh-CN"/>
        </w:rPr>
        <w:t>2</w:t>
      </w:r>
      <w:r>
        <w:rPr>
          <w:rFonts w:hint="eastAsia" w:ascii="仿宋_GB2312" w:hAnsi="仿宋_GB2312" w:eastAsia="仿宋_GB2312" w:cs="仿宋_GB2312"/>
          <w:i w:val="0"/>
          <w:iCs w:val="0"/>
          <w:sz w:val="28"/>
          <w:szCs w:val="28"/>
          <w:lang w:eastAsia="zh-CN"/>
        </w:rPr>
        <w:t>设备</w:t>
      </w:r>
      <w:r>
        <w:rPr>
          <w:rFonts w:ascii="仿宋_GB2312" w:hAnsi="仿宋_GB2312" w:eastAsia="仿宋_GB2312" w:cs="仿宋_GB2312"/>
          <w:i w:val="0"/>
          <w:iCs w:val="0"/>
          <w:sz w:val="28"/>
          <w:szCs w:val="28"/>
        </w:rPr>
        <w:t>要求</w:t>
      </w:r>
      <w:bookmarkEnd w:id="65"/>
      <w:bookmarkEnd w:id="66"/>
      <w:bookmarkEnd w:id="67"/>
      <w:bookmarkEnd w:id="68"/>
      <w:bookmarkEnd w:id="120"/>
      <w:bookmarkEnd w:id="121"/>
      <w:bookmarkEnd w:id="122"/>
      <w:bookmarkEnd w:id="123"/>
      <w:bookmarkEnd w:id="124"/>
      <w:bookmarkEnd w:id="125"/>
      <w:bookmarkEnd w:id="126"/>
      <w:bookmarkEnd w:id="127"/>
      <w:bookmarkEnd w:id="128"/>
      <w:bookmarkEnd w:id="129"/>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1</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投标人应提供原装的、全新的、符合国家及用户提出的有关质量标准的设备</w:t>
      </w:r>
      <w:r>
        <w:rPr>
          <w:rFonts w:hint="eastAsia" w:ascii="仿宋_GB2312" w:hAnsi="仿宋_GB2312" w:eastAsia="仿宋_GB2312" w:cs="仿宋_GB2312"/>
          <w:color w:val="000000"/>
          <w:szCs w:val="24"/>
          <w:lang w:eastAsia="zh-CN"/>
        </w:rPr>
        <w:t>和配件</w:t>
      </w:r>
      <w:r>
        <w:rPr>
          <w:rFonts w:hint="default" w:ascii="仿宋_GB2312" w:hAnsi="仿宋_GB2312" w:eastAsia="仿宋_GB2312" w:cs="仿宋_GB2312"/>
          <w:color w:val="000000"/>
          <w:szCs w:val="24"/>
          <w:lang w:eastAsia="zh-CN"/>
        </w:rPr>
        <w:t>；</w:t>
      </w:r>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2</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采用的技术和产品本身具有良好的发展前景，将来产品的更新换代能够在保护现有投资的基础上进行升级和扩展，且对产品的升级和扩展提供合理的性价比；</w:t>
      </w:r>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3</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投标人需提供投标设备的详细配置清单，性能应答需与报价中的详细配置一致；</w:t>
      </w:r>
    </w:p>
    <w:p>
      <w:pPr>
        <w:pStyle w:val="8"/>
        <w:ind w:firstLine="480"/>
        <w:rPr>
          <w:rFonts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4</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在采购人与应标产品相关的应用系统出现严重性能问题时，协助分析原因。</w:t>
      </w:r>
    </w:p>
    <w:p>
      <w:pPr>
        <w:pStyle w:val="8"/>
        <w:ind w:firstLine="480"/>
        <w:rPr>
          <w:rFonts w:hint="default" w:ascii="仿宋_GB2312" w:hAnsi="仿宋_GB2312" w:eastAsia="仿宋_GB2312" w:cs="仿宋_GB2312"/>
          <w:color w:val="000000"/>
          <w:szCs w:val="24"/>
          <w:lang w:eastAsia="zh-CN"/>
        </w:rPr>
      </w:pPr>
      <w:r>
        <w:rPr>
          <w:rFonts w:hint="eastAsia" w:ascii="仿宋_GB2312" w:hAnsi="仿宋_GB2312" w:eastAsia="仿宋_GB2312" w:cs="仿宋_GB2312"/>
          <w:color w:val="000000"/>
          <w:sz w:val="24"/>
          <w:szCs w:val="24"/>
          <w:lang w:eastAsia="zh-CN"/>
        </w:rPr>
        <w:t>5</w:t>
      </w:r>
      <w:r>
        <w:rPr>
          <w:rFonts w:hint="default" w:ascii="仿宋_GB2312" w:hAnsi="仿宋_GB2312" w:eastAsia="仿宋_GB2312" w:cs="仿宋_GB2312"/>
          <w:color w:val="000000"/>
          <w:szCs w:val="24"/>
          <w:lang w:eastAsia="zh-CN"/>
        </w:rPr>
        <w:t>.投标人应按照采购需求的要求提供详细的技术建议书。投标人提供的各项建议方案应完全符合采购人指明的标准，并满足或高于采购人的要求。</w:t>
      </w:r>
    </w:p>
    <w:p>
      <w:pPr>
        <w:pStyle w:val="8"/>
        <w:ind w:firstLine="480"/>
        <w:rPr>
          <w:rFonts w:hint="default" w:ascii="仿宋_GB2312" w:hAnsi="仿宋_GB2312" w:eastAsia="仿宋_GB2312" w:cs="仿宋_GB2312"/>
          <w:color w:val="000000"/>
          <w:szCs w:val="24"/>
          <w:lang w:val="en-US" w:eastAsia="zh-CN"/>
        </w:rPr>
      </w:pPr>
      <w:r>
        <w:rPr>
          <w:rFonts w:hint="eastAsia" w:ascii="仿宋_GB2312" w:hAnsi="仿宋_GB2312" w:eastAsia="仿宋_GB2312" w:cs="仿宋_GB2312"/>
          <w:color w:val="000000"/>
          <w:sz w:val="24"/>
          <w:szCs w:val="24"/>
          <w:lang w:eastAsia="zh-CN"/>
        </w:rPr>
        <w:t>6</w:t>
      </w:r>
      <w:r>
        <w:rPr>
          <w:rFonts w:hint="default" w:ascii="仿宋_GB2312" w:hAnsi="仿宋_GB2312" w:eastAsia="仿宋_GB2312" w:cs="仿宋_GB2312"/>
          <w:color w:val="000000"/>
          <w:szCs w:val="24"/>
          <w:lang w:eastAsia="zh-CN"/>
        </w:rPr>
        <w:t>.投标人在其技术建议书中，对需求中所提各项要求能否实现与满足，应逐项诚实地予以说明和答复。对本建议书中某项回答过于简单或未作明确答复的，将视为不能满足该项要求。</w:t>
      </w:r>
    </w:p>
    <w:p>
      <w:pPr>
        <w:keepNext w:val="0"/>
        <w:spacing w:before="0" w:after="0" w:line="360" w:lineRule="auto"/>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32"/>
          <w:lang w:val="en-US" w:eastAsia="zh-CN"/>
        </w:rPr>
        <w:t xml:space="preserve">  </w:t>
      </w:r>
      <w:r>
        <w:rPr>
          <w:rFonts w:hint="eastAsia" w:ascii="仿宋_GB2312" w:hAnsi="仿宋_GB2312" w:eastAsia="仿宋_GB2312" w:cs="仿宋_GB2312"/>
          <w:color w:val="000000"/>
          <w:kern w:val="0"/>
          <w:lang w:val="en-US" w:eastAsia="zh-CN"/>
        </w:rPr>
        <w:t xml:space="preserve"> 7.中标人要采取有效方法、途径保证采购人能顺利完成本项目服务过程中各阶段服务方案产出的吸收和转移。</w:t>
      </w:r>
    </w:p>
    <w:p>
      <w:pPr>
        <w:pStyle w:val="2"/>
        <w:bidi w:val="0"/>
        <w:outlineLvl w:val="1"/>
        <w:rPr>
          <w:rFonts w:ascii="仿宋_GB2312" w:hAnsi="仿宋_GB2312" w:eastAsia="仿宋_GB2312" w:cs="仿宋_GB2312"/>
          <w:i w:val="0"/>
          <w:iCs w:val="0"/>
          <w:sz w:val="28"/>
          <w:szCs w:val="28"/>
        </w:rPr>
      </w:pPr>
      <w:bookmarkStart w:id="130" w:name="_Toc21598"/>
      <w:bookmarkStart w:id="131" w:name="_Toc25249"/>
      <w:bookmarkStart w:id="132" w:name="_Toc27066"/>
      <w:bookmarkStart w:id="133" w:name="_Toc5974"/>
      <w:bookmarkStart w:id="134" w:name="_Toc6833"/>
      <w:bookmarkStart w:id="135" w:name="_Toc16055"/>
      <w:bookmarkStart w:id="136" w:name="_Toc18691"/>
      <w:bookmarkStart w:id="137" w:name="_Toc18832"/>
      <w:bookmarkStart w:id="138" w:name="_Toc26123"/>
      <w:bookmarkStart w:id="139" w:name="_Toc25391"/>
      <w:bookmarkStart w:id="140" w:name="_Toc7833"/>
      <w:bookmarkStart w:id="141" w:name="_Toc13443"/>
      <w:bookmarkStart w:id="142" w:name="_Toc31216"/>
      <w:bookmarkStart w:id="143" w:name="_Toc12475"/>
      <w:r>
        <w:rPr>
          <w:rFonts w:hint="eastAsia" w:ascii="仿宋_GB2312" w:hAnsi="仿宋_GB2312" w:eastAsia="仿宋_GB2312" w:cs="仿宋_GB2312"/>
          <w:i w:val="0"/>
          <w:iCs w:val="0"/>
          <w:sz w:val="28"/>
          <w:szCs w:val="28"/>
          <w:lang w:val="en-US" w:eastAsia="zh-CN"/>
        </w:rPr>
        <w:t>3</w:t>
      </w:r>
      <w:r>
        <w:rPr>
          <w:rFonts w:ascii="仿宋_GB2312" w:hAnsi="仿宋_GB2312" w:eastAsia="仿宋_GB2312" w:cs="仿宋_GB2312"/>
          <w:i w:val="0"/>
          <w:iCs w:val="0"/>
          <w:sz w:val="28"/>
          <w:szCs w:val="28"/>
        </w:rPr>
        <w:t>.</w:t>
      </w:r>
      <w:r>
        <w:rPr>
          <w:rFonts w:hint="eastAsia" w:ascii="仿宋_GB2312" w:hAnsi="仿宋_GB2312" w:eastAsia="仿宋_GB2312" w:cs="仿宋_GB2312"/>
          <w:i w:val="0"/>
          <w:iCs w:val="0"/>
          <w:sz w:val="28"/>
          <w:szCs w:val="28"/>
          <w:lang w:val="en-US" w:eastAsia="zh-CN"/>
        </w:rPr>
        <w:t>3</w:t>
      </w:r>
      <w:r>
        <w:rPr>
          <w:rFonts w:ascii="仿宋_GB2312" w:hAnsi="仿宋_GB2312" w:eastAsia="仿宋_GB2312" w:cs="仿宋_GB2312"/>
          <w:i w:val="0"/>
          <w:iCs w:val="0"/>
          <w:sz w:val="28"/>
          <w:szCs w:val="28"/>
        </w:rPr>
        <w:t>团队要求</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rPr>
        <w:t>投标人需为本项目</w:t>
      </w:r>
      <w:r>
        <w:rPr>
          <w:rFonts w:hint="eastAsia" w:ascii="仿宋_GB2312" w:hAnsi="仿宋_GB2312" w:eastAsia="仿宋_GB2312" w:cs="仿宋_GB2312"/>
          <w:lang w:eastAsia="zh-CN"/>
        </w:rPr>
        <w:t>在合同签订到部署完成期间</w:t>
      </w:r>
      <w:r>
        <w:rPr>
          <w:rFonts w:hint="eastAsia" w:ascii="仿宋_GB2312" w:hAnsi="仿宋_GB2312" w:eastAsia="仿宋_GB2312" w:cs="仿宋_GB2312"/>
        </w:rPr>
        <w:t>提供一个固定的项目团队</w:t>
      </w:r>
      <w:r>
        <w:rPr>
          <w:rFonts w:hint="eastAsia" w:ascii="仿宋_GB2312" w:hAnsi="仿宋_GB2312" w:eastAsia="仿宋_GB2312" w:cs="仿宋_GB2312"/>
          <w:lang w:eastAsia="zh-CN"/>
        </w:rPr>
        <w:t>，团队成员不少于</w:t>
      </w:r>
      <w:r>
        <w:rPr>
          <w:rFonts w:hint="eastAsia" w:ascii="仿宋_GB2312" w:hAnsi="仿宋_GB2312" w:eastAsia="仿宋_GB2312" w:cs="仿宋_GB2312"/>
          <w:lang w:val="en-US" w:eastAsia="zh-CN"/>
        </w:rPr>
        <w:t>5人</w:t>
      </w:r>
      <w:r>
        <w:rPr>
          <w:rFonts w:hint="eastAsia" w:ascii="仿宋_GB2312" w:hAnsi="仿宋_GB2312" w:eastAsia="仿宋_GB2312" w:cs="仿宋_GB2312"/>
        </w:rPr>
        <w:t>。投标人需指定1名项目经理全程负责本项目的沟通与协调工作，并安排人员开展设备到货和集成实施工作。投标人需</w:t>
      </w:r>
      <w:r>
        <w:rPr>
          <w:rFonts w:hint="eastAsia" w:ascii="仿宋_GB2312" w:hAnsi="仿宋_GB2312" w:eastAsia="仿宋_GB2312" w:cs="仿宋_GB2312"/>
          <w:lang w:eastAsia="zh-CN"/>
        </w:rPr>
        <w:t>在合同签订到部署完成期间</w:t>
      </w:r>
      <w:r>
        <w:rPr>
          <w:rFonts w:hint="eastAsia" w:ascii="仿宋_GB2312" w:hAnsi="仿宋_GB2312" w:eastAsia="仿宋_GB2312" w:cs="仿宋_GB2312"/>
        </w:rPr>
        <w:t>为本项目安排至少1名技术</w:t>
      </w:r>
      <w:r>
        <w:rPr>
          <w:rFonts w:hint="eastAsia" w:ascii="仿宋_GB2312" w:hAnsi="仿宋_GB2312" w:eastAsia="仿宋_GB2312" w:cs="仿宋_GB2312"/>
          <w:lang w:eastAsia="zh-CN"/>
        </w:rPr>
        <w:t>负责人</w:t>
      </w:r>
      <w:r>
        <w:rPr>
          <w:rFonts w:hint="eastAsia" w:ascii="仿宋_GB2312" w:hAnsi="仿宋_GB2312" w:eastAsia="仿宋_GB2312" w:cs="仿宋_GB2312"/>
        </w:rPr>
        <w:t>、</w:t>
      </w:r>
      <w:r>
        <w:rPr>
          <w:rFonts w:hint="eastAsia" w:ascii="仿宋_GB2312" w:hAnsi="仿宋_GB2312" w:eastAsia="仿宋_GB2312" w:cs="仿宋_GB2312"/>
          <w:lang w:val="en-US" w:eastAsia="zh-CN"/>
        </w:rPr>
        <w:t>2</w:t>
      </w:r>
      <w:r>
        <w:rPr>
          <w:rFonts w:hint="eastAsia" w:ascii="仿宋_GB2312" w:hAnsi="仿宋_GB2312" w:eastAsia="仿宋_GB2312" w:cs="仿宋_GB2312"/>
        </w:rPr>
        <w:t>名</w:t>
      </w:r>
      <w:r>
        <w:rPr>
          <w:rFonts w:hint="eastAsia" w:ascii="仿宋_GB2312" w:hAnsi="仿宋_GB2312" w:eastAsia="仿宋_GB2312" w:cs="仿宋_GB2312"/>
          <w:lang w:eastAsia="zh-CN"/>
        </w:rPr>
        <w:t>实施</w:t>
      </w:r>
      <w:r>
        <w:rPr>
          <w:rFonts w:hint="eastAsia" w:ascii="仿宋_GB2312" w:hAnsi="仿宋_GB2312" w:eastAsia="仿宋_GB2312" w:cs="仿宋_GB2312"/>
        </w:rPr>
        <w:t>工程师、</w:t>
      </w:r>
      <w:r>
        <w:rPr>
          <w:rFonts w:hint="eastAsia" w:ascii="仿宋_GB2312" w:hAnsi="仿宋_GB2312" w:eastAsia="仿宋_GB2312" w:cs="仿宋_GB2312"/>
          <w:lang w:val="en-US" w:eastAsia="zh-CN"/>
        </w:rPr>
        <w:t>若干名</w:t>
      </w:r>
      <w:r>
        <w:rPr>
          <w:rFonts w:hint="eastAsia" w:ascii="仿宋_GB2312" w:hAnsi="仿宋_GB2312" w:eastAsia="仿宋_GB2312" w:cs="仿宋_GB2312"/>
        </w:rPr>
        <w:t>工程师，全程配合开展所购设备及相关配置工作</w:t>
      </w:r>
      <w:r>
        <w:rPr>
          <w:rFonts w:hint="eastAsia" w:ascii="仿宋_GB2312" w:hAnsi="仿宋_GB2312" w:eastAsia="仿宋_GB2312" w:cs="仿宋_GB2312"/>
          <w:lang w:eastAsia="zh-CN"/>
        </w:rPr>
        <w:t>，保障项目的顺利实施</w:t>
      </w:r>
      <w:r>
        <w:rPr>
          <w:rFonts w:hint="eastAsia" w:ascii="仿宋_GB2312" w:hAnsi="仿宋_GB2312" w:eastAsia="仿宋_GB2312" w:cs="仿宋_GB2312"/>
        </w:rPr>
        <w:t>。</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在服务期间，中标人须组成专门的项目服务团队，指定项目经理。项目经理由一名具有专业知识的资深管理人员出任，负责整个项目组的项目运作及工作安排、调度和协调。项目经理作为与采购人的接口负责本项目的项目管理，统筹相关工作，项目监督与情况汇报，控制工作质量，执行变更和应急情况管理，并根据实际情况调整服务方人员安排，以保证此项目的正常高效运作。技术服务工程师需具有丰富实施的技术支持和售后服务的实践经验，具有很强的专业技术水平。服务工作结束后，须提交项目总结报告，由采购人进行评估验收。</w:t>
      </w:r>
    </w:p>
    <w:p>
      <w:pPr>
        <w:pStyle w:val="8"/>
        <w:ind w:firstLine="480" w:firstLineChars="200"/>
        <w:rPr>
          <w:rFonts w:hint="default" w:ascii="仿宋_GB2312" w:hAnsi="仿宋_GB2312" w:eastAsia="仿宋_GB2312" w:cs="仿宋_GB2312"/>
          <w:lang w:val="en-US" w:eastAsia="en-US"/>
        </w:rPr>
      </w:pPr>
      <w:r>
        <w:rPr>
          <w:rFonts w:hint="eastAsia" w:ascii="仿宋_GB2312" w:hAnsi="仿宋_GB2312" w:eastAsia="仿宋_GB2312" w:cs="仿宋_GB2312"/>
          <w:lang w:val="en-US" w:eastAsia="en-US"/>
        </w:rPr>
        <w:t>2.针对本项目配备的项目经理（1人）：具有3年或以上信息系统集成或服务器相关项目工作经验，具有计算机技术与软件专业技术资格证书中的信息系统项目管理师证书。</w:t>
      </w:r>
    </w:p>
    <w:p>
      <w:pPr>
        <w:pStyle w:val="8"/>
        <w:ind w:firstLine="480" w:firstLineChars="200"/>
        <w:rPr>
          <w:rFonts w:hint="default" w:ascii="仿宋_GB2312" w:hAnsi="仿宋_GB2312" w:eastAsia="仿宋_GB2312" w:cs="仿宋_GB2312"/>
          <w:lang w:val="en-US" w:eastAsia="en-US"/>
        </w:rPr>
      </w:pPr>
      <w:r>
        <w:rPr>
          <w:rFonts w:hint="eastAsia" w:ascii="仿宋_GB2312" w:hAnsi="仿宋_GB2312" w:eastAsia="仿宋_GB2312" w:cs="仿宋_GB2312"/>
          <w:lang w:val="en-US" w:eastAsia="en-US"/>
        </w:rPr>
        <w:t>3.针对本项目配备的技术负责人（1人）和实施工程师（2人）：具有服务器生产厂家或认证机构颁发的相关服务器认证证书，或具有云产品相关平台/计算/存储认证证书，技术负责人应具有2年或以上信息系统集成或服务器相关项目工作经验。</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中标人应配合采购人进行人员管理，服务人员要服从招标人的管理。</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 xml:space="preserve">服务地点由招标人指定，中标人和实施人服务往返交通方式及费用、食宿费、办公电脑由中标人自行负责。 </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团队全部人员必须为投标人单位正式职工，提供上述相关人员身份证复印件、简历、劳动合同，并提供最近12个月的任意一个月的社保缴纳证明并加盖投标人公章。</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采购人如认为中标人的项目组成员达不到要求，有权要求中标人更换，中标人必须负责在1周之内调换符合采购人要求的项目成员。提供承诺函加盖投标人公章。</w:t>
      </w:r>
    </w:p>
    <w:p>
      <w:pPr>
        <w:pStyle w:val="8"/>
        <w:ind w:firstLine="480" w:firstLineChars="200"/>
        <w:rPr>
          <w:rFonts w:hint="eastAsia" w:ascii="仿宋_GB2312" w:hAnsi="仿宋_GB2312" w:eastAsia="仿宋_GB2312" w:cs="仿宋_GB2312"/>
          <w:sz w:val="24"/>
          <w:szCs w:val="20"/>
          <w:lang w:val="en-US" w:eastAsia="zh-CN"/>
        </w:rPr>
      </w:pPr>
      <w:r>
        <w:rPr>
          <w:rFonts w:hint="eastAsia" w:ascii="仿宋_GB2312" w:hAnsi="仿宋_GB2312" w:eastAsia="仿宋_GB2312" w:cs="仿宋_GB2312"/>
          <w:lang w:eastAsia="zh-CN"/>
        </w:rPr>
        <w:t>中标人原则上不允许更换人员，如特殊情况需要调整项目组成员的，应提前1周书面通知采购人，并获得采购人的确认后才能安排调整，且更换的人员必须具有同等或以上级别和实施经验，并且做好项目交接和资料回收工作；人员搭配应合理，并满足项目实施的要求。提供承诺函加盖投标人公章。</w:t>
      </w:r>
    </w:p>
    <w:p>
      <w:pPr>
        <w:pStyle w:val="9"/>
        <w:ind w:firstLine="280" w:firstLineChars="100"/>
        <w:rPr>
          <w:rFonts w:hint="default"/>
          <w:lang w:val="en-US" w:eastAsia="zh-CN"/>
        </w:rPr>
      </w:pPr>
      <w:r>
        <w:rPr>
          <w:rFonts w:hint="eastAsia" w:ascii="仿宋_GB2312" w:hAnsi="仿宋_GB2312" w:eastAsia="仿宋_GB2312" w:cs="仿宋_GB2312"/>
          <w:sz w:val="28"/>
          <w:szCs w:val="28"/>
          <w:lang w:val="en-US" w:eastAsia="zh-CN"/>
        </w:rPr>
        <w:t xml:space="preserve">  </w:t>
      </w:r>
    </w:p>
    <w:p>
      <w:pPr>
        <w:pStyle w:val="2"/>
        <w:bidi w:val="0"/>
        <w:outlineLvl w:val="1"/>
        <w:rPr>
          <w:rFonts w:ascii="FangSong_GB2312" w:hAnsi="FangSong_GB2312" w:eastAsia="FangSong_GB2312" w:cs="FangSong_GB2312"/>
          <w:sz w:val="28"/>
          <w:szCs w:val="28"/>
        </w:rPr>
      </w:pPr>
      <w:bookmarkStart w:id="144" w:name="_Toc3149"/>
      <w:bookmarkStart w:id="145" w:name="_Toc19917"/>
      <w:bookmarkStart w:id="146" w:name="_Toc23077"/>
      <w:bookmarkStart w:id="147" w:name="_Toc14527"/>
      <w:bookmarkStart w:id="148" w:name="_Toc30602"/>
      <w:bookmarkStart w:id="149" w:name="_Toc2225"/>
      <w:bookmarkStart w:id="150" w:name="_Toc30677"/>
      <w:bookmarkStart w:id="151" w:name="_Toc26592"/>
      <w:bookmarkStart w:id="152" w:name="_Toc29524"/>
      <w:bookmarkStart w:id="153" w:name="_Toc5223"/>
      <w:bookmarkStart w:id="154" w:name="_Toc16749"/>
      <w:bookmarkStart w:id="155" w:name="_Toc13344"/>
      <w:bookmarkStart w:id="156" w:name="_Toc8047"/>
      <w:bookmarkStart w:id="157" w:name="_Toc15820"/>
      <w:r>
        <w:rPr>
          <w:rFonts w:hint="eastAsia" w:ascii="仿宋_GB2312" w:hAnsi="仿宋_GB2312" w:eastAsia="仿宋_GB2312" w:cs="仿宋_GB2312"/>
          <w:kern w:val="36"/>
          <w:sz w:val="28"/>
          <w:szCs w:val="28"/>
          <w:lang w:val="en-US" w:eastAsia="zh-CN"/>
        </w:rPr>
        <w:t>3.4</w:t>
      </w:r>
      <w:r>
        <w:rPr>
          <w:rFonts w:ascii="仿宋_GB2312" w:hAnsi="仿宋_GB2312" w:eastAsia="仿宋_GB2312" w:cs="仿宋_GB2312"/>
          <w:kern w:val="36"/>
          <w:sz w:val="28"/>
          <w:szCs w:val="28"/>
        </w:rPr>
        <w:t>管理实施要求</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21"/>
        <w:spacing w:before="0" w:after="0" w:line="360" w:lineRule="auto"/>
        <w:ind w:firstLine="64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0"/>
          <w:lang w:eastAsia="zh-CN"/>
        </w:rPr>
        <w:t>投标人应成立项目组，严格遵守本项目管控的要求。基于成熟的项目管理方法论，制订完善的项目管理制度、流程，合理划分项目管理的阶段，在项目执行过程中对项目进行规范化管理，确保项</w:t>
      </w:r>
      <w:r>
        <w:rPr>
          <w:rFonts w:hint="eastAsia" w:ascii="仿宋_GB2312" w:hAnsi="仿宋_GB2312" w:eastAsia="仿宋_GB2312" w:cs="仿宋_GB2312"/>
          <w:color w:val="auto"/>
          <w:sz w:val="24"/>
          <w:szCs w:val="24"/>
        </w:rPr>
        <w:t>目进度和质量。</w:t>
      </w:r>
    </w:p>
    <w:p>
      <w:pPr>
        <w:pStyle w:val="21"/>
        <w:spacing w:before="0" w:after="0" w:line="360" w:lineRule="auto"/>
        <w:ind w:firstLine="64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在本技术需求书中出现不合理或不完整等可能影响项目实施的问题，中标人有责任和义务提出补充修改方案并征得招标人同意后付诸实施，招标人不再另行支付任何费用。其他未尽事宜，由中标人与招标人协商。</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（1）中标人须遵循采购人的各项规章制度，工作时间不得从事任何与工作无关的事情。未经采购人事先书面同意，中标</w:t>
      </w:r>
      <w:r>
        <w:rPr>
          <w:rFonts w:hint="eastAsia" w:ascii="仿宋_GB2312" w:hAnsi="仿宋_GB2312" w:eastAsia="仿宋_GB2312" w:cs="仿宋_GB2312"/>
          <w:sz w:val="24"/>
          <w:szCs w:val="24"/>
        </w:rPr>
        <w:t>人不得将由采购人为本项目提供的条文、规格、计划、样品或资料提供给与本项目无关的任何第三方，不得将其用于履行本项目之外的其它用途。即使向与履行本项目有关的人员提供，也应注</w:t>
      </w:r>
      <w:r>
        <w:rPr>
          <w:rFonts w:hint="eastAsia" w:ascii="仿宋_GB2312" w:hAnsi="仿宋_GB2312" w:eastAsia="仿宋_GB2312" w:cs="仿宋_GB2312"/>
        </w:rPr>
        <w:t>意保密并限于履行项目所必需的范围。</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（2）除了项目本身之外，上款所列举的任何物件均是采购人的财产。如果采购人有要求，中标人在完成项目后应将这些物件及全部复制件还给采购人。</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3）技术支持过程中至中标人正式向采购人交付文档资料时止，中标人应采取措施对本项目过程中的数据、源代码、技术文档等资料保密，否则，由于中标人过错导致的上述资料泄密的，中标人需承担相应法律责任。</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（4）项目中所涉及的双方的内部资料、数据、业务流程、工作规范和开发过程中产生的文档记录以及其它商业信息，双方均有责任承担保密义务。未经对方许可，任何一方不得以任何形式向其他方泄露。</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（5）中标人保证自身及其工作人员对在服务过程中所了解、知悉的采购人或相关单位的政府信息不得对外泄露，否则应付全部法律责任。</w:t>
      </w:r>
    </w:p>
    <w:p>
      <w:pPr>
        <w:pStyle w:val="21"/>
        <w:spacing w:before="0" w:after="0" w:line="360" w:lineRule="auto"/>
        <w:ind w:firstLine="480" w:firstLineChars="200"/>
        <w:textAlignment w:val="baseline"/>
        <w:rPr>
          <w:rFonts w:hint="eastAsia" w:ascii="宋体" w:hAnsi="宋体" w:eastAsia="宋体" w:cs="宋体"/>
          <w:color w:val="auto"/>
          <w:sz w:val="24"/>
          <w:szCs w:val="24"/>
        </w:rPr>
      </w:pPr>
      <w:r>
        <w:rPr>
          <w:rFonts w:hint="eastAsia" w:ascii="仿宋_GB2312" w:hAnsi="仿宋_GB2312" w:eastAsia="仿宋_GB2312" w:cs="仿宋_GB2312"/>
        </w:rPr>
        <w:t>（6）所有使用设备和工具应经过安全检测、避免出现安全漏洞和隐患。</w:t>
      </w:r>
    </w:p>
    <w:p>
      <w:pPr>
        <w:pStyle w:val="2"/>
        <w:bidi w:val="0"/>
        <w:outlineLvl w:val="1"/>
        <w:rPr>
          <w:rFonts w:hint="eastAsia" w:ascii="FangSong_GB2312" w:hAnsi="FangSong_GB2312" w:eastAsia="FangSong_GB2312" w:cs="FangSong_GB2312"/>
          <w:sz w:val="28"/>
          <w:szCs w:val="28"/>
          <w:lang w:eastAsia="zh-CN"/>
        </w:rPr>
      </w:pPr>
      <w:bookmarkStart w:id="158" w:name="_Toc30546"/>
      <w:bookmarkStart w:id="159" w:name="_Toc10115"/>
      <w:bookmarkStart w:id="160" w:name="_Toc19625"/>
      <w:bookmarkStart w:id="161" w:name="_Toc26236"/>
      <w:bookmarkStart w:id="162" w:name="_Toc4104"/>
      <w:bookmarkStart w:id="163" w:name="_Toc1850"/>
      <w:bookmarkStart w:id="164" w:name="_Toc32327"/>
      <w:bookmarkStart w:id="165" w:name="_Toc12097"/>
      <w:bookmarkStart w:id="166" w:name="_Toc6394"/>
      <w:bookmarkStart w:id="167" w:name="_Toc24187"/>
      <w:bookmarkStart w:id="168" w:name="_Toc21701"/>
      <w:bookmarkStart w:id="169" w:name="_Toc8932"/>
      <w:bookmarkStart w:id="170" w:name="_Toc15213"/>
      <w:bookmarkStart w:id="171" w:name="_Toc1391"/>
      <w:r>
        <w:rPr>
          <w:rFonts w:hint="eastAsia" w:ascii="仿宋_GB2312" w:hAnsi="仿宋_GB2312" w:eastAsia="仿宋_GB2312" w:cs="仿宋_GB2312"/>
          <w:kern w:val="36"/>
          <w:sz w:val="28"/>
          <w:szCs w:val="28"/>
          <w:lang w:val="en-US" w:eastAsia="zh-CN"/>
        </w:rPr>
        <w:t>3.5</w:t>
      </w:r>
      <w:r>
        <w:rPr>
          <w:rFonts w:ascii="仿宋_GB2312" w:hAnsi="仿宋_GB2312" w:eastAsia="仿宋_GB2312" w:cs="仿宋_GB2312"/>
          <w:kern w:val="36"/>
          <w:sz w:val="28"/>
          <w:szCs w:val="28"/>
        </w:rPr>
        <w:t>风险管控要求</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spacing w:line="360" w:lineRule="auto"/>
        <w:ind w:firstLine="48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中标人应做好项目实施风险的管控工作，包括并不限于安全风险管理、进度风险管理及质量风险管理，确保如期高质量完成项目工作。</w:t>
      </w:r>
      <w:r>
        <w:rPr>
          <w:rFonts w:hint="eastAsia" w:ascii="仿宋_GB2312" w:hAnsi="仿宋_GB2312" w:eastAsia="仿宋_GB2312" w:cs="仿宋_GB2312"/>
          <w:sz w:val="24"/>
          <w:szCs w:val="24"/>
          <w:lang w:val="en-US" w:eastAsia="zh-CN"/>
        </w:rPr>
        <w:t xml:space="preserve">   </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中标人提供的货物/服务不符合采购文件、本合同要求的，采购人有权拒收并要求中标人进行整改，并且采购人保留要求中标人支付本合同总价5%的违约金的权利；中标人超过5日整改或者整改后仍不符合要求的，采购人有权解除合同并要求中标人支付合同总价30%的违约金，中标人造成采购人损失的，仍应承担全部的赔偿责任。</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2.中标人未能按本合同规定的时间提供货物/服务，从逾期之日起每日按本合同总价</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‰的</w:t>
      </w:r>
      <w:r>
        <w:rPr>
          <w:rFonts w:hint="eastAsia" w:ascii="仿宋_GB2312" w:hAnsi="仿宋_GB2312" w:eastAsia="仿宋_GB2312" w:cs="仿宋_GB2312"/>
          <w:lang w:eastAsia="zh-CN"/>
        </w:rPr>
        <w:t>数额向采购人支付违约金；逾期15天及以上的，采购人有权终止合同，双方按已提供服务的期限及内容结算服务费后，中标人向采购人支付本合同总额30%的违约金，由此造成的采购人经济损失由中标人承担，包括但不限于采购人委托第三方处理产生的费用等。</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3.中标人未按约定的要求提供服务，引发重要基础系统出现故障（不可抗力因素除外），导致全省范围内业务中断，持续时间超过4小时，中标人须按照合同总价款的10%向采购人支付违约金，给采购人造成损失的，中标人需承担赔偿责任。若后续事故未能在24小时内解决，或者类似事故一个月内发生2次以上，采购人有权解除本合同，并且不予支付合同尾款。</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4.甲方逾期付款，每日按应付未付款的万分之一向乙方偿付违约金，违约金总额累计       不超过合同总金额的5%。</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乙方不得另行开发本合同业务需求范围内、供纳税人(或缴费人)使用的软件,如有违反，甲方将乙方纳入税务系统信息化服务商失信名单。</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6.</w:t>
      </w:r>
      <w:r>
        <w:rPr>
          <w:rFonts w:hint="eastAsia" w:ascii="仿宋_GB2312" w:hAnsi="仿宋_GB2312" w:eastAsia="仿宋_GB2312" w:cs="仿宋_GB2312"/>
          <w:lang w:eastAsia="zh-CN"/>
        </w:rPr>
        <w:t>乙方应建立防止违法违规聘用离职税务人员的风险控制制度。乙方违法违规聘用离职税务人员的，甲方有权视情况采取以下一项或多项措施：</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ab/>
      </w:r>
      <w:r>
        <w:rPr>
          <w:rFonts w:hint="eastAsia" w:ascii="仿宋_GB2312" w:hAnsi="仿宋_GB2312" w:eastAsia="仿宋_GB2312" w:cs="仿宋_GB2312"/>
          <w:lang w:eastAsia="zh-CN"/>
        </w:rPr>
        <w:t>①甲方要求乙方限期改正；</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ab/>
      </w:r>
      <w:r>
        <w:rPr>
          <w:rFonts w:hint="eastAsia" w:ascii="仿宋_GB2312" w:hAnsi="仿宋_GB2312" w:eastAsia="仿宋_GB2312" w:cs="仿宋_GB2312"/>
          <w:lang w:eastAsia="zh-CN"/>
        </w:rPr>
        <w:t>②乙方按合同总价10%的数额向甲方支付违约金；</w:t>
      </w:r>
    </w:p>
    <w:p>
      <w:pPr>
        <w:spacing w:line="360" w:lineRule="auto"/>
        <w:ind w:firstLine="720" w:firstLineChars="300"/>
        <w:rPr>
          <w:rFonts w:hint="eastAsia" w:ascii="仿宋_GB2312" w:hAnsi="仿宋_GB2312" w:eastAsia="仿宋_GB2312" w:cs="仿宋_GB2312"/>
          <w:lang w:eastAsia="zh-CN"/>
        </w:rPr>
      </w:pPr>
      <w:r>
        <w:rPr>
          <w:rFonts w:hint="eastAsia" w:ascii="仿宋_GB2312" w:hAnsi="仿宋_GB2312" w:eastAsia="仿宋_GB2312" w:cs="仿宋_GB2312"/>
          <w:lang w:eastAsia="zh-CN"/>
        </w:rPr>
        <w:t>③甲方有权解除部分或全部合同。</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7.乙方需保证所提供服务的正常运作，如出现纳税人投诉或相关部门反馈监督意见等情形的，每出现一次乙方需支付本合同总额1%违约金，并赔偿甲方遭受的损失。</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8.如乙方存在违背保密协议或廉政协议约定义务的行为，甲方有权解除合同，乙方须一次性支付本合同总额30%的违约金，由此造成的甲方经济损失由乙方承担。</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9.乙方因违反本合同约定所需承担的违约金、赔偿金等，甲方有权直接于应付款中予以扣除，如不足以抵扣的乙方须赔偿补足。</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10.本合同履行过程中一方违约的，违约方应赔偿守约方的损失，包括但不限于律师费、诉讼/仲裁费、公证费、差旅费、保全费、担保保函费等费用。</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11.</w:t>
      </w:r>
      <w:r>
        <w:rPr>
          <w:rFonts w:hint="eastAsia" w:ascii="仿宋_GB2312" w:hAnsi="仿宋_GB2312" w:eastAsia="仿宋_GB2312" w:cs="仿宋_GB2312"/>
          <w:lang w:eastAsia="zh-CN"/>
        </w:rPr>
        <w:t>其它违约责任按《中华人民共和国民法典》处理。</w:t>
      </w:r>
    </w:p>
    <w:p>
      <w:pPr>
        <w:pStyle w:val="2"/>
        <w:bidi w:val="0"/>
        <w:outlineLvl w:val="1"/>
        <w:rPr>
          <w:rFonts w:ascii="仿宋_GB2312" w:hAnsi="仿宋_GB2312" w:eastAsia="仿宋_GB2312" w:cs="仿宋_GB2312"/>
          <w:b/>
          <w:bCs/>
          <w:sz w:val="28"/>
          <w:szCs w:val="28"/>
        </w:rPr>
      </w:pPr>
      <w:bookmarkStart w:id="172" w:name="_Toc10183"/>
      <w:bookmarkStart w:id="173" w:name="_Toc4554"/>
      <w:bookmarkStart w:id="174" w:name="_Toc18732"/>
      <w:bookmarkStart w:id="175" w:name="_Toc22756"/>
      <w:bookmarkStart w:id="176" w:name="_Toc4543"/>
      <w:bookmarkStart w:id="177" w:name="_Toc9864"/>
      <w:bookmarkStart w:id="178" w:name="_Toc48"/>
      <w:bookmarkStart w:id="179" w:name="_Toc6178"/>
      <w:bookmarkStart w:id="180" w:name="_Toc18531"/>
      <w:bookmarkStart w:id="181" w:name="_Toc21474"/>
      <w:bookmarkStart w:id="182" w:name="_Toc4421"/>
      <w:bookmarkStart w:id="183" w:name="_Toc6392"/>
      <w:bookmarkStart w:id="184" w:name="_Toc12940"/>
      <w:bookmarkStart w:id="185" w:name="_Toc14014"/>
      <w:r>
        <w:rPr>
          <w:rFonts w:hint="eastAsia" w:ascii="仿宋_GB2312" w:hAnsi="仿宋_GB2312" w:eastAsia="仿宋_GB2312" w:cs="仿宋_GB2312"/>
          <w:kern w:val="36"/>
          <w:sz w:val="28"/>
          <w:szCs w:val="28"/>
          <w:lang w:val="en-US" w:eastAsia="zh-CN"/>
        </w:rPr>
        <w:t>3.6</w:t>
      </w:r>
      <w:r>
        <w:rPr>
          <w:rFonts w:ascii="仿宋_GB2312" w:hAnsi="仿宋_GB2312" w:eastAsia="仿宋_GB2312" w:cs="仿宋_GB2312"/>
          <w:kern w:val="36"/>
          <w:sz w:val="28"/>
          <w:szCs w:val="28"/>
        </w:rPr>
        <w:t>履约验收要求</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合同签订后，在合同约定时间内完成设备的供货和安装部署。完成后中标人应提供以下资料进行验收：设备到场开箱检查表、设备移交清单、安装部署报告、测试及试运行报告、用户手册或硬件使用维护说明书、验收技术评审表、原厂维保服务（含介质保留服务）证明文件。</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1.交付验收标准依次序对照适用标准为：①符合中华人民共和国国家安全质量标准、环保标准或行业标准；②符合招标文件和响应承诺中甲方认可的合理最佳配置、参数及各项要求；③货物来源国官方标准。</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2.进口产品必须具备原产地证明和商检局的检验证明及合法进货渠道证明。</w:t>
      </w:r>
    </w:p>
    <w:p>
      <w:pPr>
        <w:spacing w:line="360" w:lineRule="auto"/>
        <w:ind w:firstLine="480" w:firstLineChars="200"/>
        <w:rPr>
          <w:rFonts w:hint="eastAsia" w:eastAsia="仿宋_GB2312"/>
          <w:lang w:eastAsia="zh"/>
        </w:rPr>
      </w:pPr>
      <w:r>
        <w:rPr>
          <w:rFonts w:hint="eastAsia" w:ascii="仿宋_GB2312" w:hAnsi="仿宋_GB2312" w:eastAsia="仿宋_GB2312" w:cs="仿宋_GB2312"/>
          <w:szCs w:val="20"/>
          <w:lang w:eastAsia="zh-CN"/>
        </w:rPr>
        <w:t>3.货物为原厂商未启封全新包装，具出厂合格证，序列号、包装箱号与出厂批号一致，并可追索查阅。所有随设备的附件必须齐全。</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4.乙方应将关键主机设备的用户手册、保修手册、有关单证资料及配备件、随机工具等交付给甲方，使用操作及安全须知等重要资料应附有中文说明。</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5.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pPr>
        <w:pStyle w:val="2"/>
        <w:bidi w:val="0"/>
        <w:outlineLvl w:val="1"/>
        <w:rPr>
          <w:rFonts w:ascii="仿宋_GB2312" w:hAnsi="仿宋_GB2312" w:eastAsia="仿宋_GB2312" w:cs="仿宋_GB2312"/>
          <w:b/>
          <w:bCs/>
          <w:sz w:val="28"/>
          <w:szCs w:val="28"/>
        </w:rPr>
      </w:pPr>
      <w:bookmarkStart w:id="186" w:name="_Toc23285"/>
      <w:bookmarkStart w:id="187" w:name="_Toc20459"/>
      <w:bookmarkStart w:id="188" w:name="_Toc6678"/>
      <w:bookmarkStart w:id="189" w:name="_Toc4864"/>
      <w:bookmarkStart w:id="190" w:name="_Toc15605"/>
      <w:bookmarkStart w:id="191" w:name="_Toc10343"/>
      <w:bookmarkStart w:id="192" w:name="_Toc1872"/>
      <w:bookmarkStart w:id="193" w:name="_Toc32010"/>
      <w:bookmarkStart w:id="194" w:name="_Toc31822"/>
      <w:bookmarkStart w:id="195" w:name="_Toc27946"/>
      <w:bookmarkStart w:id="196" w:name="_Toc86"/>
      <w:bookmarkStart w:id="197" w:name="_Toc25859"/>
      <w:bookmarkStart w:id="198" w:name="_Toc28180"/>
      <w:bookmarkStart w:id="199" w:name="_Toc25177"/>
      <w:r>
        <w:rPr>
          <w:rFonts w:hint="eastAsia" w:ascii="仿宋_GB2312" w:hAnsi="仿宋_GB2312" w:eastAsia="仿宋_GB2312" w:cs="仿宋_GB2312"/>
          <w:kern w:val="36"/>
          <w:sz w:val="28"/>
          <w:szCs w:val="28"/>
          <w:lang w:val="en-US" w:eastAsia="zh-CN"/>
        </w:rPr>
        <w:t xml:space="preserve">3.7 </w:t>
      </w:r>
      <w:r>
        <w:rPr>
          <w:rFonts w:ascii="仿宋_GB2312" w:hAnsi="仿宋_GB2312" w:eastAsia="仿宋_GB2312" w:cs="仿宋_GB2312"/>
          <w:i w:val="0"/>
          <w:iCs w:val="0"/>
          <w:sz w:val="28"/>
          <w:szCs w:val="28"/>
        </w:rPr>
        <w:t>通用必备要求</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spacing w:before="0" w:after="0" w:line="360" w:lineRule="auto"/>
        <w:ind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eastAsia="zh-CN"/>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spacing w:before="0" w:after="0" w:line="360" w:lineRule="auto"/>
        <w:ind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eastAsia="zh-CN"/>
        </w:rPr>
        <w:t xml:space="preserve">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 </w:t>
      </w:r>
    </w:p>
    <w:p>
      <w:pPr>
        <w:spacing w:before="0" w:after="0" w:line="360" w:lineRule="auto"/>
        <w:ind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eastAsia="zh-CN"/>
        </w:rPr>
        <w:t xml:space="preserve">3.本项目中如涉及国家强制性产品认证证书（CCC 认证证书）、电信设备进网许可证、无线电发射设备核准证等市场准入类资质的，应严格执行国家相关法律法规的要求。 </w:t>
      </w:r>
    </w:p>
    <w:p>
      <w:pPr>
        <w:spacing w:before="0" w:after="0" w:line="360" w:lineRule="auto"/>
        <w:ind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eastAsia="zh-CN"/>
        </w:rPr>
        <w:t>以上相关要求，由供应商在响应时应答，在履约验收中，采购人将按照采购文件、中标/成交供应商响应文件、采购合同等对中标/成交供应商提供的货物和服务进行验收，必要时依法依规开展相应检测、认证。</w:t>
      </w:r>
    </w:p>
    <w:p>
      <w:pPr>
        <w:pStyle w:val="2"/>
        <w:bidi w:val="0"/>
        <w:outlineLvl w:val="1"/>
        <w:rPr>
          <w:rFonts w:hint="eastAsia" w:ascii="仿宋_GB2312" w:hAnsi="仿宋_GB2312" w:eastAsia="仿宋_GB2312" w:cs="仿宋_GB2312"/>
          <w:sz w:val="28"/>
          <w:szCs w:val="28"/>
          <w:lang w:val="en-US" w:eastAsia="zh-CN"/>
        </w:rPr>
      </w:pPr>
      <w:bookmarkStart w:id="200" w:name="_Toc27363"/>
      <w:bookmarkStart w:id="201" w:name="_Toc29055"/>
      <w:bookmarkStart w:id="202" w:name="_Toc13634"/>
      <w:bookmarkStart w:id="203" w:name="_Toc5664"/>
      <w:bookmarkStart w:id="204" w:name="_Toc27617"/>
      <w:bookmarkStart w:id="205" w:name="_Toc15889"/>
      <w:bookmarkStart w:id="206" w:name="_Toc10235"/>
      <w:bookmarkStart w:id="207" w:name="_Toc13573"/>
      <w:bookmarkStart w:id="208" w:name="_Toc7073"/>
      <w:bookmarkStart w:id="209" w:name="_Toc16744"/>
      <w:bookmarkStart w:id="210" w:name="_Toc14202"/>
      <w:bookmarkStart w:id="211" w:name="_Toc18051"/>
      <w:bookmarkStart w:id="212" w:name="_Toc1702"/>
      <w:bookmarkStart w:id="213" w:name="_Toc3770"/>
      <w:bookmarkStart w:id="214" w:name="_Toc22626"/>
      <w:r>
        <w:rPr>
          <w:rFonts w:hint="eastAsia" w:ascii="仿宋_GB2312" w:hAnsi="仿宋_GB2312" w:eastAsia="仿宋_GB2312" w:cs="仿宋_GB2312"/>
          <w:sz w:val="28"/>
          <w:szCs w:val="28"/>
          <w:lang w:val="en-US" w:eastAsia="zh-CN"/>
        </w:rPr>
        <w:t>3.8税务信息化服务商廉政相关要求</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spacing w:before="0" w:after="0" w:line="360" w:lineRule="auto"/>
        <w:ind w:firstLine="480" w:firstLineChars="200"/>
        <w:rPr>
          <w:rFonts w:hint="eastAsia" w:ascii="仿宋_GB2312" w:hAnsi="仿宋_GB2312" w:eastAsia="仿宋_GB2312" w:cs="仿宋_GB2312"/>
          <w:sz w:val="24"/>
          <w:szCs w:val="20"/>
          <w:lang w:val="en-US" w:eastAsia="zh-CN"/>
        </w:rPr>
      </w:pPr>
      <w:r>
        <w:rPr>
          <w:rFonts w:hint="eastAsia" w:ascii="仿宋_GB2312" w:hAnsi="仿宋_GB2312" w:eastAsia="仿宋_GB2312" w:cs="仿宋_GB2312"/>
          <w:sz w:val="24"/>
          <w:szCs w:val="20"/>
          <w:lang w:val="en-US" w:eastAsia="zh-CN"/>
        </w:rPr>
        <w:t>税务信息化服务商应严格遵守并落实《税务信息化服务商廉政相关要求》。</w:t>
      </w:r>
    </w:p>
    <w:p>
      <w:pPr>
        <w:spacing w:before="0" w:after="0" w:line="360" w:lineRule="auto"/>
        <w:ind w:left="0" w:leftChars="0"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val="en-US" w:eastAsia="zh-CN"/>
        </w:rPr>
        <w:t>税务信息化服务商在中标（成交）后需签署《税务信息化项目服务商廉洁承诺书》，并提交至采购人项目实施单位。</w:t>
      </w:r>
    </w:p>
    <w:p>
      <w:pPr>
        <w:spacing w:line="360" w:lineRule="auto"/>
        <w:ind w:firstLine="478" w:firstLineChars="17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highlight w:val="none"/>
          <w:lang w:val="en-US" w:eastAsia="zh-CN"/>
        </w:rPr>
        <w:t>税务信息</w:t>
      </w:r>
      <w:r>
        <w:rPr>
          <w:rFonts w:hint="eastAsia" w:ascii="仿宋_GB2312" w:hAnsi="仿宋_GB2312" w:eastAsia="仿宋_GB2312" w:cs="仿宋_GB2312"/>
          <w:color w:val="auto"/>
          <w:sz w:val="24"/>
          <w:szCs w:val="20"/>
          <w:highlight w:val="none"/>
          <w:lang w:val="en-US" w:eastAsia="zh-CN"/>
        </w:rPr>
        <w:t>化项目终验前，服务商需</w:t>
      </w:r>
      <w:r>
        <w:rPr>
          <w:rFonts w:hint="eastAsia" w:ascii="仿宋_GB2312" w:hAnsi="仿宋_GB2312" w:eastAsia="仿宋_GB2312" w:cs="仿宋_GB2312"/>
          <w:i w:val="0"/>
          <w:caps w:val="0"/>
          <w:color w:val="auto"/>
          <w:spacing w:val="0"/>
          <w:sz w:val="24"/>
          <w:szCs w:val="20"/>
          <w:highlight w:val="none"/>
          <w:lang w:eastAsia="zh-CN"/>
        </w:rPr>
        <w:t>向</w:t>
      </w:r>
      <w:r>
        <w:rPr>
          <w:rFonts w:hint="eastAsia" w:ascii="仿宋_GB2312" w:hAnsi="仿宋_GB2312" w:eastAsia="仿宋_GB2312" w:cs="仿宋_GB2312"/>
          <w:i w:val="0"/>
          <w:caps w:val="0"/>
          <w:spacing w:val="0"/>
          <w:sz w:val="24"/>
          <w:szCs w:val="20"/>
          <w:lang w:eastAsia="zh-CN"/>
        </w:rPr>
        <w:t>采购人</w:t>
      </w:r>
      <w:r>
        <w:rPr>
          <w:rFonts w:hint="eastAsia" w:ascii="仿宋_GB2312" w:hAnsi="仿宋_GB2312" w:eastAsia="仿宋_GB2312" w:cs="仿宋_GB2312"/>
          <w:i w:val="0"/>
          <w:caps w:val="0"/>
          <w:color w:val="auto"/>
          <w:spacing w:val="0"/>
          <w:sz w:val="24"/>
          <w:szCs w:val="20"/>
          <w:highlight w:val="none"/>
          <w:lang w:eastAsia="zh-CN"/>
        </w:rPr>
        <w:t>提交《</w:t>
      </w:r>
      <w:r>
        <w:rPr>
          <w:rFonts w:hint="eastAsia" w:ascii="仿宋_GB2312" w:hAnsi="仿宋_GB2312" w:eastAsia="仿宋_GB2312" w:cs="仿宋_GB2312"/>
          <w:color w:val="auto"/>
          <w:sz w:val="24"/>
          <w:szCs w:val="20"/>
          <w:highlight w:val="none"/>
          <w:lang w:val="en-US" w:eastAsia="zh-CN"/>
        </w:rPr>
        <w:t>税务信息化项目服务商廉政反馈书</w:t>
      </w:r>
      <w:r>
        <w:rPr>
          <w:rFonts w:hint="eastAsia" w:ascii="仿宋_GB2312" w:hAnsi="仿宋_GB2312" w:eastAsia="仿宋_GB2312" w:cs="仿宋_GB2312"/>
          <w:i w:val="0"/>
          <w:caps w:val="0"/>
          <w:color w:val="auto"/>
          <w:spacing w:val="0"/>
          <w:sz w:val="24"/>
          <w:szCs w:val="20"/>
          <w:highlight w:val="none"/>
          <w:lang w:eastAsia="zh-CN"/>
        </w:rPr>
        <w:t>》。</w:t>
      </w:r>
    </w:p>
    <w:p>
      <w:pPr>
        <w:pStyle w:val="2"/>
        <w:bidi w:val="0"/>
        <w:outlineLvl w:val="1"/>
        <w:rPr>
          <w:rFonts w:ascii="仿宋_GB2312" w:hAnsi="仿宋_GB2312" w:eastAsia="仿宋_GB2312" w:cs="仿宋_GB2312"/>
          <w:sz w:val="28"/>
          <w:szCs w:val="28"/>
        </w:rPr>
      </w:pPr>
      <w:bookmarkStart w:id="215" w:name="_Toc12957"/>
      <w:bookmarkStart w:id="216" w:name="_Toc18392"/>
      <w:bookmarkStart w:id="217" w:name="_Toc31745"/>
      <w:bookmarkStart w:id="218" w:name="_Toc23592"/>
      <w:bookmarkStart w:id="219" w:name="_Toc10585"/>
      <w:bookmarkStart w:id="220" w:name="_Toc23385"/>
      <w:bookmarkStart w:id="221" w:name="_Toc14823"/>
      <w:bookmarkStart w:id="222" w:name="_Toc15521"/>
      <w:bookmarkStart w:id="223" w:name="_Toc7123"/>
      <w:bookmarkStart w:id="224" w:name="_Toc8246"/>
      <w:bookmarkStart w:id="225" w:name="_Toc9575"/>
      <w:bookmarkStart w:id="226" w:name="_Toc26270"/>
      <w:bookmarkStart w:id="227" w:name="_Toc203"/>
      <w:bookmarkStart w:id="228" w:name="_Toc9401"/>
      <w:r>
        <w:rPr>
          <w:rFonts w:hint="eastAsia" w:ascii="仿宋_GB2312" w:hAnsi="仿宋_GB2312" w:eastAsia="仿宋_GB2312" w:cs="仿宋_GB2312"/>
          <w:i w:val="0"/>
          <w:iCs w:val="0"/>
          <w:lang w:val="en-US" w:eastAsia="zh-CN"/>
        </w:rPr>
        <w:t>3.9</w:t>
      </w:r>
      <w:r>
        <w:rPr>
          <w:rFonts w:ascii="仿宋_GB2312" w:hAnsi="仿宋_GB2312" w:eastAsia="仿宋_GB2312" w:cs="仿宋_GB2312"/>
          <w:sz w:val="28"/>
          <w:szCs w:val="28"/>
        </w:rPr>
        <w:t>保密要求</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采购人与中标人的保密协议将于合同签署时生效，有效期为本协议签订之日起至本协议终止之日后满五年。</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中标人人员须遵循采购人的各项规章制度，工作时间不得从事任何与工作无关的事情。未经采购人事先书面同意，中标人不得将由采购人为本合同提供的条文、规格、计划、样品或资料提供给与本合同无关的任何第三方，不得将其用于履行本合同之外的其它用途。即使向与履行本合同有关的人员提供，也应注意保密并限于履行合同所必需的范围。</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不得将由中标人向采购人提供的产品技术方案、技术指标、计算机软件、数据库、研究开发记录、技术报告、检测报告、实验数据、试验结果、操作手册、技术文档等技术资料，以及采购人所知悉的中标人经营策略、客户名单、采购资料、定价政策、财务资料、进货渠道等商业信息提供给与本合同无关的任何单位或个人。</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除了合同本身之外，上款所列举的任何物件均是采购人的财产。如果采购人有要求，中标人在完成合同后应将这些物件及全部复制件还给采购人。</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项目中所涉及的双方的内部资料、数据、业务流程、工作规范和开发过程中产生的文档记录以及其它商业信息，双方均有责任承担保密义务。未经对方许可，任何一方不得以任何形式向其他方泄露。</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中标人保证中标人及其工作人员对在服务过程中所了解、知悉的采购人或相关单位的政府信息不得对外泄露，否则应付全部法律责任。</w:t>
      </w:r>
    </w:p>
    <w:p/>
    <w:p>
      <w:pPr>
        <w:pStyle w:val="2"/>
        <w:bidi w:val="0"/>
        <w:outlineLvl w:val="1"/>
        <w:rPr>
          <w:rFonts w:ascii="仿宋_GB2312" w:hAnsi="仿宋_GB2312" w:eastAsia="仿宋_GB2312" w:cs="仿宋_GB2312"/>
          <w:sz w:val="28"/>
          <w:szCs w:val="28"/>
        </w:rPr>
      </w:pPr>
      <w:bookmarkStart w:id="229" w:name="_Toc19658"/>
      <w:bookmarkStart w:id="230" w:name="_Toc2432"/>
      <w:bookmarkStart w:id="231" w:name="_Toc4619"/>
      <w:bookmarkStart w:id="232" w:name="_Toc1999"/>
      <w:bookmarkStart w:id="233" w:name="_Toc5461"/>
      <w:bookmarkStart w:id="234" w:name="_Toc5278"/>
      <w:bookmarkStart w:id="235" w:name="_Toc3594"/>
      <w:bookmarkStart w:id="236" w:name="_Toc25537"/>
      <w:bookmarkStart w:id="237" w:name="_Toc12632"/>
      <w:bookmarkStart w:id="238" w:name="_Toc15583"/>
      <w:bookmarkStart w:id="239" w:name="_Toc31228"/>
      <w:bookmarkStart w:id="240" w:name="_Toc31300"/>
      <w:bookmarkStart w:id="241" w:name="_Toc9192"/>
      <w:bookmarkStart w:id="242" w:name="_Toc29020"/>
      <w:r>
        <w:rPr>
          <w:rFonts w:hint="eastAsia" w:ascii="仿宋_GB2312" w:hAnsi="仿宋_GB2312" w:eastAsia="仿宋_GB2312" w:cs="仿宋_GB2312"/>
          <w:sz w:val="28"/>
          <w:szCs w:val="28"/>
          <w:lang w:val="en-US" w:eastAsia="zh-CN"/>
        </w:rPr>
        <w:t>3.10</w:t>
      </w:r>
      <w:r>
        <w:rPr>
          <w:rFonts w:ascii="仿宋_GB2312" w:hAnsi="仿宋_GB2312" w:eastAsia="仿宋_GB2312" w:cs="仿宋_GB2312"/>
          <w:sz w:val="28"/>
          <w:szCs w:val="28"/>
        </w:rPr>
        <w:t>知识产权要求</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1.中标人在服务过程中产生的所有技术资料、提交件的知识产权归采购人所有。</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2.中标人交付给采购人的成果不得侵犯第三方的合法权益。如果采购人因使用本项目成果或其中一部分而被第三方起诉侵犯其专利权、商标权或其它知识产权，中标人将依法承担相应的法律责任。</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3.中标人为执行本合同而提供的与本合同无关的单位或个人的技术资料、软件、工具及中标人已有知识产权产品的使用权归采购人所有。</w:t>
      </w:r>
    </w:p>
    <w:p>
      <w:pPr>
        <w:pStyle w:val="8"/>
        <w:rPr>
          <w:rFonts w:hint="eastAsia"/>
          <w:lang w:eastAsia="zh-CN"/>
        </w:rPr>
      </w:pPr>
    </w:p>
    <w:p>
      <w:pPr>
        <w:pStyle w:val="5"/>
        <w:bidi w:val="0"/>
        <w:outlineLvl w:val="0"/>
      </w:pPr>
      <w:bookmarkStart w:id="243" w:name="_Toc24294"/>
      <w:r>
        <w:rPr>
          <w:rFonts w:hint="eastAsia"/>
          <w:lang w:val="en-US" w:eastAsia="zh-CN"/>
        </w:rPr>
        <w:t>第四章 采购要求</w:t>
      </w:r>
      <w:bookmarkEnd w:id="243"/>
    </w:p>
    <w:p>
      <w:pPr>
        <w:pStyle w:val="2"/>
        <w:bidi w:val="0"/>
        <w:outlineLvl w:val="1"/>
        <w:rPr>
          <w:rFonts w:hint="eastAsia" w:ascii="仿宋_GB2312" w:hAnsi="仿宋_GB2312" w:eastAsia="仿宋_GB2312" w:cs="仿宋_GB2312"/>
          <w:i w:val="0"/>
          <w:iCs w:val="0"/>
          <w:lang w:val="en-US" w:eastAsia="zh-CN"/>
        </w:rPr>
      </w:pPr>
      <w:bookmarkStart w:id="244" w:name="_Toc29278"/>
      <w:bookmarkStart w:id="245" w:name="_Toc17589"/>
      <w:bookmarkStart w:id="246" w:name="_Toc5712"/>
      <w:bookmarkStart w:id="247" w:name="_Toc271"/>
      <w:bookmarkStart w:id="248" w:name="_Toc9704"/>
      <w:bookmarkStart w:id="249" w:name="_Toc19726"/>
      <w:bookmarkStart w:id="250" w:name="_Toc25021"/>
      <w:bookmarkStart w:id="251" w:name="_Toc18626"/>
      <w:bookmarkStart w:id="252" w:name="_Toc11314"/>
      <w:bookmarkStart w:id="253" w:name="_Toc1232"/>
      <w:bookmarkStart w:id="254" w:name="_Toc30235"/>
      <w:bookmarkStart w:id="255" w:name="_Toc5340"/>
      <w:bookmarkStart w:id="256" w:name="_Toc31468"/>
      <w:bookmarkStart w:id="257" w:name="_Toc24700"/>
      <w:r>
        <w:rPr>
          <w:rFonts w:hint="eastAsia" w:ascii="仿宋_GB2312" w:hAnsi="仿宋_GB2312" w:eastAsia="仿宋_GB2312" w:cs="仿宋_GB2312"/>
          <w:i w:val="0"/>
          <w:iCs w:val="0"/>
          <w:lang w:val="en-US" w:eastAsia="zh-CN"/>
        </w:rPr>
        <w:t>4.1采购方式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8"/>
        <w:ind w:firstLine="480" w:firstLineChars="200"/>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公开招标</w:t>
      </w:r>
    </w:p>
    <w:p>
      <w:pPr>
        <w:pStyle w:val="2"/>
        <w:bidi w:val="0"/>
        <w:outlineLvl w:val="1"/>
        <w:rPr>
          <w:rFonts w:hint="eastAsia" w:ascii="仿宋_GB2312" w:hAnsi="仿宋_GB2312" w:eastAsia="仿宋_GB2312" w:cs="仿宋_GB2312"/>
          <w:i w:val="0"/>
          <w:iCs w:val="0"/>
          <w:lang w:val="en-US" w:eastAsia="zh-CN"/>
        </w:rPr>
      </w:pPr>
      <w:bookmarkStart w:id="258" w:name="_Toc32213"/>
      <w:bookmarkStart w:id="259" w:name="_Toc10763"/>
      <w:bookmarkStart w:id="260" w:name="_Toc2623"/>
      <w:bookmarkStart w:id="261" w:name="_Toc17304"/>
      <w:bookmarkStart w:id="262" w:name="_Toc8793"/>
      <w:bookmarkStart w:id="263" w:name="_Toc9294"/>
      <w:bookmarkStart w:id="264" w:name="_Toc28787"/>
      <w:bookmarkStart w:id="265" w:name="_Toc13639"/>
      <w:bookmarkStart w:id="266" w:name="_Toc5823"/>
      <w:bookmarkStart w:id="267" w:name="_Toc7683"/>
      <w:bookmarkStart w:id="268" w:name="_Toc455"/>
      <w:bookmarkStart w:id="269" w:name="_Toc3246"/>
      <w:bookmarkStart w:id="270" w:name="_Toc24282"/>
      <w:bookmarkStart w:id="271" w:name="_Toc7285"/>
      <w:r>
        <w:rPr>
          <w:rFonts w:hint="eastAsia" w:ascii="仿宋_GB2312" w:hAnsi="仿宋_GB2312" w:eastAsia="仿宋_GB2312" w:cs="仿宋_GB2312"/>
          <w:i w:val="0"/>
          <w:iCs w:val="0"/>
          <w:lang w:val="en-US" w:eastAsia="zh-CN"/>
        </w:rPr>
        <w:t>4.2采购预算</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spacing w:line="360" w:lineRule="auto"/>
        <w:ind w:firstLine="48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4285.53万元</w:t>
      </w:r>
    </w:p>
    <w:p>
      <w:pPr>
        <w:pStyle w:val="2"/>
        <w:bidi w:val="0"/>
        <w:outlineLvl w:val="1"/>
        <w:rPr>
          <w:rFonts w:hint="eastAsia" w:ascii="仿宋_GB2312" w:hAnsi="仿宋_GB2312" w:eastAsia="仿宋_GB2312" w:cs="仿宋_GB2312"/>
          <w:i w:val="0"/>
          <w:iCs w:val="0"/>
          <w:lang w:val="en-US" w:eastAsia="zh-CN"/>
        </w:rPr>
      </w:pPr>
      <w:r>
        <w:rPr>
          <w:rFonts w:hint="eastAsia" w:ascii="仿宋_GB2312" w:hAnsi="仿宋_GB2312" w:eastAsia="仿宋_GB2312" w:cs="仿宋_GB2312"/>
          <w:i w:val="0"/>
          <w:iCs w:val="0"/>
          <w:lang w:val="en-US" w:eastAsia="zh-CN"/>
        </w:rPr>
        <w:t>4.3</w:t>
      </w:r>
      <w:bookmarkStart w:id="272" w:name="_Toc4522"/>
      <w:bookmarkStart w:id="273" w:name="_Toc2269"/>
      <w:bookmarkStart w:id="274" w:name="_Toc18724"/>
      <w:bookmarkStart w:id="275" w:name="_Toc1132"/>
      <w:bookmarkStart w:id="276" w:name="_Toc19545"/>
      <w:bookmarkStart w:id="277" w:name="_Toc20768"/>
      <w:bookmarkStart w:id="278" w:name="_Toc16514"/>
      <w:bookmarkStart w:id="279" w:name="_Toc11033"/>
      <w:bookmarkStart w:id="280" w:name="_Toc7777"/>
      <w:bookmarkStart w:id="281" w:name="_Toc23087"/>
      <w:bookmarkStart w:id="282" w:name="_Toc19964"/>
      <w:bookmarkStart w:id="283" w:name="_Toc15523"/>
      <w:bookmarkStart w:id="284" w:name="_Toc12747"/>
      <w:r>
        <w:rPr>
          <w:rFonts w:hint="eastAsia" w:ascii="仿宋_GB2312" w:hAnsi="仿宋_GB2312" w:eastAsia="仿宋_GB2312" w:cs="仿宋_GB2312"/>
          <w:i w:val="0"/>
          <w:iCs w:val="0"/>
          <w:lang w:val="en-US" w:eastAsia="zh-CN"/>
        </w:rPr>
        <w:t>实施时间要求</w:t>
      </w:r>
      <w:bookmarkEnd w:id="272"/>
      <w:bookmarkEnd w:id="273"/>
      <w:bookmarkEnd w:id="274"/>
      <w:bookmarkEnd w:id="275"/>
      <w:bookmarkEnd w:id="276"/>
      <w:bookmarkEnd w:id="277"/>
      <w:bookmarkEnd w:id="278"/>
      <w:bookmarkEnd w:id="279"/>
      <w:bookmarkEnd w:id="280"/>
      <w:bookmarkEnd w:id="281"/>
      <w:bookmarkEnd w:id="282"/>
      <w:bookmarkEnd w:id="283"/>
      <w:bookmarkEnd w:id="284"/>
    </w:p>
    <w:p>
      <w:pPr>
        <w:spacing w:before="0" w:after="0" w:line="360" w:lineRule="auto"/>
        <w:ind w:firstLine="480" w:firstLineChars="200"/>
        <w:rPr>
          <w:rFonts w:hint="default"/>
          <w:lang w:val="en-US" w:eastAsia="zh-CN"/>
        </w:rPr>
      </w:pPr>
      <w:r>
        <w:rPr>
          <w:rFonts w:hint="eastAsia" w:ascii="仿宋_GB2312" w:hAnsi="仿宋_GB2312" w:eastAsia="仿宋_GB2312" w:cs="仿宋_GB2312"/>
          <w:sz w:val="24"/>
          <w:szCs w:val="24"/>
        </w:rPr>
        <w:t>自签订合同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天内</w:t>
      </w:r>
      <w:r>
        <w:rPr>
          <w:rFonts w:hint="eastAsia" w:ascii="仿宋_GB2312" w:hAnsi="仿宋_GB2312" w:eastAsia="仿宋_GB2312" w:cs="仿宋_GB2312"/>
          <w:sz w:val="24"/>
          <w:szCs w:val="24"/>
        </w:rPr>
        <w:t>，完成设备到货；设备到货</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日内完成设备的上架、按照招标人要求完成配置等工作；</w:t>
      </w:r>
      <w:r>
        <w:rPr>
          <w:rFonts w:hint="eastAsia" w:ascii="仿宋_GB2312" w:hAnsi="仿宋_GB2312" w:eastAsia="仿宋_GB2312" w:cs="仿宋_GB2312"/>
        </w:rPr>
        <w:t>安装部署</w:t>
      </w:r>
      <w:r>
        <w:rPr>
          <w:rFonts w:hint="eastAsia" w:ascii="仿宋_GB2312" w:hAnsi="仿宋_GB2312" w:eastAsia="仿宋_GB2312" w:cs="仿宋_GB2312"/>
          <w:sz w:val="24"/>
          <w:szCs w:val="24"/>
          <w:lang w:eastAsia="zh-CN"/>
        </w:rPr>
        <w:t>实施</w:t>
      </w:r>
      <w:r>
        <w:rPr>
          <w:rFonts w:hint="eastAsia" w:ascii="仿宋_GB2312" w:hAnsi="仿宋_GB2312" w:eastAsia="仿宋_GB2312" w:cs="仿宋_GB2312"/>
        </w:rPr>
        <w:t>完成并通过验收后进入为期</w:t>
      </w:r>
      <w:r>
        <w:rPr>
          <w:rFonts w:hint="eastAsia" w:ascii="仿宋_GB2312" w:hAnsi="仿宋_GB2312" w:eastAsia="仿宋_GB2312" w:cs="仿宋_GB2312"/>
          <w:lang w:eastAsia="zh-CN"/>
        </w:rPr>
        <w:t>三</w:t>
      </w:r>
      <w:r>
        <w:rPr>
          <w:rFonts w:hint="eastAsia" w:ascii="仿宋_GB2312" w:hAnsi="仿宋_GB2312" w:eastAsia="仿宋_GB2312" w:cs="仿宋_GB2312"/>
        </w:rPr>
        <w:t>年的质保期。</w:t>
      </w:r>
    </w:p>
    <w:p>
      <w:pPr>
        <w:pStyle w:val="2"/>
        <w:bidi w:val="0"/>
        <w:outlineLvl w:val="1"/>
        <w:rPr>
          <w:rFonts w:hint="eastAsia" w:ascii="仿宋_GB2312" w:hAnsi="仿宋_GB2312" w:eastAsia="仿宋_GB2312" w:cs="仿宋_GB2312"/>
          <w:i w:val="0"/>
          <w:iCs w:val="0"/>
          <w:lang w:val="en-US" w:eastAsia="zh-CN"/>
        </w:rPr>
      </w:pPr>
      <w:bookmarkStart w:id="285" w:name="_Toc6963"/>
      <w:r>
        <w:rPr>
          <w:rFonts w:hint="eastAsia" w:ascii="仿宋_GB2312" w:hAnsi="仿宋_GB2312" w:eastAsia="仿宋_GB2312" w:cs="仿宋_GB2312"/>
          <w:i w:val="0"/>
          <w:iCs w:val="0"/>
          <w:lang w:val="en-US" w:eastAsia="zh-CN"/>
        </w:rPr>
        <w:t>4.4验收标准</w:t>
      </w:r>
      <w:bookmarkEnd w:id="285"/>
    </w:p>
    <w:p>
      <w:pPr>
        <w:spacing w:line="360" w:lineRule="auto"/>
        <w:ind w:firstLine="561"/>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1.本项目验收依据国家税务总局广东省税务局信息化项目管理相关要求、招标文件要求、中标人投标文件及承诺、本项目合同约定标准进行验收。</w:t>
      </w:r>
    </w:p>
    <w:p>
      <w:pPr>
        <w:spacing w:line="360" w:lineRule="auto"/>
        <w:ind w:firstLine="561"/>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2.符合验收条件后由中标人提出验收申请，由采购人给出验收资料需求清单，中标人按清单准备好验收资料后由采购人和中标人共同完成验收。</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lang w:val="en-US" w:eastAsia="zh-CN"/>
        </w:rPr>
      </w:pPr>
      <w:r>
        <w:rPr>
          <w:rFonts w:hint="eastAsia" w:ascii="仿宋_GB2312" w:hAnsi="仿宋_GB2312" w:eastAsia="仿宋_GB2312" w:cs="仿宋_GB2312"/>
          <w:sz w:val="24"/>
          <w:szCs w:val="24"/>
          <w:lang w:val="en-US" w:eastAsia="zh-CN" w:bidi="ar-SA"/>
        </w:rPr>
        <w:t>3.本项目验收内容包括到货开箱检验、安装调试验收、试运行测试、质保和维保服务等。</w:t>
      </w:r>
    </w:p>
    <w:p>
      <w:pPr>
        <w:pStyle w:val="2"/>
        <w:bidi w:val="0"/>
        <w:outlineLvl w:val="1"/>
        <w:rPr>
          <w:rFonts w:ascii="仿宋_GB2312" w:hAnsi="仿宋_GB2312" w:eastAsia="仿宋_GB2312" w:cs="仿宋_GB2312"/>
          <w:b/>
          <w:bCs/>
          <w:sz w:val="28"/>
          <w:szCs w:val="28"/>
        </w:rPr>
      </w:pPr>
      <w:bookmarkStart w:id="286" w:name="_Toc15707"/>
      <w:bookmarkStart w:id="287" w:name="_Toc25606"/>
      <w:bookmarkStart w:id="288" w:name="_Toc19650"/>
      <w:bookmarkStart w:id="289" w:name="_Toc10602"/>
      <w:bookmarkStart w:id="290" w:name="_Toc11546"/>
      <w:bookmarkStart w:id="291" w:name="_Toc15118"/>
      <w:bookmarkStart w:id="292" w:name="_Toc10197"/>
      <w:bookmarkStart w:id="293" w:name="_Toc18921"/>
      <w:bookmarkStart w:id="294" w:name="_Toc7346"/>
      <w:bookmarkStart w:id="295" w:name="_Toc8595"/>
      <w:bookmarkStart w:id="296" w:name="_Toc27848"/>
      <w:bookmarkStart w:id="297" w:name="_Toc10264"/>
      <w:bookmarkStart w:id="298" w:name="_Toc18683"/>
      <w:bookmarkStart w:id="299" w:name="_Toc32175"/>
      <w:r>
        <w:rPr>
          <w:rFonts w:hint="eastAsia" w:ascii="仿宋_GB2312" w:hAnsi="仿宋_GB2312" w:eastAsia="仿宋_GB2312" w:cs="仿宋_GB2312"/>
          <w:i w:val="0"/>
          <w:iCs w:val="0"/>
          <w:lang w:val="en-US" w:eastAsia="zh-CN"/>
        </w:rPr>
        <w:t>4.5</w:t>
      </w:r>
      <w:r>
        <w:rPr>
          <w:rFonts w:ascii="仿宋_GB2312" w:hAnsi="仿宋_GB2312" w:eastAsia="仿宋_GB2312" w:cs="仿宋_GB2312"/>
          <w:i w:val="0"/>
          <w:iCs w:val="0"/>
        </w:rPr>
        <w:t>付款安排</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bl>
      <w:tblPr>
        <w:tblStyle w:val="15"/>
        <w:tblW w:w="5000" w:type="pct"/>
        <w:tblInd w:w="30" w:type="dxa"/>
        <w:tblLayout w:type="autofit"/>
        <w:tblCellMar>
          <w:top w:w="15" w:type="dxa"/>
          <w:left w:w="15" w:type="dxa"/>
          <w:bottom w:w="15" w:type="dxa"/>
          <w:right w:w="15" w:type="dxa"/>
        </w:tblCellMar>
      </w:tblPr>
      <w:tblGrid>
        <w:gridCol w:w="1881"/>
        <w:gridCol w:w="5642"/>
        <w:gridCol w:w="1881"/>
      </w:tblGrid>
      <w:tr>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color w:val="000000"/>
                <w:sz w:val="21"/>
                <w:szCs w:val="21"/>
              </w:rPr>
              <w:t>在签订合同后，收到等额发票后的</w:t>
            </w:r>
            <w:r>
              <w:rPr>
                <w:rFonts w:hint="eastAsia" w:ascii="仿宋_GB2312" w:hAnsi="仿宋_GB2312" w:eastAsia="仿宋_GB2312" w:cs="仿宋_GB2312"/>
                <w:color w:val="000000"/>
                <w:sz w:val="21"/>
                <w:szCs w:val="21"/>
                <w:lang w:eastAsia="zh-CN"/>
              </w:rPr>
              <w:t>1</w:t>
            </w:r>
            <w:r>
              <w:rPr>
                <w:rFonts w:hint="eastAsia" w:ascii="仿宋_GB2312" w:hAnsi="仿宋_GB2312" w:eastAsia="仿宋_GB2312" w:cs="仿宋_GB2312"/>
                <w:color w:val="000000"/>
                <w:sz w:val="21"/>
                <w:szCs w:val="21"/>
              </w:rPr>
              <w:t>0天内，支付合同总价的</w:t>
            </w:r>
            <w:r>
              <w:rPr>
                <w:rFonts w:hint="eastAsia" w:ascii="仿宋_GB2312" w:hAnsi="仿宋_GB2312" w:eastAsia="仿宋_GB2312" w:cs="仿宋_GB2312"/>
                <w:color w:val="000000"/>
                <w:sz w:val="21"/>
                <w:szCs w:val="21"/>
                <w:lang w:eastAsia="zh"/>
              </w:rPr>
              <w:t>3</w:t>
            </w:r>
            <w:r>
              <w:rPr>
                <w:rFonts w:hint="eastAsia" w:ascii="仿宋_GB2312" w:hAnsi="仿宋_GB2312" w:eastAsia="仿宋_GB2312" w:cs="仿宋_GB2312"/>
                <w:color w:val="000000"/>
                <w:sz w:val="21"/>
                <w:szCs w:val="21"/>
              </w:rPr>
              <w:t>0%</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b w:val="0"/>
                <w:bCs w:val="0"/>
                <w:i w:val="0"/>
                <w:iCs w:val="0"/>
                <w:smallCaps w:val="0"/>
                <w:color w:val="000000"/>
                <w:sz w:val="21"/>
                <w:szCs w:val="21"/>
                <w:lang w:val="en-US" w:eastAsia="zh"/>
              </w:rPr>
              <w:t>3</w:t>
            </w:r>
            <w:r>
              <w:rPr>
                <w:rFonts w:hint="eastAsia" w:ascii="仿宋_GB2312" w:hAnsi="仿宋_GB2312" w:eastAsia="仿宋_GB2312" w:cs="仿宋_GB2312"/>
                <w:b w:val="0"/>
                <w:bCs w:val="0"/>
                <w:i w:val="0"/>
                <w:iCs w:val="0"/>
                <w:smallCaps w:val="0"/>
                <w:color w:val="000000"/>
                <w:sz w:val="21"/>
                <w:szCs w:val="21"/>
                <w:lang w:val="en-US" w:eastAsia="zh-CN"/>
              </w:rPr>
              <w:t>0</w:t>
            </w:r>
            <w:r>
              <w:rPr>
                <w:rFonts w:ascii="仿宋_GB2312" w:hAnsi="仿宋_GB2312" w:eastAsia="仿宋_GB2312" w:cs="仿宋_GB2312"/>
                <w:b w:val="0"/>
                <w:bCs w:val="0"/>
                <w:i w:val="0"/>
                <w:iCs w:val="0"/>
                <w:smallCaps w:val="0"/>
                <w:color w:val="000000"/>
                <w:sz w:val="21"/>
                <w:szCs w:val="21"/>
              </w:rPr>
              <w:t>.0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eastAsia="zh-CN"/>
              </w:rPr>
              <w:t>第</w:t>
            </w:r>
            <w:r>
              <w:rPr>
                <w:rFonts w:hint="eastAsia" w:ascii="仿宋_GB2312" w:hAnsi="仿宋_GB2312" w:eastAsia="仿宋_GB2312" w:cs="仿宋_GB2312"/>
                <w:b w:val="0"/>
                <w:bCs w:val="0"/>
                <w:i w:val="0"/>
                <w:iCs w:val="0"/>
                <w:smallCaps w:val="0"/>
                <w:color w:val="000000"/>
                <w:sz w:val="21"/>
                <w:szCs w:val="21"/>
                <w:lang w:val="en-US" w:eastAsia="zh-CN"/>
              </w:rPr>
              <w:t>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b w:val="0"/>
                <w:bCs w:val="0"/>
                <w:i w:val="0"/>
                <w:iCs w:val="0"/>
                <w:smallCaps w:val="0"/>
                <w:color w:val="000000"/>
                <w:sz w:val="21"/>
                <w:szCs w:val="21"/>
              </w:rPr>
              <w:t>货物全部到达安装现场，</w:t>
            </w:r>
            <w:r>
              <w:rPr>
                <w:rFonts w:hint="eastAsia" w:ascii="仿宋_GB2312" w:hAnsi="仿宋_GB2312" w:eastAsia="仿宋_GB2312" w:cs="仿宋_GB2312"/>
                <w:b w:val="0"/>
                <w:bCs w:val="0"/>
                <w:i w:val="0"/>
                <w:iCs w:val="0"/>
                <w:smallCaps w:val="0"/>
                <w:color w:val="000000"/>
                <w:sz w:val="21"/>
                <w:szCs w:val="21"/>
                <w:lang w:val="en-US" w:eastAsia="zh-CN"/>
              </w:rPr>
              <w:t>并完成部署实施和</w:t>
            </w:r>
            <w:r>
              <w:rPr>
                <w:rFonts w:hint="eastAsia" w:ascii="仿宋_GB2312" w:hAnsi="仿宋_GB2312" w:eastAsia="仿宋_GB2312" w:cs="仿宋_GB2312"/>
                <w:b w:val="0"/>
                <w:bCs w:val="0"/>
                <w:i w:val="0"/>
                <w:iCs w:val="0"/>
                <w:smallCaps w:val="0"/>
                <w:color w:val="000000"/>
                <w:sz w:val="21"/>
                <w:szCs w:val="21"/>
                <w:lang w:val="en-US" w:eastAsia="zh"/>
              </w:rPr>
              <w:t>45</w:t>
            </w:r>
            <w:r>
              <w:rPr>
                <w:rFonts w:hint="eastAsia" w:ascii="仿宋_GB2312" w:hAnsi="仿宋_GB2312" w:eastAsia="仿宋_GB2312" w:cs="仿宋_GB2312"/>
                <w:b w:val="0"/>
                <w:bCs w:val="0"/>
                <w:i w:val="0"/>
                <w:iCs w:val="0"/>
                <w:smallCaps w:val="0"/>
                <w:color w:val="000000"/>
                <w:sz w:val="21"/>
                <w:szCs w:val="21"/>
                <w:highlight w:val="none"/>
                <w:lang w:val="en-US" w:eastAsia="zh"/>
              </w:rPr>
              <w:t>天</w:t>
            </w:r>
            <w:r>
              <w:rPr>
                <w:rFonts w:hint="eastAsia" w:ascii="仿宋_GB2312" w:hAnsi="仿宋_GB2312" w:eastAsia="仿宋_GB2312" w:cs="仿宋_GB2312"/>
                <w:b w:val="0"/>
                <w:bCs w:val="0"/>
                <w:i w:val="0"/>
                <w:iCs w:val="0"/>
                <w:smallCaps w:val="0"/>
                <w:color w:val="000000"/>
                <w:sz w:val="21"/>
                <w:szCs w:val="21"/>
                <w:highlight w:val="none"/>
                <w:lang w:val="en-US" w:eastAsia="zh-CN"/>
              </w:rPr>
              <w:t>试运行</w:t>
            </w:r>
            <w:r>
              <w:rPr>
                <w:rFonts w:hint="eastAsia" w:ascii="仿宋_GB2312" w:hAnsi="仿宋_GB2312" w:eastAsia="仿宋_GB2312" w:cs="仿宋_GB2312"/>
                <w:b w:val="0"/>
                <w:bCs w:val="0"/>
                <w:i w:val="0"/>
                <w:iCs w:val="0"/>
                <w:smallCaps w:val="0"/>
                <w:color w:val="000000"/>
                <w:sz w:val="21"/>
                <w:szCs w:val="21"/>
                <w:lang w:eastAsia="zh-CN"/>
              </w:rPr>
              <w:t>后</w:t>
            </w:r>
            <w:r>
              <w:rPr>
                <w:rFonts w:hint="eastAsia" w:ascii="仿宋_GB2312" w:hAnsi="仿宋_GB2312" w:eastAsia="仿宋_GB2312" w:cs="仿宋_GB2312"/>
                <w:color w:val="000000"/>
                <w:sz w:val="21"/>
                <w:szCs w:val="21"/>
              </w:rPr>
              <w:t xml:space="preserve">，收到等额发票后的 10 个工作日内，支付合同总价的 </w:t>
            </w:r>
            <w:r>
              <w:rPr>
                <w:rFonts w:hint="eastAsia" w:ascii="仿宋_GB2312" w:hAnsi="仿宋_GB2312" w:eastAsia="仿宋_GB2312" w:cs="仿宋_GB2312"/>
                <w:color w:val="000000"/>
                <w:sz w:val="21"/>
                <w:szCs w:val="21"/>
                <w:lang w:eastAsia="zh"/>
              </w:rPr>
              <w:t>5</w:t>
            </w:r>
            <w:r>
              <w:rPr>
                <w:rFonts w:hint="eastAsia" w:ascii="仿宋_GB2312" w:hAnsi="仿宋_GB2312" w:eastAsia="仿宋_GB2312" w:cs="仿宋_GB2312"/>
                <w:color w:val="000000"/>
                <w:sz w:val="21"/>
                <w:szCs w:val="21"/>
              </w:rPr>
              <w:t>0%。</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val="en-US" w:eastAsia="zh-CN"/>
              </w:rPr>
              <w:t>50.0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eastAsia="zh-CN"/>
              </w:rPr>
              <w:t>第</w:t>
            </w:r>
            <w:r>
              <w:rPr>
                <w:rFonts w:hint="eastAsia" w:ascii="仿宋_GB2312" w:hAnsi="仿宋_GB2312" w:eastAsia="仿宋_GB2312" w:cs="仿宋_GB2312"/>
                <w:b w:val="0"/>
                <w:bCs w:val="0"/>
                <w:i w:val="0"/>
                <w:iCs w:val="0"/>
                <w:smallCaps w:val="0"/>
                <w:color w:val="000000"/>
                <w:sz w:val="21"/>
                <w:szCs w:val="21"/>
                <w:lang w:val="en-US" w:eastAsia="zh-CN"/>
              </w:rPr>
              <w:t>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color w:val="000000"/>
                <w:sz w:val="21"/>
                <w:szCs w:val="21"/>
              </w:rPr>
              <w:t xml:space="preserve">项目验收通过后，收到等额发票后的 10 个工作日内，支付合同总价的 </w:t>
            </w:r>
            <w:r>
              <w:rPr>
                <w:rFonts w:hint="eastAsia" w:ascii="仿宋_GB2312" w:hAnsi="仿宋_GB2312" w:eastAsia="仿宋_GB2312" w:cs="仿宋_GB2312"/>
                <w:color w:val="000000"/>
                <w:sz w:val="21"/>
                <w:szCs w:val="21"/>
                <w:lang w:eastAsia="zh"/>
              </w:rPr>
              <w:t>2</w:t>
            </w:r>
            <w:r>
              <w:rPr>
                <w:rFonts w:hint="eastAsia" w:ascii="仿宋_GB2312" w:hAnsi="仿宋_GB2312" w:eastAsia="仿宋_GB2312" w:cs="仿宋_GB2312"/>
                <w:color w:val="000000"/>
                <w:sz w:val="21"/>
                <w:szCs w:val="21"/>
              </w:rPr>
              <w:t>0%。</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val="en-US" w:eastAsia="zh"/>
              </w:rPr>
              <w:t>2</w:t>
            </w:r>
            <w:r>
              <w:rPr>
                <w:rFonts w:hint="eastAsia" w:ascii="仿宋_GB2312" w:hAnsi="仿宋_GB2312" w:eastAsia="仿宋_GB2312" w:cs="仿宋_GB2312"/>
                <w:b w:val="0"/>
                <w:bCs w:val="0"/>
                <w:i w:val="0"/>
                <w:iCs w:val="0"/>
                <w:smallCaps w:val="0"/>
                <w:color w:val="000000"/>
                <w:sz w:val="21"/>
                <w:szCs w:val="21"/>
                <w:lang w:val="en-US" w:eastAsia="zh-CN"/>
              </w:rPr>
              <w:t>0.0</w:t>
            </w:r>
          </w:p>
        </w:tc>
      </w:tr>
    </w:tbl>
    <w:p>
      <w:pPr>
        <w:pStyle w:val="14"/>
        <w:rPr>
          <w:rFonts w:hint="eastAsia"/>
          <w:lang w:val="en-US" w:eastAsia="zh-CN"/>
        </w:rPr>
      </w:pPr>
    </w:p>
    <w:sectPr>
      <w:footerReference r:id="rId3"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360" w:lineRule="auto"/>
      <w:jc w:val="center"/>
    </w:pPr>
    <w:r>
      <w:fldChar w:fldCharType="begin"/>
    </w:r>
    <w:r>
      <w:instrText xml:space="preserve"> PAGE </w:instrText>
    </w:r>
    <w:r>
      <w:fldChar w:fldCharType="separate"/>
    </w:r>
    <w:r>
      <w:t>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77B3E"/>
    <w:rsid w:val="00AF55ED"/>
    <w:rsid w:val="00CA2A55"/>
    <w:rsid w:val="01AF2F2A"/>
    <w:rsid w:val="02B30E9C"/>
    <w:rsid w:val="02BA6A42"/>
    <w:rsid w:val="043121DF"/>
    <w:rsid w:val="04AA17D4"/>
    <w:rsid w:val="05031527"/>
    <w:rsid w:val="067F5C03"/>
    <w:rsid w:val="06A63B2D"/>
    <w:rsid w:val="071E07C7"/>
    <w:rsid w:val="07302A71"/>
    <w:rsid w:val="07E43468"/>
    <w:rsid w:val="09341480"/>
    <w:rsid w:val="098A2722"/>
    <w:rsid w:val="09DE21BC"/>
    <w:rsid w:val="0A94498C"/>
    <w:rsid w:val="0BF706F0"/>
    <w:rsid w:val="0C5C044A"/>
    <w:rsid w:val="0CA53406"/>
    <w:rsid w:val="0D073E52"/>
    <w:rsid w:val="0D140663"/>
    <w:rsid w:val="0D383385"/>
    <w:rsid w:val="0DA77E34"/>
    <w:rsid w:val="0DB92BF5"/>
    <w:rsid w:val="0E72675C"/>
    <w:rsid w:val="0EFF159F"/>
    <w:rsid w:val="0F9A3AB7"/>
    <w:rsid w:val="0FF707E8"/>
    <w:rsid w:val="10622110"/>
    <w:rsid w:val="1152016A"/>
    <w:rsid w:val="115C4080"/>
    <w:rsid w:val="127B4694"/>
    <w:rsid w:val="13333B9A"/>
    <w:rsid w:val="146E3850"/>
    <w:rsid w:val="14CF31CC"/>
    <w:rsid w:val="14F1315A"/>
    <w:rsid w:val="15BF4A2C"/>
    <w:rsid w:val="15CD049C"/>
    <w:rsid w:val="173F4C3E"/>
    <w:rsid w:val="17657252"/>
    <w:rsid w:val="177A7842"/>
    <w:rsid w:val="187B78D2"/>
    <w:rsid w:val="19577ADB"/>
    <w:rsid w:val="19F142E2"/>
    <w:rsid w:val="1AA42302"/>
    <w:rsid w:val="1B26402F"/>
    <w:rsid w:val="1B464308"/>
    <w:rsid w:val="1BBD4ACF"/>
    <w:rsid w:val="1BFB072A"/>
    <w:rsid w:val="1CE0382E"/>
    <w:rsid w:val="1D132FE7"/>
    <w:rsid w:val="1D7F5793"/>
    <w:rsid w:val="1DB17CCB"/>
    <w:rsid w:val="1DD65B2E"/>
    <w:rsid w:val="1E506BE3"/>
    <w:rsid w:val="1F454784"/>
    <w:rsid w:val="1F703D46"/>
    <w:rsid w:val="1F8664E6"/>
    <w:rsid w:val="204F2997"/>
    <w:rsid w:val="2087633F"/>
    <w:rsid w:val="20C45267"/>
    <w:rsid w:val="20D24F20"/>
    <w:rsid w:val="213F7C29"/>
    <w:rsid w:val="21905D55"/>
    <w:rsid w:val="21C41B5F"/>
    <w:rsid w:val="22240B3B"/>
    <w:rsid w:val="22416B81"/>
    <w:rsid w:val="22C62BFC"/>
    <w:rsid w:val="239F480D"/>
    <w:rsid w:val="23D53EF4"/>
    <w:rsid w:val="242455E7"/>
    <w:rsid w:val="25687D44"/>
    <w:rsid w:val="25D415BB"/>
    <w:rsid w:val="26B04D3B"/>
    <w:rsid w:val="27265C80"/>
    <w:rsid w:val="285840CA"/>
    <w:rsid w:val="28D1373C"/>
    <w:rsid w:val="29345A07"/>
    <w:rsid w:val="2A7D6AD3"/>
    <w:rsid w:val="2B9C1D46"/>
    <w:rsid w:val="2C5613F1"/>
    <w:rsid w:val="2CD14847"/>
    <w:rsid w:val="2CDB182C"/>
    <w:rsid w:val="2D4B079B"/>
    <w:rsid w:val="2E8F33A9"/>
    <w:rsid w:val="2EF67C65"/>
    <w:rsid w:val="2F883C65"/>
    <w:rsid w:val="2FB60D48"/>
    <w:rsid w:val="3126392A"/>
    <w:rsid w:val="314C17B7"/>
    <w:rsid w:val="31A11882"/>
    <w:rsid w:val="325652C4"/>
    <w:rsid w:val="330B7464"/>
    <w:rsid w:val="3399261B"/>
    <w:rsid w:val="342114DD"/>
    <w:rsid w:val="346B62ED"/>
    <w:rsid w:val="34B0186C"/>
    <w:rsid w:val="350A4F8F"/>
    <w:rsid w:val="35381750"/>
    <w:rsid w:val="359F673B"/>
    <w:rsid w:val="35BC5568"/>
    <w:rsid w:val="36423AD0"/>
    <w:rsid w:val="36F86D4B"/>
    <w:rsid w:val="37436184"/>
    <w:rsid w:val="37BF079E"/>
    <w:rsid w:val="38201E4D"/>
    <w:rsid w:val="3931661E"/>
    <w:rsid w:val="399D656A"/>
    <w:rsid w:val="3A150E08"/>
    <w:rsid w:val="3A4529FB"/>
    <w:rsid w:val="3A4C2B9E"/>
    <w:rsid w:val="3A5D3AB1"/>
    <w:rsid w:val="3B4360DF"/>
    <w:rsid w:val="3B7F247D"/>
    <w:rsid w:val="3BC556CE"/>
    <w:rsid w:val="3C8146CC"/>
    <w:rsid w:val="3CD10E01"/>
    <w:rsid w:val="3D707695"/>
    <w:rsid w:val="3D7B1A3B"/>
    <w:rsid w:val="3F9D57CD"/>
    <w:rsid w:val="3FB457E7"/>
    <w:rsid w:val="40A0275C"/>
    <w:rsid w:val="41DF5835"/>
    <w:rsid w:val="42326FF6"/>
    <w:rsid w:val="427B136B"/>
    <w:rsid w:val="42AF66E5"/>
    <w:rsid w:val="431B35F1"/>
    <w:rsid w:val="45321B8B"/>
    <w:rsid w:val="454E2729"/>
    <w:rsid w:val="45616D5C"/>
    <w:rsid w:val="457973E7"/>
    <w:rsid w:val="45BE457D"/>
    <w:rsid w:val="46034BB3"/>
    <w:rsid w:val="47022D64"/>
    <w:rsid w:val="47B84D1F"/>
    <w:rsid w:val="47D0348B"/>
    <w:rsid w:val="47DE6690"/>
    <w:rsid w:val="48762BA5"/>
    <w:rsid w:val="489D5A9F"/>
    <w:rsid w:val="4A913769"/>
    <w:rsid w:val="4BDA481A"/>
    <w:rsid w:val="4C530D25"/>
    <w:rsid w:val="4E604863"/>
    <w:rsid w:val="4EC6595A"/>
    <w:rsid w:val="4EDA62F7"/>
    <w:rsid w:val="4EF53AD4"/>
    <w:rsid w:val="4F144AC7"/>
    <w:rsid w:val="4FB27B57"/>
    <w:rsid w:val="4FE21AA4"/>
    <w:rsid w:val="4FF155B1"/>
    <w:rsid w:val="50067FB2"/>
    <w:rsid w:val="50265E9B"/>
    <w:rsid w:val="51617BC9"/>
    <w:rsid w:val="51D00E46"/>
    <w:rsid w:val="52BB09BF"/>
    <w:rsid w:val="540B7BE1"/>
    <w:rsid w:val="54697A76"/>
    <w:rsid w:val="54FD2997"/>
    <w:rsid w:val="55122BEA"/>
    <w:rsid w:val="570F5221"/>
    <w:rsid w:val="579F4000"/>
    <w:rsid w:val="57A87B83"/>
    <w:rsid w:val="58AA2FC3"/>
    <w:rsid w:val="59493727"/>
    <w:rsid w:val="59DA5DDC"/>
    <w:rsid w:val="5A050412"/>
    <w:rsid w:val="5A1CA3CA"/>
    <w:rsid w:val="5A883419"/>
    <w:rsid w:val="5B3C4FEB"/>
    <w:rsid w:val="5BE657D8"/>
    <w:rsid w:val="5C301284"/>
    <w:rsid w:val="5E59475B"/>
    <w:rsid w:val="5E7F5F3B"/>
    <w:rsid w:val="5E9373CB"/>
    <w:rsid w:val="5F472F32"/>
    <w:rsid w:val="5F515B4F"/>
    <w:rsid w:val="60C64A4F"/>
    <w:rsid w:val="60F603E9"/>
    <w:rsid w:val="60FC1771"/>
    <w:rsid w:val="611532FE"/>
    <w:rsid w:val="611A06DC"/>
    <w:rsid w:val="613446A0"/>
    <w:rsid w:val="613B7677"/>
    <w:rsid w:val="61752816"/>
    <w:rsid w:val="61E63CB5"/>
    <w:rsid w:val="62B04403"/>
    <w:rsid w:val="638D9B34"/>
    <w:rsid w:val="640A5785"/>
    <w:rsid w:val="64C46B7F"/>
    <w:rsid w:val="64DA7C16"/>
    <w:rsid w:val="64E16C80"/>
    <w:rsid w:val="65150673"/>
    <w:rsid w:val="652A2D91"/>
    <w:rsid w:val="66233B04"/>
    <w:rsid w:val="66A466A9"/>
    <w:rsid w:val="66CD60E3"/>
    <w:rsid w:val="6784644E"/>
    <w:rsid w:val="67846E93"/>
    <w:rsid w:val="67A37759"/>
    <w:rsid w:val="67A76AD4"/>
    <w:rsid w:val="688024A5"/>
    <w:rsid w:val="69467917"/>
    <w:rsid w:val="695C1BE9"/>
    <w:rsid w:val="69ED401E"/>
    <w:rsid w:val="6A1C32DA"/>
    <w:rsid w:val="6AB2172C"/>
    <w:rsid w:val="6AEF5B81"/>
    <w:rsid w:val="6B180392"/>
    <w:rsid w:val="6B73607C"/>
    <w:rsid w:val="6BEFE46F"/>
    <w:rsid w:val="6C5127E1"/>
    <w:rsid w:val="6C874ECA"/>
    <w:rsid w:val="6C930A85"/>
    <w:rsid w:val="6E4E3692"/>
    <w:rsid w:val="6EAF6108"/>
    <w:rsid w:val="6F5334E3"/>
    <w:rsid w:val="6F730C92"/>
    <w:rsid w:val="6FDB8722"/>
    <w:rsid w:val="70811C91"/>
    <w:rsid w:val="708F76E5"/>
    <w:rsid w:val="70B07124"/>
    <w:rsid w:val="727F3A7B"/>
    <w:rsid w:val="72F94DFB"/>
    <w:rsid w:val="73444EBF"/>
    <w:rsid w:val="735C07FB"/>
    <w:rsid w:val="737E330C"/>
    <w:rsid w:val="73B21EE2"/>
    <w:rsid w:val="73CD1FF1"/>
    <w:rsid w:val="74467836"/>
    <w:rsid w:val="75606AB2"/>
    <w:rsid w:val="764A78F3"/>
    <w:rsid w:val="76C10C6A"/>
    <w:rsid w:val="771E1F4D"/>
    <w:rsid w:val="7733144B"/>
    <w:rsid w:val="7755513A"/>
    <w:rsid w:val="776FCB68"/>
    <w:rsid w:val="78056D44"/>
    <w:rsid w:val="782E5F1A"/>
    <w:rsid w:val="78990B68"/>
    <w:rsid w:val="78C46415"/>
    <w:rsid w:val="79231CE7"/>
    <w:rsid w:val="79B00328"/>
    <w:rsid w:val="7A511424"/>
    <w:rsid w:val="7AB90C06"/>
    <w:rsid w:val="7ACA3CE3"/>
    <w:rsid w:val="7ACF2119"/>
    <w:rsid w:val="7B9D2488"/>
    <w:rsid w:val="7C0C0BF8"/>
    <w:rsid w:val="7C355FDF"/>
    <w:rsid w:val="7C9D049E"/>
    <w:rsid w:val="7D6B51D1"/>
    <w:rsid w:val="7DF911C8"/>
    <w:rsid w:val="7E256103"/>
    <w:rsid w:val="7F7F3EC6"/>
    <w:rsid w:val="7F9FFA2E"/>
    <w:rsid w:val="97BBAE65"/>
    <w:rsid w:val="97F89D2E"/>
    <w:rsid w:val="AEC16D1B"/>
    <w:rsid w:val="BCCF6A22"/>
    <w:rsid w:val="C7DF5AC8"/>
    <w:rsid w:val="D77FC4AA"/>
    <w:rsid w:val="DEFB9BEC"/>
    <w:rsid w:val="E5BF2C95"/>
    <w:rsid w:val="E79C20D2"/>
    <w:rsid w:val="EBE3BC00"/>
    <w:rsid w:val="EE7B2614"/>
    <w:rsid w:val="F77E4C05"/>
    <w:rsid w:val="FF77EA8C"/>
    <w:rsid w:val="FFEDBF1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en-US" w:bidi="ar-SA"/>
    </w:rPr>
  </w:style>
  <w:style w:type="paragraph" w:styleId="3">
    <w:name w:val="heading 1"/>
    <w:basedOn w:val="1"/>
    <w:next w:val="4"/>
    <w:qFormat/>
    <w:uiPriority w:val="0"/>
    <w:pPr>
      <w:keepNext/>
      <w:spacing w:before="240" w:after="60"/>
      <w:outlineLvl w:val="0"/>
    </w:pPr>
    <w:rPr>
      <w:rFonts w:ascii="Arial" w:hAnsi="Arial" w:cs="Arial"/>
      <w:b/>
      <w:bCs/>
      <w:kern w:val="32"/>
      <w:sz w:val="32"/>
      <w:szCs w:val="32"/>
    </w:rPr>
  </w:style>
  <w:style w:type="paragraph" w:styleId="5">
    <w:name w:val="heading 2"/>
    <w:basedOn w:val="1"/>
    <w:next w:val="1"/>
    <w:qFormat/>
    <w:uiPriority w:val="0"/>
    <w:pPr>
      <w:keepNext/>
      <w:spacing w:before="240" w:after="60"/>
      <w:outlineLvl w:val="1"/>
    </w:pPr>
    <w:rPr>
      <w:rFonts w:ascii="Arial" w:hAnsi="Arial" w:cs="Arial"/>
      <w:b/>
      <w:bCs/>
      <w:i/>
      <w:iCs/>
      <w:sz w:val="28"/>
      <w:szCs w:val="28"/>
    </w:rPr>
  </w:style>
  <w:style w:type="paragraph" w:styleId="2">
    <w:name w:val="heading 3"/>
    <w:basedOn w:val="1"/>
    <w:next w:val="1"/>
    <w:qFormat/>
    <w:uiPriority w:val="0"/>
    <w:pPr>
      <w:keepNext/>
      <w:spacing w:before="240" w:after="60"/>
      <w:outlineLvl w:val="2"/>
    </w:pPr>
    <w:rPr>
      <w:rFonts w:ascii="Arial" w:hAnsi="Arial" w:cs="Arial"/>
      <w:b/>
      <w:bCs/>
      <w:sz w:val="26"/>
      <w:szCs w:val="26"/>
    </w:rPr>
  </w:style>
  <w:style w:type="paragraph" w:styleId="6">
    <w:name w:val="heading 4"/>
    <w:basedOn w:val="1"/>
    <w:next w:val="1"/>
    <w:qFormat/>
    <w:uiPriority w:val="0"/>
    <w:pPr>
      <w:keepNext/>
      <w:spacing w:before="240" w:after="60"/>
      <w:outlineLvl w:val="3"/>
    </w:pPr>
    <w:rPr>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4">
    <w:name w:val="首行缩进"/>
    <w:qFormat/>
    <w:uiPriority w:val="99"/>
    <w:pPr>
      <w:ind w:firstLine="480" w:firstLineChars="200"/>
    </w:pPr>
    <w:rPr>
      <w:rFonts w:ascii="仿宋" w:hAnsi="仿宋" w:eastAsia="仿宋" w:cs="Times New Roman"/>
      <w:sz w:val="32"/>
      <w:szCs w:val="21"/>
      <w:lang w:val="en-US" w:eastAsia="zh-CN" w:bidi="ar-SA"/>
    </w:rPr>
  </w:style>
  <w:style w:type="paragraph" w:styleId="7">
    <w:name w:val="annotation text"/>
    <w:basedOn w:val="1"/>
    <w:unhideWhenUsed/>
    <w:qFormat/>
    <w:uiPriority w:val="0"/>
    <w:pPr>
      <w:jc w:val="left"/>
    </w:pPr>
    <w:rPr>
      <w:szCs w:val="24"/>
    </w:rPr>
  </w:style>
  <w:style w:type="paragraph" w:styleId="8">
    <w:name w:val="Body Text"/>
    <w:basedOn w:val="1"/>
    <w:next w:val="9"/>
    <w:unhideWhenUsed/>
    <w:qFormat/>
    <w:uiPriority w:val="0"/>
    <w:pPr>
      <w:spacing w:line="360" w:lineRule="auto"/>
    </w:pPr>
    <w:rPr>
      <w:szCs w:val="20"/>
    </w:rPr>
  </w:style>
  <w:style w:type="paragraph" w:styleId="9">
    <w:name w:val="Body Text 2"/>
    <w:basedOn w:val="1"/>
    <w:unhideWhenUsed/>
    <w:qFormat/>
    <w:uiPriority w:val="99"/>
    <w:pPr>
      <w:spacing w:after="120" w:line="480" w:lineRule="auto"/>
    </w:pPr>
  </w:style>
  <w:style w:type="paragraph" w:styleId="10">
    <w:name w:val="toc 3"/>
    <w:basedOn w:val="1"/>
    <w:next w:val="1"/>
    <w:qFormat/>
    <w:uiPriority w:val="0"/>
    <w:pPr>
      <w:ind w:left="480"/>
    </w:pPr>
  </w:style>
  <w:style w:type="paragraph" w:styleId="11">
    <w:name w:val="toc 1"/>
    <w:basedOn w:val="1"/>
    <w:next w:val="1"/>
    <w:qFormat/>
    <w:uiPriority w:val="0"/>
  </w:style>
  <w:style w:type="paragraph" w:styleId="12">
    <w:name w:val="toc 2"/>
    <w:basedOn w:val="1"/>
    <w:next w:val="1"/>
    <w:qFormat/>
    <w:uiPriority w:val="0"/>
    <w:pPr>
      <w:ind w:left="24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w:basedOn w:val="8"/>
    <w:qFormat/>
    <w:uiPriority w:val="0"/>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styleId="19">
    <w:name w:val="annotation reference"/>
    <w:unhideWhenUsed/>
    <w:qFormat/>
    <w:uiPriority w:val="99"/>
    <w:rPr>
      <w:sz w:val="21"/>
      <w:szCs w:val="21"/>
    </w:rPr>
  </w:style>
  <w:style w:type="paragraph" w:customStyle="1" w:styleId="20">
    <w:name w:val="MsoNormal"/>
    <w:basedOn w:val="1"/>
    <w:qFormat/>
    <w:uiPriority w:val="0"/>
  </w:style>
  <w:style w:type="paragraph" w:customStyle="1" w:styleId="21">
    <w:name w:val="17 Paragraph"/>
    <w:basedOn w:val="1"/>
    <w:qFormat/>
    <w:uiPriority w:val="0"/>
  </w:style>
  <w:style w:type="paragraph" w:customStyle="1" w:styleId="22">
    <w:name w:val="16"/>
    <w:basedOn w:val="1"/>
    <w:qFormat/>
    <w:uiPriority w:val="0"/>
  </w:style>
  <w:style w:type="character" w:customStyle="1" w:styleId="23">
    <w:name w:val="font11"/>
    <w:basedOn w:val="16"/>
    <w:qFormat/>
    <w:uiPriority w:val="0"/>
    <w:rPr>
      <w:rFonts w:hint="default" w:ascii="等线" w:hAnsi="等线" w:eastAsia="等线" w:cs="等线"/>
      <w:color w:val="000000"/>
      <w:sz w:val="20"/>
      <w:szCs w:val="20"/>
      <w:u w:val="none"/>
    </w:rPr>
  </w:style>
  <w:style w:type="character" w:customStyle="1" w:styleId="24">
    <w:name w:val="font21"/>
    <w:basedOn w:val="16"/>
    <w:qFormat/>
    <w:uiPriority w:val="0"/>
    <w:rPr>
      <w:rFonts w:hint="default" w:ascii="等线" w:hAnsi="等线" w:eastAsia="等线" w:cs="等线"/>
      <w:color w:val="FF0000"/>
      <w:sz w:val="20"/>
      <w:szCs w:val="20"/>
      <w:u w:val="none"/>
    </w:rPr>
  </w:style>
  <w:style w:type="character" w:customStyle="1" w:styleId="25">
    <w:name w:val="font01"/>
    <w:basedOn w:val="16"/>
    <w:qFormat/>
    <w:uiPriority w:val="0"/>
    <w:rPr>
      <w:rFonts w:hint="eastAsia" w:ascii="宋体" w:hAnsi="宋体" w:eastAsia="宋体" w:cs="宋体"/>
      <w:color w:val="000000"/>
      <w:sz w:val="21"/>
      <w:szCs w:val="21"/>
      <w:u w:val="none"/>
    </w:rPr>
  </w:style>
  <w:style w:type="character" w:customStyle="1" w:styleId="26">
    <w:name w:val="font31"/>
    <w:basedOn w:val="16"/>
    <w:qFormat/>
    <w:uiPriority w:val="0"/>
    <w:rPr>
      <w:rFonts w:hint="eastAsia" w:ascii="宋体" w:hAnsi="宋体" w:eastAsia="宋体" w:cs="宋体"/>
      <w:b/>
      <w:bCs/>
      <w:color w:val="000000"/>
      <w:sz w:val="16"/>
      <w:szCs w:val="16"/>
      <w:u w:val="none"/>
    </w:rPr>
  </w:style>
  <w:style w:type="character" w:customStyle="1" w:styleId="27">
    <w:name w:val="font51"/>
    <w:basedOn w:val="16"/>
    <w:qFormat/>
    <w:uiPriority w:val="0"/>
    <w:rPr>
      <w:rFonts w:hint="eastAsia" w:ascii="宋体" w:hAnsi="宋体" w:eastAsia="宋体" w:cs="宋体"/>
      <w:color w:val="000000"/>
      <w:sz w:val="16"/>
      <w:szCs w:val="16"/>
      <w:u w:val="none"/>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3"/>
    <w:qFormat/>
    <w:uiPriority w:val="0"/>
    <w:pPr>
      <w:ind w:leftChars="40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37</Pages>
  <Words>28442</Words>
  <Characters>30969</Characters>
  <Lines>1</Lines>
  <Paragraphs>1</Paragraphs>
  <TotalTime>2</TotalTime>
  <ScaleCrop>false</ScaleCrop>
  <LinksUpToDate>false</LinksUpToDate>
  <CharactersWithSpaces>31816</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2024-10-25T03:09:00Z</dcterms:created>
  <dc:creator>刘小波</dc:creator>
  <cp:lastModifiedBy>黎妙娟</cp:lastModifiedBy>
  <cp:lastPrinted>2026-08-07T10:31:00Z</cp:lastPrinted>
  <dcterms:modified xsi:type="dcterms:W3CDTF">2026-09-02T10:00:22Z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KSOTemplateDocerSaveRecord">
    <vt:lpwstr>eyJoZGlkIjoiZGU1YzYzZDUwMzY3ODJiMGUzMTc1NWQzNjI0MzcwMTIiLCJ1c2VySWQiOiIyNzE4MzY4NDcifQ==</vt:lpwstr>
  </property>
  <property fmtid="{D5CDD505-2E9C-101B-9397-08002B2CF9AE}" pid="4" name="ICV">
    <vt:lpwstr>CC0FBC4A72EDD343578D756ADEF2A5BC_43</vt:lpwstr>
  </property>
</Properties>
</file>