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  <w14:ligatures w14:val="none"/>
        </w:rPr>
        <w:t>梅州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市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6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年至202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5</w:t>
      </w: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年连续10年</w:t>
      </w:r>
    </w:p>
    <w:p>
      <w:pPr>
        <w:jc w:val="center"/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纳税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14:ligatures w14:val="none"/>
        </w:rPr>
        <w:t>缴费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32"/>
          <w:szCs w:val="32"/>
          <w14:ligatures w14:val="none"/>
        </w:rPr>
        <w:t>信用A级企业名单</w:t>
      </w:r>
    </w:p>
    <w:p>
      <w:pPr>
        <w:rPr>
          <w:rFonts w:ascii="Calibri" w:hAnsi="Calibri" w:eastAsia="宋体" w:cs="Times New Roman"/>
          <w:sz w:val="28"/>
          <w:szCs w:val="28"/>
          <w14:ligatures w14:val="none"/>
        </w:rPr>
      </w:pPr>
      <w:r>
        <w:rPr>
          <w:rFonts w:ascii="Calibri" w:hAnsi="Calibri" w:eastAsia="宋体" w:cs="Times New Roman"/>
          <w:sz w:val="28"/>
          <w:szCs w:val="28"/>
          <w14:ligatures w14:val="none"/>
        </w:rPr>
        <w:t xml:space="preserve">                                       </w:t>
      </w:r>
      <w:r>
        <w:rPr>
          <w:rFonts w:hint="eastAsia" w:ascii="Calibri" w:hAnsi="Calibri" w:eastAsia="宋体" w:cs="Times New Roman"/>
          <w:sz w:val="28"/>
          <w:szCs w:val="28"/>
          <w14:ligatures w14:val="none"/>
        </w:rPr>
        <w:t xml:space="preserve">                                                             </w:t>
      </w:r>
      <w:r>
        <w:rPr>
          <w:rFonts w:ascii="Calibri" w:hAnsi="Calibri" w:eastAsia="宋体" w:cs="Times New Roman"/>
          <w:sz w:val="28"/>
          <w:szCs w:val="28"/>
          <w14:ligatures w14:val="none"/>
        </w:rPr>
        <w:t>（排名不分先后）</w:t>
      </w:r>
    </w:p>
    <w:tbl>
      <w:tblPr>
        <w:tblStyle w:val="15"/>
        <w:tblW w:w="80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广东大埔农村商业银行股份有限公司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大埔县梅江蓬辣滩水电站有限公司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广东粤电青溪发电有限责任公司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梅州珠江啤酒有限公司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广东科伦药业有限公司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金利来（中国）有限公司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广东烟草梅州市有限公司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博敏电子股份有限公司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广东富农生物科技股份有限公司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广东联康药业有限公司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广东泉之乡矿泉饮料有限公司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广东井得电机有限公司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广东长乐酒业有限公司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五华县王化水电站有限责任公司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五华县华益汽车运输有限公司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五华县立信印染有限公司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广东五华二建工程有限公司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五华县家国兴工艺品有限公司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广东创达建设有限公司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广东联创变压器有限公司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丰顺县韩江水电有限公司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广东辉骏科技集团有限公司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广东泰源农科有限公司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广东五华一建工程有限公司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丰顺县达森科技有限公司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梅州市锐意密封科技有限公司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广东塔牌集团股份有限公司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梅州市塔牌营销有限公司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梅州市塔牌集团蕉岭鑫达旋窑水泥有限公司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广东粤电长潭发电有限责任公司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广东省兴宁市方圆房地产开发有限公司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兴宁春天汽车城有限公司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兴宁市盛业汽车服务有限公司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梅州市白里透红化妆品有限公司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亚太森博（梅州）林业开发有限责任公司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广东新川万清洁服务有限公司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国药控股梅州有限公司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梅县线艺通信元件有限公司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广东平远农村商业银行股份有限公司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广东梅雁吉祥水电股份有限公司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广东宝丽华电力有限公司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卡莱(梅州)橡胶制品有限公司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广东宝丽华新能源股份有限公司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BPW（梅州）车轴有限公司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广东嘉元科技股份有限公司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广东兴源农林有限公司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广东省四O一厂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梅州市山水城房地产开发有限公司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6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  <w14:ligatures w14:val="standardContextual"/>
              </w:rPr>
              <w:t>梅州金塔水泥有限公司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756E66"/>
    <w:rsid w:val="00134493"/>
    <w:rsid w:val="00270712"/>
    <w:rsid w:val="00375642"/>
    <w:rsid w:val="004B56EC"/>
    <w:rsid w:val="00566FE6"/>
    <w:rsid w:val="00756E66"/>
    <w:rsid w:val="007C1940"/>
    <w:rsid w:val="00967C2E"/>
    <w:rsid w:val="00B92492"/>
    <w:rsid w:val="00BA4F6F"/>
    <w:rsid w:val="00C02E51"/>
    <w:rsid w:val="29B943E2"/>
    <w:rsid w:val="7D6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0F4761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0F4761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0F4761" w:themeColor="accent1" w:themeShade="BF"/>
      <w:sz w:val="24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85858" w:themeColor="text1" w:themeTint="A6"/>
      <w:sz w:val="24"/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85858" w:themeColor="text1" w:themeTint="A6"/>
      <w:sz w:val="24"/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85858" w:themeColor="text1" w:themeTint="A6"/>
      <w:sz w:val="24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3F3F3F" w:themeColor="text1" w:themeTint="BF"/>
      <w:sz w:val="24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0F4761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0F4761" w:themeColor="accent1" w:themeShade="BF"/>
      <w:sz w:val="24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0F4761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</Words>
  <Characters>147</Characters>
  <Lines>1</Lines>
  <Paragraphs>1</Paragraphs>
  <TotalTime>10</TotalTime>
  <ScaleCrop>false</ScaleCrop>
  <LinksUpToDate>false</LinksUpToDate>
  <CharactersWithSpaces>171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2026-05-07T09:43:00Z</dcterms:created>
  <dc:creator>文杰 李</dc:creator>
  <cp:lastModifiedBy>Administrator</cp:lastModifiedBy>
  <dcterms:modified xsi:type="dcterms:W3CDTF">2026-05-11T02:42:09Z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98E222866D38D7587D44FC693EE9C07B_42</vt:lpwstr>
  </property>
</Properties>
</file>