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47" w:right="-34"/>
        <w:rPr>
          <w:rFonts w:hint="eastAsia"/>
          <w:sz w:val="28"/>
          <w:szCs w:val="28"/>
        </w:rPr>
      </w:pPr>
      <w:r>
        <w:pict>
          <v:line id="直接连接符 8" o:spid="_x0000_s1026" o:spt="20" style="position:absolute;left:0pt;flip:x;margin-left:-73.6pt;margin-top:69.95pt;height:0pt;width:0.05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">
            <v:path arrowok="t"/>
            <v:fill on="f" focussize="0,0"/>
            <v:stroke startarrow="block" endarrow="block"/>
            <v:imagedata o:title=""/>
            <o:lock v:ext="edit" grouping="f" rotation="f" aspectratio="f"/>
          </v:line>
        </w:pict>
      </w:r>
      <w:r>
        <w:pict>
          <v:line id="_x0000_s1027" o:spid="_x0000_s1027" o:spt="20" style="position:absolute;left:0pt;flip:x;margin-left:-73.6pt;margin-top:69.95pt;height:0pt;width:0.05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">
            <v:path arrowok="t"/>
            <v:fill on="f" focussize="0,0"/>
            <v:stroke startarrow="block" endarrow="block"/>
            <v:imagedata o:title=""/>
            <o:lock v:ext="edit" grouping="f" rotation="f" aspectratio="f"/>
          </v:line>
        </w:pict>
      </w:r>
    </w:p>
    <w:p>
      <w:pPr>
        <w:widowControl/>
        <w:spacing w:line="600" w:lineRule="exact"/>
        <w:jc w:val="center"/>
        <w:rPr>
          <w:rFonts w:hint="eastAsia" w:ascii="方正小标宋简体" w:eastAsia="方正小标宋简体"/>
          <w:bCs/>
          <w:spacing w:val="-26"/>
          <w:kern w:val="0"/>
          <w:sz w:val="44"/>
          <w:szCs w:val="44"/>
        </w:rPr>
      </w:pPr>
      <w:r>
        <w:rPr>
          <w:rFonts w:hint="eastAsia" w:ascii="方正小标宋简体" w:eastAsia="方正小标宋简体"/>
          <w:bCs/>
          <w:spacing w:val="-26"/>
          <w:kern w:val="0"/>
          <w:sz w:val="44"/>
          <w:szCs w:val="44"/>
        </w:rPr>
        <w:t>国家税务总局河源市税务局  河源市住房和城乡</w:t>
      </w:r>
    </w:p>
    <w:p>
      <w:pPr>
        <w:widowControl/>
        <w:spacing w:line="600" w:lineRule="exact"/>
        <w:jc w:val="center"/>
        <w:rPr>
          <w:rFonts w:hint="eastAsia" w:ascii="方正小标宋简体" w:eastAsia="方正小标宋简体"/>
          <w:bCs/>
          <w:kern w:val="0"/>
          <w:sz w:val="44"/>
          <w:szCs w:val="44"/>
        </w:rPr>
      </w:pPr>
      <w:r>
        <w:rPr>
          <w:rFonts w:hint="eastAsia" w:ascii="方正小标宋简体" w:eastAsia="方正小标宋简体"/>
          <w:bCs/>
          <w:spacing w:val="8"/>
          <w:kern w:val="0"/>
          <w:sz w:val="44"/>
          <w:szCs w:val="44"/>
        </w:rPr>
        <w:t>建设局关于</w:t>
      </w:r>
      <w:r>
        <w:rPr>
          <w:rFonts w:hint="eastAsia" w:ascii="方正小标宋简体" w:eastAsia="方正小标宋简体"/>
          <w:bCs/>
          <w:spacing w:val="8"/>
          <w:kern w:val="0"/>
          <w:sz w:val="44"/>
          <w:szCs w:val="44"/>
          <w:lang w:eastAsia="zh-CN"/>
        </w:rPr>
        <w:t>继续执行</w:t>
      </w:r>
      <w:r>
        <w:rPr>
          <w:rFonts w:hint="eastAsia" w:ascii="方正小标宋简体" w:eastAsia="方正小标宋简体"/>
          <w:bCs/>
          <w:spacing w:val="8"/>
          <w:kern w:val="0"/>
          <w:sz w:val="44"/>
          <w:szCs w:val="44"/>
        </w:rPr>
        <w:t>河源市2008—2015年</w:t>
      </w:r>
      <w:r>
        <w:rPr>
          <w:rFonts w:hint="eastAsia" w:ascii="方正小标宋简体" w:eastAsia="方正小标宋简体"/>
          <w:bCs/>
          <w:kern w:val="0"/>
          <w:sz w:val="44"/>
          <w:szCs w:val="44"/>
        </w:rPr>
        <w:t>土地增值税扣除项目金额标准的公告</w:t>
      </w:r>
    </w:p>
    <w:p>
      <w:pPr>
        <w:widowControl/>
        <w:spacing w:line="600"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lang w:eastAsia="zh-CN"/>
        </w:rPr>
        <w:t>（征求意见稿）</w:t>
      </w:r>
      <w:r>
        <w:rPr>
          <w:rFonts w:hint="eastAsia" w:ascii="方正小标宋简体" w:eastAsia="方正小标宋简体"/>
          <w:bCs/>
          <w:kern w:val="0"/>
          <w:sz w:val="44"/>
          <w:szCs w:val="44"/>
        </w:rPr>
        <w:t xml:space="preserve"> </w:t>
      </w:r>
    </w:p>
    <w:p>
      <w:pPr>
        <w:widowControl/>
        <w:spacing w:line="600" w:lineRule="exact"/>
        <w:jc w:val="center"/>
        <w:rPr>
          <w:rFonts w:hint="eastAsia"/>
          <w:kern w:val="0"/>
          <w:sz w:val="30"/>
          <w:szCs w:val="30"/>
        </w:rPr>
      </w:pPr>
      <w:r>
        <w:rPr>
          <w:rFonts w:hint="eastAsia"/>
          <w:kern w:val="0"/>
          <w:sz w:val="30"/>
          <w:szCs w:val="30"/>
        </w:rPr>
        <w:t xml:space="preserve"> </w:t>
      </w:r>
    </w:p>
    <w:p>
      <w:pPr>
        <w:spacing w:line="600" w:lineRule="exact"/>
        <w:ind w:firstLine="640" w:firstLineChars="200"/>
        <w:rPr>
          <w:rFonts w:hint="eastAsia"/>
          <w:kern w:val="0"/>
        </w:rPr>
      </w:pPr>
      <w:r>
        <w:rPr>
          <w:rFonts w:hint="eastAsia"/>
          <w:kern w:val="0"/>
        </w:rPr>
        <w:t>为进一步做好我市土地增值税清算管理工作，促进我市房地产业持续健康发展，根据《中华人民共和国税收征收管理法》及其实施细则、《国家税务总局 建设部关于土地增值税征收管理有关问题的通知》（国税发〔1996〕48号）、《国家税务总局广东省税务局关于发布〈国家税务总局广东省税务局土地增值税清算管理规程〉的公告》（国家税务总局广东省税务局公告2019年第5号）等有关规定，</w:t>
      </w:r>
      <w:r>
        <w:rPr>
          <w:rFonts w:hint="eastAsia"/>
          <w:kern w:val="0"/>
          <w:lang w:eastAsia="zh-CN"/>
        </w:rPr>
        <w:t>现就继续执行</w:t>
      </w:r>
      <w:r>
        <w:rPr>
          <w:rFonts w:hint="eastAsia"/>
          <w:kern w:val="0"/>
        </w:rPr>
        <w:t>《河源市2008—2015年土地增值税扣除项目金额标准》（以下简称《标准》）相关事项公告如下：</w:t>
      </w:r>
    </w:p>
    <w:p>
      <w:pPr>
        <w:spacing w:line="600" w:lineRule="exact"/>
        <w:ind w:firstLine="640" w:firstLineChars="200"/>
        <w:rPr>
          <w:rFonts w:hint="eastAsia" w:ascii="黑体" w:hAnsi="黑体" w:eastAsia="黑体"/>
          <w:kern w:val="0"/>
        </w:rPr>
      </w:pPr>
      <w:r>
        <w:rPr>
          <w:rFonts w:hint="eastAsia" w:ascii="黑体" w:hAnsi="黑体" w:eastAsia="黑体"/>
          <w:bCs/>
          <w:kern w:val="0"/>
        </w:rPr>
        <w:t>一、适用范围</w:t>
      </w:r>
    </w:p>
    <w:p>
      <w:pPr>
        <w:spacing w:line="600" w:lineRule="exact"/>
        <w:ind w:firstLine="640" w:firstLineChars="200"/>
        <w:rPr>
          <w:rFonts w:hint="eastAsia"/>
          <w:kern w:val="0"/>
        </w:rPr>
      </w:pPr>
      <w:r>
        <w:rPr>
          <w:rFonts w:hint="eastAsia"/>
          <w:kern w:val="0"/>
        </w:rPr>
        <w:t>在土地增值税清算过程中，纳税人符合《中华人民共和国税收征收管理法》第三十五条核定征收条件的，税务机关通过适用本《标准》测算其“土建、安装、装饰装修、市政设施、园林绿化”工程造价，核定纳税人应纳税额。</w:t>
      </w:r>
    </w:p>
    <w:p>
      <w:pPr>
        <w:spacing w:line="600" w:lineRule="exact"/>
        <w:ind w:firstLine="640" w:firstLineChars="200"/>
        <w:rPr>
          <w:rFonts w:hint="eastAsia" w:ascii="黑体" w:hAnsi="黑体" w:eastAsia="黑体"/>
          <w:bCs/>
          <w:kern w:val="0"/>
        </w:rPr>
      </w:pPr>
      <w:r>
        <w:rPr>
          <w:rFonts w:hint="eastAsia" w:ascii="黑体" w:hAnsi="黑体" w:eastAsia="黑体"/>
          <w:bCs/>
          <w:kern w:val="0"/>
        </w:rPr>
        <w:t>二、适用时间</w:t>
      </w:r>
    </w:p>
    <w:p>
      <w:pPr>
        <w:spacing w:line="600" w:lineRule="exact"/>
        <w:ind w:firstLine="640" w:firstLineChars="200"/>
        <w:rPr>
          <w:rFonts w:hint="eastAsia"/>
          <w:kern w:val="0"/>
        </w:rPr>
      </w:pPr>
      <w:r>
        <w:rPr>
          <w:rFonts w:hint="eastAsia"/>
          <w:kern w:val="0"/>
        </w:rPr>
        <w:t>税务机关通过本《标准》测算“土建、安装、装饰装修、市政设施、园林绿化”工程造价时，适用房产工程开工至竣工期间所对应年度的《标准》数值。如房产工程开工至竣工期间跨多个年度的，适用所跨年度《标准》数值的加权平均值。</w:t>
      </w:r>
    </w:p>
    <w:p>
      <w:pPr>
        <w:spacing w:line="600" w:lineRule="exact"/>
        <w:ind w:firstLine="640" w:firstLineChars="200"/>
        <w:rPr>
          <w:rFonts w:hint="eastAsia" w:ascii="黑体" w:hAnsi="黑体" w:eastAsia="黑体"/>
          <w:bCs/>
          <w:kern w:val="0"/>
        </w:rPr>
      </w:pPr>
      <w:r>
        <w:rPr>
          <w:rFonts w:hint="eastAsia" w:ascii="黑体" w:hAnsi="黑体" w:eastAsia="黑体"/>
          <w:bCs/>
          <w:kern w:val="0"/>
        </w:rPr>
        <w:t>三、争议解决机制</w:t>
      </w:r>
    </w:p>
    <w:p>
      <w:pPr>
        <w:spacing w:line="600" w:lineRule="exact"/>
        <w:ind w:firstLine="640" w:firstLineChars="200"/>
        <w:rPr>
          <w:rFonts w:hint="eastAsia"/>
          <w:kern w:val="0"/>
        </w:rPr>
      </w:pPr>
      <w:r>
        <w:rPr>
          <w:rFonts w:hint="eastAsia"/>
          <w:kern w:val="0"/>
        </w:rPr>
        <w:t>纳税人对税务机关按照《标准》核定应纳税额有异议的，应当提供相关证据材料，经税务机关认定后，予以调整。上述相关证据材料包括但不限于设计（施工）图、工程量清单、装饰材料清单、绿化苗木清单等。纳税人如相关证据材料存在缺失，可以补充提供在市造价主管机构完成诚信登记的工程造价咨询企业出具符合要求的工程造价成果文件作为相关证据材料，经税务机关认定后，予以调整。</w:t>
      </w:r>
    </w:p>
    <w:p>
      <w:pPr>
        <w:spacing w:line="600" w:lineRule="exact"/>
        <w:ind w:firstLine="640" w:firstLineChars="200"/>
        <w:rPr>
          <w:rFonts w:hint="eastAsia"/>
          <w:kern w:val="0"/>
        </w:rPr>
      </w:pPr>
      <w:r>
        <w:rPr>
          <w:rFonts w:hint="eastAsia"/>
          <w:kern w:val="0"/>
        </w:rPr>
        <w:t>本公告自20</w:t>
      </w:r>
      <w:r>
        <w:rPr>
          <w:rFonts w:hint="eastAsia"/>
          <w:kern w:val="0"/>
          <w:lang w:val="en-US" w:eastAsia="zh-CN"/>
        </w:rPr>
        <w:t>24</w:t>
      </w:r>
      <w:r>
        <w:rPr>
          <w:rFonts w:hint="eastAsia"/>
          <w:kern w:val="0"/>
        </w:rPr>
        <w:t>年</w:t>
      </w:r>
      <w:r>
        <w:rPr>
          <w:rFonts w:hint="eastAsia"/>
          <w:kern w:val="0"/>
          <w:lang w:val="en-US" w:eastAsia="zh-CN"/>
        </w:rPr>
        <w:t>X</w:t>
      </w:r>
      <w:r>
        <w:rPr>
          <w:rFonts w:hint="eastAsia"/>
          <w:kern w:val="0"/>
        </w:rPr>
        <w:t>月</w:t>
      </w:r>
      <w:r>
        <w:rPr>
          <w:rFonts w:hint="eastAsia"/>
          <w:kern w:val="0"/>
          <w:lang w:val="en-US" w:eastAsia="zh-CN"/>
        </w:rPr>
        <w:t>X</w:t>
      </w:r>
      <w:r>
        <w:rPr>
          <w:rFonts w:hint="eastAsia"/>
          <w:kern w:val="0"/>
        </w:rPr>
        <w:t>日</w:t>
      </w:r>
      <w:r>
        <w:rPr>
          <w:rFonts w:hint="eastAsia"/>
          <w:kern w:val="0"/>
          <w:lang w:eastAsia="zh-CN"/>
        </w:rPr>
        <w:t>继续执行</w:t>
      </w:r>
      <w:r>
        <w:rPr>
          <w:rFonts w:hint="eastAsia"/>
          <w:kern w:val="0"/>
        </w:rPr>
        <w:t>。</w:t>
      </w:r>
      <w:bookmarkStart w:id="0" w:name="_GoBack"/>
      <w:bookmarkEnd w:id="0"/>
    </w:p>
    <w:p>
      <w:pPr>
        <w:spacing w:line="600" w:lineRule="exact"/>
        <w:ind w:firstLine="640" w:firstLineChars="200"/>
        <w:rPr>
          <w:rFonts w:hint="eastAsia"/>
          <w:kern w:val="0"/>
        </w:rPr>
      </w:pPr>
      <w:r>
        <w:rPr>
          <w:rFonts w:hint="eastAsia"/>
          <w:kern w:val="0"/>
        </w:rPr>
        <w:t>特此公告。</w:t>
      </w:r>
    </w:p>
    <w:p>
      <w:pPr>
        <w:spacing w:line="600" w:lineRule="exact"/>
        <w:ind w:firstLine="640" w:firstLineChars="200"/>
        <w:rPr>
          <w:rFonts w:hint="eastAsia"/>
          <w:kern w:val="0"/>
        </w:rPr>
      </w:pPr>
    </w:p>
    <w:p>
      <w:pPr>
        <w:widowControl/>
        <w:autoSpaceDE w:val="0"/>
        <w:spacing w:before="100" w:beforeAutospacing="1" w:after="225" w:line="600" w:lineRule="exact"/>
        <w:ind w:left="1600" w:leftChars="200" w:hanging="960" w:hangingChars="300"/>
        <w:jc w:val="left"/>
        <w:rPr>
          <w:rFonts w:hint="eastAsia"/>
          <w:kern w:val="0"/>
          <w:szCs w:val="32"/>
        </w:rPr>
      </w:pPr>
      <w:r>
        <w:rPr>
          <w:rFonts w:hint="eastAsia"/>
          <w:kern w:val="0"/>
          <w:szCs w:val="32"/>
        </w:rPr>
        <w:t>附件：河源市2008-2015年土地增值税扣除项目金额标准</w:t>
      </w:r>
    </w:p>
    <w:p>
      <w:pPr>
        <w:overflowPunct w:val="0"/>
        <w:autoSpaceDE w:val="0"/>
        <w:autoSpaceDN w:val="0"/>
        <w:adjustRightInd w:val="0"/>
        <w:spacing w:line="540" w:lineRule="exact"/>
        <w:ind w:firstLine="640" w:firstLineChars="200"/>
        <w:textAlignment w:val="baseline"/>
        <w:rPr>
          <w:rFonts w:hint="eastAsia" w:ascii="宋体" w:hAnsi="宋体" w:cs="宋体"/>
          <w:color w:val="333333"/>
          <w:szCs w:val="32"/>
        </w:rPr>
      </w:pPr>
    </w:p>
    <w:p>
      <w:pPr>
        <w:overflowPunct w:val="0"/>
        <w:autoSpaceDE w:val="0"/>
        <w:autoSpaceDN w:val="0"/>
        <w:adjustRightInd w:val="0"/>
        <w:spacing w:line="540" w:lineRule="exact"/>
        <w:ind w:firstLine="640" w:firstLineChars="200"/>
        <w:textAlignment w:val="baseline"/>
        <w:rPr>
          <w:rFonts w:hint="eastAsia" w:hAnsi="宋体"/>
          <w:szCs w:val="32"/>
        </w:rPr>
      </w:pPr>
      <w:r>
        <w:rPr>
          <w:rFonts w:hint="eastAsia" w:ascii="宋体" w:hAnsi="宋体" w:cs="宋体"/>
          <w:color w:val="333333"/>
          <w:szCs w:val="32"/>
        </w:rPr>
        <w:t xml:space="preserve">               </w:t>
      </w:r>
    </w:p>
    <w:p>
      <w:pPr>
        <w:ind w:right="-35"/>
        <w:rPr>
          <w:rFonts w:hint="eastAsia" w:hAnsi="宋体"/>
          <w:szCs w:val="32"/>
        </w:rPr>
      </w:pPr>
    </w:p>
    <w:p>
      <w:pPr>
        <w:ind w:right="-35"/>
        <w:rPr>
          <w:rFonts w:hint="eastAsia" w:hAnsi="宋体"/>
          <w:szCs w:val="32"/>
        </w:rPr>
      </w:pPr>
    </w:p>
    <w:p>
      <w:pPr>
        <w:ind w:right="-35"/>
        <w:rPr>
          <w:rFonts w:hint="eastAsia" w:hAnsi="宋体"/>
          <w:szCs w:val="32"/>
        </w:rPr>
      </w:pPr>
    </w:p>
    <w:p>
      <w:pPr>
        <w:ind w:right="-35"/>
        <w:rPr>
          <w:rFonts w:hint="eastAsia" w:hAnsi="宋体"/>
          <w:szCs w:val="32"/>
        </w:rPr>
      </w:pPr>
    </w:p>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firstLine="140" w:firstLineChars="50"/>
      <w:rPr>
        <w:rStyle w:val="7"/>
        <w:rFonts w:hint="eastAsia"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3</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wordWrap w:val="0"/>
      <w:ind w:right="360" w:firstLine="360"/>
      <w:jc w:val="right"/>
      <w:rPr>
        <w:rFonts w:hint="eastAsia"/>
        <w:sz w:val="24"/>
        <w:szCs w:val="24"/>
      </w:rPr>
    </w:pPr>
    <w:r>
      <w:rPr>
        <w:rFonts w:hint="eastAsia"/>
        <w:sz w:val="24"/>
        <w:szCs w:val="24"/>
      </w:rPr>
      <w:t xml:space="preserve"> </w:t>
    </w:r>
    <w:r>
      <w:rPr>
        <w:sz w:val="24"/>
      </w:rPr>
      <w:tab/>
    </w:r>
    <w:r>
      <w:rPr>
        <w:rFonts w:hint="eastAsia"/>
        <w:sz w:val="24"/>
        <w:szCs w:val="24"/>
      </w:rPr>
      <w:t xml:space="preserve">  </w:t>
    </w:r>
  </w:p>
  <w:p>
    <w:pPr>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7"/>
        <w:rFonts w:hint="eastAsia"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tabs>
        <w:tab w:val="center" w:pos="0"/>
        <w:tab w:val="right" w:pos="810"/>
        <w:tab w:val="clear" w:pos="4153"/>
        <w:tab w:val="clear" w:pos="8306"/>
      </w:tabs>
      <w:ind w:right="360" w:firstLine="360"/>
      <w:rPr>
        <w:rFonts w:hint="eastAsia"/>
        <w:sz w:val="24"/>
        <w:szCs w:val="24"/>
      </w:rPr>
    </w:pPr>
    <w:r>
      <w:rPr>
        <w:sz w:val="24"/>
      </w:rPr>
      <w:tab/>
    </w:r>
  </w:p>
  <w:p>
    <w:pPr>
      <w:rPr>
        <w:rFonts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rPr>
    </w:pPr>
    <w:r>
      <w:rPr>
        <w:sz w:val="30"/>
      </w:rPr>
      <w:t xml:space="preserve"> </w:t>
    </w:r>
  </w:p>
  <w:p>
    <w:pPr>
      <w:pStyle w:val="3"/>
      <w:rPr>
        <w:sz w:val="30"/>
      </w:rPr>
    </w:pPr>
    <w:r>
      <w:rPr>
        <w:sz w:val="3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E4"/>
    <w:rsid w:val="0002263B"/>
    <w:rsid w:val="000811EB"/>
    <w:rsid w:val="000B62F5"/>
    <w:rsid w:val="00162761"/>
    <w:rsid w:val="00186C40"/>
    <w:rsid w:val="001D18EE"/>
    <w:rsid w:val="00281309"/>
    <w:rsid w:val="002F6DC8"/>
    <w:rsid w:val="002F72AC"/>
    <w:rsid w:val="003B6808"/>
    <w:rsid w:val="00417951"/>
    <w:rsid w:val="0043799F"/>
    <w:rsid w:val="00476B08"/>
    <w:rsid w:val="005152F9"/>
    <w:rsid w:val="00536A31"/>
    <w:rsid w:val="005F4DFA"/>
    <w:rsid w:val="00601F39"/>
    <w:rsid w:val="006113E4"/>
    <w:rsid w:val="00637A90"/>
    <w:rsid w:val="00666266"/>
    <w:rsid w:val="006B3C4E"/>
    <w:rsid w:val="00754A34"/>
    <w:rsid w:val="007C0862"/>
    <w:rsid w:val="008748AC"/>
    <w:rsid w:val="008B3E97"/>
    <w:rsid w:val="00931A1D"/>
    <w:rsid w:val="00962C93"/>
    <w:rsid w:val="00982702"/>
    <w:rsid w:val="009C18E6"/>
    <w:rsid w:val="00A45D80"/>
    <w:rsid w:val="00A545AC"/>
    <w:rsid w:val="00A82CB2"/>
    <w:rsid w:val="00A9241A"/>
    <w:rsid w:val="00AF256D"/>
    <w:rsid w:val="00B55BFE"/>
    <w:rsid w:val="00B60A55"/>
    <w:rsid w:val="00B80B63"/>
    <w:rsid w:val="00BF2B54"/>
    <w:rsid w:val="00C83AC7"/>
    <w:rsid w:val="00C95894"/>
    <w:rsid w:val="00CA3788"/>
    <w:rsid w:val="00CA4C4B"/>
    <w:rsid w:val="00CC6725"/>
    <w:rsid w:val="00CD64D0"/>
    <w:rsid w:val="00D03A65"/>
    <w:rsid w:val="00D1293B"/>
    <w:rsid w:val="00DE0DF2"/>
    <w:rsid w:val="00E3181C"/>
    <w:rsid w:val="00E42148"/>
    <w:rsid w:val="00EA2A73"/>
    <w:rsid w:val="00EE30FC"/>
    <w:rsid w:val="00F03E64"/>
    <w:rsid w:val="00F36E39"/>
    <w:rsid w:val="00F777A2"/>
    <w:rsid w:val="00F83087"/>
    <w:rsid w:val="00F92BA8"/>
    <w:rsid w:val="00FA257A"/>
    <w:rsid w:val="00FA7977"/>
    <w:rsid w:val="00FC6949"/>
    <w:rsid w:val="13591534"/>
    <w:rsid w:val="19FD2557"/>
    <w:rsid w:val="1F8A0C08"/>
    <w:rsid w:val="555B21C3"/>
    <w:rsid w:val="5EA72631"/>
    <w:rsid w:val="68774B8E"/>
    <w:rsid w:val="6B88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Title"/>
    <w:basedOn w:val="1"/>
    <w:next w:val="1"/>
    <w:link w:val="10"/>
    <w:qFormat/>
    <w:uiPriority w:val="0"/>
    <w:pPr>
      <w:spacing w:before="240" w:after="60"/>
      <w:jc w:val="center"/>
      <w:outlineLvl w:val="0"/>
    </w:pPr>
    <w:rPr>
      <w:rFonts w:ascii="Cambria" w:hAnsi="Cambria" w:eastAsia="宋体" w:cs="Times New Roman"/>
      <w:b/>
      <w:bCs/>
      <w:szCs w:val="32"/>
    </w:rPr>
  </w:style>
  <w:style w:type="character" w:styleId="7">
    <w:name w:val="page number"/>
    <w:basedOn w:val="6"/>
    <w:qFormat/>
    <w:uiPriority w:val="0"/>
    <w:rPr>
      <w:rFonts w:ascii="Times New Roman" w:hAnsi="Times New Roman" w:eastAsia="宋体" w:cs="Times New Roman"/>
    </w:rPr>
  </w:style>
  <w:style w:type="character" w:styleId="8">
    <w:name w:val="Hyperlink"/>
    <w:basedOn w:val="6"/>
    <w:unhideWhenUsed/>
    <w:uiPriority w:val="99"/>
    <w:rPr>
      <w:rFonts w:ascii="Times New Roman" w:hAnsi="Times New Roman" w:eastAsia="宋体" w:cs="Times New Roman"/>
      <w:color w:val="0000FF"/>
      <w:u w:val="single"/>
    </w:rPr>
  </w:style>
  <w:style w:type="character" w:customStyle="1" w:styleId="9">
    <w:name w:val="批注框文本 Char"/>
    <w:basedOn w:val="6"/>
    <w:link w:val="2"/>
    <w:uiPriority w:val="0"/>
    <w:rPr>
      <w:rFonts w:ascii="Times New Roman" w:hAnsi="Times New Roman" w:eastAsia="宋体" w:cs="Times New Roman"/>
      <w:sz w:val="18"/>
      <w:szCs w:val="18"/>
    </w:rPr>
  </w:style>
  <w:style w:type="character" w:customStyle="1" w:styleId="10">
    <w:name w:val="标题 Char"/>
    <w:basedOn w:val="6"/>
    <w:link w:val="4"/>
    <w:qFormat/>
    <w:uiPriority w:val="0"/>
    <w:rPr>
      <w:rFonts w:ascii="Cambria" w:hAnsi="Cambria" w:eastAsia="宋体" w:cs="Times New Roman"/>
      <w:b/>
      <w:bCs/>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18819458318</dc:creator>
  <cp:lastModifiedBy>熊灏</cp:lastModifiedBy>
  <dcterms:modified xsi:type="dcterms:W3CDTF">2024-01-08T02:52:34Z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