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rPr>
          <w:rFonts w:ascii="仿宋" w:hAnsi="仿宋" w:eastAsia="仿宋"/>
          <w:color w:val="FF0000"/>
          <w:sz w:val="32"/>
          <w:szCs w:val="32"/>
        </w:rPr>
      </w:pPr>
    </w:p>
    <w:p>
      <w:pPr>
        <w:snapToGrid w:val="0"/>
        <w:spacing w:line="62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国家税务总局广州市税务局广东省网上办税咨询服务项目采购需求</w:t>
      </w:r>
    </w:p>
    <w:p>
      <w:pPr>
        <w:snapToGrid w:val="0"/>
        <w:spacing w:line="396" w:lineRule="auto"/>
        <w:ind w:firstLine="643" w:firstLineChars="200"/>
        <w:jc w:val="left"/>
        <w:rPr>
          <w:rFonts w:ascii="仿宋" w:hAnsi="仿宋" w:eastAsia="仿宋"/>
          <w:b/>
          <w:bCs/>
          <w:color w:val="FF0000"/>
          <w:sz w:val="32"/>
          <w:szCs w:val="32"/>
        </w:rPr>
      </w:pPr>
    </w:p>
    <w:p>
      <w:pPr>
        <w:pStyle w:val="12"/>
        <w:rPr>
          <w:rFonts w:hint="default" w:ascii="仿宋_GB2312" w:hAnsi="仿宋_GB2312" w:eastAsia="仿宋_GB2312" w:cs="仿宋_GB2312"/>
        </w:rPr>
      </w:pPr>
      <w:r>
        <w:rPr>
          <w:rFonts w:ascii="仿宋" w:hAnsi="仿宋" w:eastAsia="仿宋"/>
          <w:b/>
          <w:bCs/>
          <w:color w:val="FF0000"/>
          <w:sz w:val="32"/>
          <w:szCs w:val="32"/>
        </w:rPr>
        <w:br w:type="page"/>
      </w:r>
    </w:p>
    <w:p>
      <w:pPr>
        <w:pStyle w:val="12"/>
        <w:ind w:firstLine="394" w:firstLineChars="196"/>
        <w:rPr>
          <w:rFonts w:hint="default" w:ascii="仿宋_GB2312" w:hAnsi="仿宋_GB2312" w:eastAsia="仿宋_GB2312" w:cs="仿宋_GB2312"/>
          <w:b/>
        </w:rPr>
      </w:pPr>
      <w:r>
        <w:rPr>
          <w:rFonts w:hint="default" w:ascii="仿宋_GB2312" w:hAnsi="仿宋_GB2312" w:eastAsia="仿宋_GB2312" w:cs="仿宋_GB2312"/>
          <w:b/>
        </w:rPr>
        <w:t>1、采购文件中带“★”的条款为本次采购的重要要求，供应商必须全部满足或响应，只要不满足任一带“★”的条款，将被认定为无效投标（响应）。采购文件中带“▲”的条款为本次采购较为重要的要求，供应商无法满足或响应时，将影响其评审分值。</w:t>
      </w:r>
    </w:p>
    <w:p>
      <w:pPr>
        <w:pStyle w:val="12"/>
        <w:ind w:firstLine="402" w:firstLineChars="200"/>
        <w:rPr>
          <w:rFonts w:hint="default" w:ascii="仿宋_GB2312" w:hAnsi="仿宋_GB2312" w:eastAsia="仿宋_GB2312" w:cs="仿宋_GB2312"/>
          <w:b/>
        </w:rPr>
      </w:pPr>
      <w:r>
        <w:rPr>
          <w:rFonts w:hint="default" w:ascii="仿宋_GB2312" w:hAnsi="仿宋_GB2312" w:eastAsia="仿宋_GB2312" w:cs="仿宋_GB2312"/>
          <w:b/>
        </w:rPr>
        <w:t>2、采购文件所要求的证书、资质等材料，如有有效期限制的，供应商所提供的资质、证书等材料均应处于有效期内，否则按无效材料处理。</w:t>
      </w:r>
    </w:p>
    <w:p>
      <w:pPr>
        <w:pStyle w:val="12"/>
        <w:ind w:firstLine="402" w:firstLineChars="200"/>
        <w:rPr>
          <w:rFonts w:hint="default" w:ascii="仿宋_GB2312" w:hAnsi="仿宋_GB2312" w:eastAsia="仿宋_GB2312" w:cs="仿宋_GB2312"/>
          <w:b/>
        </w:rPr>
      </w:pPr>
      <w:r>
        <w:rPr>
          <w:rFonts w:ascii="仿宋_GB2312" w:hAnsi="仿宋_GB2312" w:eastAsia="仿宋_GB2312" w:cs="仿宋_GB2312"/>
          <w:b/>
        </w:rPr>
        <w:t>★3、供应商须保证，如中标（成交），投标（响应）文件所提供的材料，如果有效期（包括需要年审、继续教育等完成后才能执业的行政许可、人员证书等情形）未能覆盖项目（包组）合同履行期的，将提前按规定办理延期手续，确保合同顺利履行（投标时提交承诺，承诺可参照“投标文件格式”中《承诺函》格式）。</w:t>
      </w:r>
    </w:p>
    <w:p>
      <w:pPr>
        <w:pStyle w:val="12"/>
        <w:ind w:firstLine="402" w:firstLineChars="200"/>
        <w:rPr>
          <w:rFonts w:hint="default" w:ascii="仿宋_GB2312" w:hAnsi="仿宋_GB2312" w:eastAsia="仿宋_GB2312" w:cs="仿宋_GB2312"/>
          <w:b/>
        </w:rPr>
      </w:pPr>
      <w:r>
        <w:rPr>
          <w:rFonts w:ascii="仿宋_GB2312" w:hAnsi="仿宋_GB2312" w:eastAsia="仿宋_GB2312" w:cs="仿宋_GB2312"/>
          <w:b/>
        </w:rPr>
        <w:t>★4、投标人必须承诺投标文件中所响应提供的资料属于真实有效的，有异议时，中标人必须在采购人提出后5个工作日内提供相关资料原件复核。如不能在规定时间内提供原件复核的，将上报有关监管部门（投标时提交承诺，承诺可参照“投标文件格式”中《承诺函》格式）。</w:t>
      </w:r>
    </w:p>
    <w:p>
      <w:pPr>
        <w:pStyle w:val="12"/>
        <w:ind w:firstLine="402" w:firstLineChars="200"/>
        <w:rPr>
          <w:rFonts w:hint="default" w:ascii="仿宋_GB2312" w:hAnsi="仿宋_GB2312" w:eastAsia="仿宋_GB2312" w:cs="仿宋_GB2312"/>
          <w:b/>
        </w:rPr>
      </w:pPr>
      <w:r>
        <w:rPr>
          <w:rFonts w:ascii="仿宋_GB2312" w:hAnsi="仿宋_GB2312" w:eastAsia="仿宋_GB2312" w:cs="仿宋_GB2312"/>
          <w:b/>
        </w:rPr>
        <w:t>★5、投标人承诺，如中标（成交），履约期间所供服务均符合国家强制性要求，包括但不限于采购文件列出的所有强制性标准(投标时提供承诺，可参照“投标文件格式”中《承诺函》格式）。</w:t>
      </w:r>
    </w:p>
    <w:p>
      <w:pPr>
        <w:pStyle w:val="12"/>
        <w:ind w:firstLine="402" w:firstLineChars="200"/>
        <w:rPr>
          <w:rFonts w:hint="default" w:ascii="仿宋_GB2312" w:hAnsi="仿宋_GB2312" w:eastAsia="仿宋_GB2312" w:cs="仿宋_GB2312"/>
          <w:b/>
        </w:rPr>
      </w:pPr>
      <w:r>
        <w:rPr>
          <w:rFonts w:ascii="仿宋_GB2312" w:hAnsi="仿宋_GB2312" w:eastAsia="仿宋_GB2312" w:cs="仿宋_GB2312"/>
          <w:b/>
        </w:rPr>
        <w:t>★6、投标人必须承诺，</w:t>
      </w:r>
      <w:r>
        <w:rPr>
          <w:rFonts w:hint="default" w:ascii="仿宋_GB2312" w:hAnsi="仿宋_GB2312" w:eastAsia="仿宋_GB2312" w:cs="仿宋_GB2312"/>
          <w:b/>
        </w:rPr>
        <w:t>如服务期限</w:t>
      </w:r>
      <w:r>
        <w:rPr>
          <w:rFonts w:ascii="仿宋_GB2312" w:hAnsi="仿宋_GB2312" w:eastAsia="仿宋_GB2312" w:cs="仿宋_GB2312"/>
          <w:b/>
        </w:rPr>
        <w:t>结束</w:t>
      </w:r>
      <w:r>
        <w:rPr>
          <w:rFonts w:hint="default" w:ascii="仿宋_GB2312" w:hAnsi="仿宋_GB2312" w:eastAsia="仿宋_GB2312" w:cs="仿宋_GB2312"/>
          <w:b/>
        </w:rPr>
        <w:t>或</w:t>
      </w:r>
      <w:r>
        <w:rPr>
          <w:rFonts w:ascii="仿宋_GB2312" w:hAnsi="仿宋_GB2312" w:eastAsia="仿宋_GB2312" w:cs="仿宋_GB2312"/>
          <w:b/>
        </w:rPr>
        <w:t>财政下拨预算经费使用完毕</w:t>
      </w:r>
      <w:r>
        <w:rPr>
          <w:rFonts w:hint="default" w:ascii="仿宋_GB2312" w:hAnsi="仿宋_GB2312" w:eastAsia="仿宋_GB2312" w:cs="仿宋_GB2312"/>
          <w:b/>
        </w:rPr>
        <w:t>任意一项条件先达到，则本项目合同履约结束（投标时提供承诺，可参照“投标文件格式”中《承诺函》格式）。</w:t>
      </w:r>
    </w:p>
    <w:p>
      <w:pPr>
        <w:pStyle w:val="12"/>
        <w:ind w:firstLine="402" w:firstLineChars="200"/>
        <w:rPr>
          <w:rFonts w:hint="default" w:ascii="仿宋_GB2312" w:hAnsi="仿宋_GB2312" w:eastAsia="仿宋_GB2312" w:cs="仿宋_GB2312"/>
          <w:b/>
        </w:rPr>
      </w:pPr>
      <w:r>
        <w:rPr>
          <w:rFonts w:ascii="仿宋_GB2312" w:hAnsi="仿宋_GB2312" w:eastAsia="仿宋_GB2312" w:cs="仿宋_GB2312"/>
          <w:b/>
        </w:rPr>
        <w:t>★7、投标人必须承诺，理解并同意“服务期限内如因相关法律法规等政府规范性文件要求，税收征管改革发展需要，机构撤并、改革等原因采购人有权单方面</w:t>
      </w:r>
      <w:r>
        <w:rPr>
          <w:rFonts w:hint="default" w:ascii="仿宋_GB2312" w:hAnsi="仿宋_GB2312" w:eastAsia="仿宋_GB2312" w:cs="仿宋_GB2312"/>
          <w:b/>
        </w:rPr>
        <w:t>终止合同</w:t>
      </w:r>
      <w:r>
        <w:rPr>
          <w:rFonts w:ascii="仿宋_GB2312" w:hAnsi="仿宋_GB2312" w:eastAsia="仿宋_GB2312" w:cs="仿宋_GB2312"/>
          <w:b/>
        </w:rPr>
        <w:t>或双方协商变更合同，支付实际发生服务期间费用。”（投标时提供承诺，可参照“投标文件格式”中《承诺函》格式）。</w:t>
      </w:r>
    </w:p>
    <w:p>
      <w:pPr>
        <w:pStyle w:val="12"/>
        <w:ind w:firstLine="402"/>
        <w:rPr>
          <w:rFonts w:hint="default" w:ascii="仿宋_GB2312" w:hAnsi="仿宋_GB2312" w:eastAsia="仿宋_GB2312" w:cs="仿宋_GB2312"/>
          <w:b/>
        </w:rPr>
      </w:pPr>
      <w:bookmarkStart w:id="0" w:name="_Toc280862318"/>
      <w:bookmarkEnd w:id="0"/>
      <w:bookmarkStart w:id="1" w:name="_Toc280862290"/>
      <w:bookmarkEnd w:id="1"/>
      <w:bookmarkStart w:id="2" w:name="_Toc280862294"/>
      <w:bookmarkEnd w:id="2"/>
      <w:bookmarkStart w:id="3" w:name="_Toc280862295"/>
      <w:bookmarkEnd w:id="3"/>
      <w:bookmarkStart w:id="4" w:name="_Toc280862313"/>
      <w:bookmarkEnd w:id="4"/>
      <w:bookmarkStart w:id="5" w:name="_Toc280862314"/>
      <w:bookmarkEnd w:id="5"/>
      <w:bookmarkStart w:id="6" w:name="_Toc280862309"/>
      <w:bookmarkEnd w:id="6"/>
      <w:bookmarkStart w:id="7" w:name="_Toc280862273"/>
      <w:bookmarkEnd w:id="7"/>
      <w:bookmarkStart w:id="8" w:name="_Toc280862301"/>
      <w:bookmarkEnd w:id="8"/>
      <w:bookmarkStart w:id="9" w:name="_Toc280862261"/>
      <w:bookmarkEnd w:id="9"/>
      <w:bookmarkStart w:id="10" w:name="_Toc280862306"/>
      <w:bookmarkEnd w:id="10"/>
      <w:bookmarkStart w:id="11" w:name="_Toc280862321"/>
      <w:bookmarkEnd w:id="11"/>
      <w:bookmarkStart w:id="12" w:name="_Toc280862296"/>
      <w:bookmarkEnd w:id="12"/>
      <w:bookmarkStart w:id="13" w:name="_Toc280862260"/>
      <w:bookmarkEnd w:id="13"/>
      <w:bookmarkStart w:id="14" w:name="_Toc280862293"/>
      <w:bookmarkEnd w:id="14"/>
      <w:bookmarkStart w:id="15" w:name="_Toc280862307"/>
      <w:bookmarkEnd w:id="15"/>
      <w:bookmarkStart w:id="16" w:name="_Toc280862299"/>
      <w:bookmarkEnd w:id="16"/>
      <w:bookmarkStart w:id="17" w:name="_Toc280862320"/>
      <w:bookmarkEnd w:id="17"/>
      <w:bookmarkStart w:id="18" w:name="_Toc280862274"/>
      <w:bookmarkEnd w:id="18"/>
      <w:bookmarkStart w:id="19" w:name="_Toc280862257"/>
      <w:bookmarkEnd w:id="19"/>
      <w:bookmarkStart w:id="20" w:name="_Toc280862302"/>
      <w:bookmarkEnd w:id="20"/>
      <w:bookmarkStart w:id="21" w:name="_Toc280862292"/>
      <w:bookmarkEnd w:id="21"/>
      <w:bookmarkStart w:id="22" w:name="_Toc280862270"/>
      <w:bookmarkEnd w:id="22"/>
      <w:bookmarkStart w:id="23" w:name="_Toc280862280"/>
      <w:bookmarkEnd w:id="23"/>
      <w:bookmarkStart w:id="24" w:name="_Toc280862287"/>
      <w:bookmarkEnd w:id="24"/>
      <w:bookmarkStart w:id="25" w:name="_Toc280862282"/>
      <w:bookmarkEnd w:id="25"/>
      <w:bookmarkStart w:id="26" w:name="_Toc280862291"/>
      <w:bookmarkEnd w:id="26"/>
      <w:bookmarkStart w:id="27" w:name="_Toc280862319"/>
      <w:bookmarkEnd w:id="27"/>
      <w:bookmarkStart w:id="28" w:name="_Toc280862305"/>
      <w:bookmarkEnd w:id="28"/>
      <w:bookmarkStart w:id="29" w:name="_Toc280862262"/>
      <w:bookmarkEnd w:id="29"/>
      <w:bookmarkStart w:id="30" w:name="_Toc280862258"/>
      <w:bookmarkEnd w:id="30"/>
      <w:bookmarkStart w:id="31" w:name="_Toc280862269"/>
      <w:bookmarkEnd w:id="31"/>
      <w:bookmarkStart w:id="32" w:name="_Toc280862271"/>
      <w:bookmarkEnd w:id="32"/>
      <w:bookmarkStart w:id="33" w:name="_Toc280862267"/>
      <w:bookmarkEnd w:id="33"/>
      <w:bookmarkStart w:id="34" w:name="_Toc280862266"/>
      <w:bookmarkEnd w:id="34"/>
      <w:bookmarkStart w:id="35" w:name="_Toc280862268"/>
      <w:bookmarkEnd w:id="35"/>
      <w:bookmarkStart w:id="36" w:name="_Toc280862281"/>
      <w:bookmarkEnd w:id="36"/>
      <w:bookmarkStart w:id="37" w:name="_Toc280862317"/>
      <w:bookmarkEnd w:id="37"/>
      <w:bookmarkStart w:id="38" w:name="_Toc280862310"/>
      <w:bookmarkEnd w:id="38"/>
      <w:bookmarkStart w:id="39" w:name="_Toc280862286"/>
      <w:bookmarkEnd w:id="39"/>
      <w:bookmarkStart w:id="40" w:name="_Toc280862265"/>
      <w:bookmarkEnd w:id="40"/>
      <w:bookmarkStart w:id="41" w:name="_Toc280862285"/>
      <w:bookmarkEnd w:id="41"/>
      <w:bookmarkStart w:id="42" w:name="_Toc280862298"/>
      <w:bookmarkEnd w:id="42"/>
      <w:bookmarkStart w:id="43" w:name="_Toc280862264"/>
      <w:bookmarkEnd w:id="43"/>
      <w:bookmarkStart w:id="44" w:name="_Toc280862315"/>
      <w:bookmarkEnd w:id="44"/>
      <w:bookmarkStart w:id="45" w:name="_Toc280862316"/>
      <w:bookmarkEnd w:id="45"/>
      <w:bookmarkStart w:id="46" w:name="_Toc280862304"/>
      <w:bookmarkEnd w:id="46"/>
      <w:bookmarkStart w:id="47" w:name="_Toc280862263"/>
      <w:bookmarkEnd w:id="47"/>
      <w:bookmarkStart w:id="48" w:name="_Toc280862283"/>
      <w:bookmarkEnd w:id="48"/>
      <w:bookmarkStart w:id="49" w:name="_Toc280862311"/>
      <w:bookmarkEnd w:id="49"/>
      <w:bookmarkStart w:id="50" w:name="_Toc280862259"/>
      <w:bookmarkEnd w:id="50"/>
      <w:bookmarkStart w:id="51" w:name="_Toc280862300"/>
      <w:bookmarkEnd w:id="51"/>
      <w:bookmarkStart w:id="52" w:name="_Toc280862279"/>
      <w:bookmarkEnd w:id="52"/>
      <w:bookmarkStart w:id="53" w:name="_Toc280862277"/>
      <w:bookmarkEnd w:id="53"/>
      <w:bookmarkStart w:id="54" w:name="_Toc280862278"/>
      <w:bookmarkEnd w:id="54"/>
      <w:bookmarkStart w:id="55" w:name="_Toc280862308"/>
      <w:bookmarkEnd w:id="55"/>
      <w:bookmarkStart w:id="56" w:name="_Toc280862288"/>
      <w:bookmarkEnd w:id="56"/>
      <w:bookmarkStart w:id="57" w:name="_Toc280862312"/>
      <w:bookmarkEnd w:id="57"/>
      <w:bookmarkStart w:id="58" w:name="_Toc280862289"/>
      <w:bookmarkEnd w:id="58"/>
      <w:bookmarkStart w:id="59" w:name="_Toc280862303"/>
      <w:bookmarkEnd w:id="59"/>
      <w:bookmarkStart w:id="60" w:name="_Toc280862284"/>
      <w:bookmarkEnd w:id="60"/>
      <w:bookmarkStart w:id="61" w:name="_Toc280862272"/>
      <w:bookmarkEnd w:id="61"/>
      <w:bookmarkStart w:id="62" w:name="_Toc280862276"/>
      <w:bookmarkEnd w:id="62"/>
      <w:bookmarkStart w:id="63" w:name="_Toc280862297"/>
      <w:bookmarkEnd w:id="63"/>
      <w:bookmarkStart w:id="64" w:name="_Toc280862275"/>
      <w:bookmarkEnd w:id="64"/>
      <w:r>
        <w:rPr>
          <w:rFonts w:ascii="仿宋_GB2312" w:hAnsi="仿宋_GB2312" w:eastAsia="仿宋_GB2312" w:cs="仿宋_GB2312"/>
          <w:b/>
        </w:rPr>
        <w:t>8、</w:t>
      </w:r>
      <w:r>
        <w:rPr>
          <w:rFonts w:ascii="仿宋_GB2312" w:hAnsi="仿宋_GB2312" w:eastAsia="仿宋_GB2312" w:cs="仿宋_GB2312"/>
          <w:b/>
          <w:bCs/>
        </w:rPr>
        <w:t>如供应商异常低价报价，评标委员会（评审小组）将启动异常低价投标（响应）审查，要求相关供应商在评审现场合理的时间内提供书面说明及必要的证明材料，对投标（响应）价格作出解释。供应商应在评标（审）现场合理的时间对完成该项目(包组）发生的全部报价进行分析，包括但不限于各种人工费、管理费、设备费、软件费、场地费用、培训费、风险责任金、工具器材、损耗品及材料、税费、</w:t>
      </w:r>
      <w:r>
        <w:rPr>
          <w:rFonts w:ascii="仿宋_GB2312" w:hAnsi="仿宋_GB2312" w:eastAsia="仿宋_GB2312" w:cs="仿宋_GB2312"/>
          <w:b/>
        </w:rPr>
        <w:t>代理服务费等各项费用，并逐一提供佐证材料。佐证材料包括但不限于：</w:t>
      </w:r>
      <w:r>
        <w:rPr>
          <w:rFonts w:ascii="仿宋_GB2312" w:hAnsi="仿宋_GB2312" w:eastAsia="仿宋_GB2312" w:cs="仿宋_GB2312"/>
          <w:b/>
          <w:bCs/>
        </w:rPr>
        <w:t>①人员工资明细表；②管理费；③设备、软件购买（或租赁）合同及发票；④自有场地的提供房产证明，租赁场地的提供租赁合同及发票；⑤以往同类服务项目的合同</w:t>
      </w:r>
      <w:r>
        <w:rPr>
          <w:rFonts w:ascii="仿宋_GB2312" w:hAnsi="仿宋_GB2312" w:eastAsia="仿宋_GB2312" w:cs="仿宋_GB2312"/>
          <w:b/>
        </w:rPr>
        <w:t>及中标（成交）通知书（或交易发票）。</w:t>
      </w:r>
    </w:p>
    <w:p>
      <w:pPr>
        <w:pStyle w:val="12"/>
        <w:ind w:firstLine="402" w:firstLineChars="200"/>
        <w:rPr>
          <w:rFonts w:hint="default" w:ascii="仿宋_GB2312" w:hAnsi="仿宋_GB2312" w:eastAsia="仿宋_GB2312" w:cs="仿宋_GB2312"/>
          <w:b/>
        </w:rPr>
      </w:pPr>
      <w:r>
        <w:rPr>
          <w:rFonts w:ascii="仿宋_GB2312" w:hAnsi="仿宋_GB2312" w:eastAsia="仿宋_GB2312" w:cs="仿宋_GB2312"/>
          <w:b/>
          <w:bCs/>
        </w:rPr>
        <w:t>注：上述罗列的费用，如实际并未发生，则无须提供对应的成本分析及证明材料，但供应商应提供说明。</w:t>
      </w:r>
    </w:p>
    <w:p>
      <w:pPr>
        <w:pStyle w:val="12"/>
        <w:ind w:firstLine="402" w:firstLineChars="200"/>
        <w:rPr>
          <w:rFonts w:hint="default" w:ascii="仿宋_GB2312" w:hAnsi="仿宋_GB2312" w:eastAsia="仿宋_GB2312" w:cs="仿宋_GB2312"/>
          <w:b/>
        </w:rPr>
      </w:pPr>
      <w:r>
        <w:rPr>
          <w:rFonts w:ascii="仿宋_GB2312" w:hAnsi="仿宋_GB2312" w:eastAsia="仿宋_GB2312" w:cs="仿宋_GB2312"/>
          <w:b/>
        </w:rPr>
        <w:t xml:space="preserve"> ★9、本项目不允许分包，如供应商在投标/响应文件中未出现《分包意向协议书》，则视为未采取分包。</w:t>
      </w:r>
    </w:p>
    <w:p>
      <w:pPr>
        <w:pStyle w:val="12"/>
        <w:ind w:firstLine="402" w:firstLineChars="200"/>
        <w:rPr>
          <w:rFonts w:hint="default" w:ascii="仿宋_GB2312" w:hAnsi="仿宋_GB2312" w:eastAsia="仿宋_GB2312" w:cs="仿宋_GB2312"/>
          <w:b/>
        </w:rPr>
      </w:pPr>
      <w:r>
        <w:rPr>
          <w:rFonts w:ascii="仿宋_GB2312" w:hAnsi="仿宋_GB2312" w:eastAsia="仿宋_GB2312" w:cs="仿宋_GB2312"/>
          <w:b/>
        </w:rPr>
        <w:t>10、根据《国务院办公厅关于在政府采购中实施本国产品标准及相关政策的通知》（国办发〔2025〕34号）的规定，本项目不适用本国产品标准及相关政策。</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一、项目背景</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随着世界经济全球化发展，营造国际一流营商环境是政府提供公共服务的重要内容，也是中国坚定推进新一轮改革开放，实现高质量发展的重要基础和关键一环。为着力提升税收法规的清晰度和透明度，推动政策落实着力提升涉税费服务的可及性、可用性、稳定性，增强纳税人缴费人获得感、满意度；着力提升税收制度在实践中的效率，持续降低经营主体制度性交易成本。</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二、项目内容</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（一）预算金额和合同周期</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本项目预算金额3816万元，合同期限为12个月（拟从2026年6月1日至2027年5月31日，具体以签订为准）。</w:t>
      </w:r>
    </w:p>
    <w:p>
      <w:pPr>
        <w:pStyle w:val="12"/>
        <w:ind w:firstLine="400"/>
        <w:rPr>
          <w:rFonts w:hint="default"/>
        </w:rPr>
      </w:pPr>
      <w:r>
        <w:rPr>
          <w:rFonts w:ascii="仿宋_GB2312" w:hAnsi="仿宋_GB2312" w:eastAsia="仿宋_GB2312" w:cs="仿宋_GB2312"/>
        </w:rPr>
        <w:t>（二）项目实施工期</w:t>
      </w:r>
    </w:p>
    <w:p>
      <w:pPr>
        <w:pStyle w:val="12"/>
        <w:ind w:firstLine="400"/>
        <w:rPr>
          <w:rFonts w:hint="default"/>
        </w:rPr>
      </w:pPr>
      <w:r>
        <w:rPr>
          <w:rFonts w:ascii="仿宋_GB2312" w:hAnsi="仿宋_GB2312" w:eastAsia="仿宋_GB2312" w:cs="仿宋_GB2312"/>
        </w:rPr>
        <w:t>鉴于项目时效性较强，中标人应当在签订合同之日起，十个工作日内完成相关实施工作，能够开展项目要求的服务。</w:t>
      </w:r>
    </w:p>
    <w:p>
      <w:pPr>
        <w:pStyle w:val="12"/>
        <w:ind w:firstLine="400"/>
        <w:rPr>
          <w:rFonts w:hint="default"/>
        </w:rPr>
      </w:pPr>
      <w:r>
        <w:rPr>
          <w:rFonts w:ascii="仿宋_GB2312" w:hAnsi="仿宋_GB2312" w:eastAsia="仿宋_GB2312" w:cs="仿宋_GB2312"/>
        </w:rPr>
        <w:t>（三）相关要求</w:t>
      </w:r>
    </w:p>
    <w:p>
      <w:pPr>
        <w:pStyle w:val="12"/>
        <w:ind w:firstLine="400"/>
        <w:rPr>
          <w:rFonts w:hint="default"/>
        </w:rPr>
      </w:pPr>
      <w:r>
        <w:rPr>
          <w:rFonts w:ascii="仿宋_GB2312" w:hAnsi="仿宋_GB2312" w:eastAsia="仿宋_GB2312" w:cs="仿宋_GB2312"/>
        </w:rPr>
        <w:t>1.外包主要业务内容</w:t>
      </w:r>
    </w:p>
    <w:p>
      <w:pPr>
        <w:pStyle w:val="12"/>
        <w:ind w:firstLine="400"/>
        <w:rPr>
          <w:rFonts w:hint="default"/>
        </w:rPr>
      </w:pPr>
      <w:r>
        <w:rPr>
          <w:rFonts w:ascii="仿宋_GB2312" w:hAnsi="仿宋_GB2312" w:eastAsia="仿宋_GB2312" w:cs="仿宋_GB2312"/>
        </w:rPr>
        <w:t>中标人负责人安排人工坐席受理电子税务局、移动办税和个人所得税涉税应用软件业务咨询服务，包括但不限于：</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（1）电子税务局系统的操作指引（包括税费申报及缴纳、社保费管理、发票管理、事项管理等功能）、相应的异常解决及业务逻辑说明；</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（2）个人所得税涉税应用软件 (含扣缴客户端、个税 APP 端、个税 WEB 端等与个税申报缴纳相关的软件)系统的操作指引、相应的异常解决及业务逻辑说明；</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（3）掌上税务局应用软件及系统的操作指导、相应的异常解决及业务逻辑说明；</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（4）出口退税申报系统的操作指引、相应的异常解决及业务逻辑说明；</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（5）税务UKey、增值税电子发票公共服务平台、电子发票服务平台等发票电子化相关设备与系统操作指引相应的异常解决及业务逻辑说明；</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（6）12366 热线的系统操作类专线咨询服务；</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（7）其他由税务局推出且需广东 12366 热线解答的涉税应用软件及平台的操作指引、相应的异常解决及业务逻辑说明；</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（8）12345 政府服务热线关于涉税业务问题的接转解答；</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（9）“7×24”小时值班时段关于涉税业务问题的解答或工单转办；</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（10）提供系统操作类问题技术支撑等服务，实现与相关应用系统运维服务团队的业务联动，可快速定位和排查解决异常问题；</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（11）按采购人要求提供涉税应用软件的培训服务；</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（12）热线知识融合整理、优化及运营工作，并设置专家坐席提供即时解答服务；</w:t>
      </w:r>
    </w:p>
    <w:p>
      <w:pPr>
        <w:pStyle w:val="12"/>
        <w:rPr>
          <w:rFonts w:hint="default" w:ascii="仿宋_GB2312" w:hAnsi="仿宋_GB2312" w:eastAsia="仿宋_GB2312" w:cs="仿宋_GB2312"/>
        </w:rPr>
      </w:pPr>
      <w:r>
        <w:rPr>
          <w:rFonts w:ascii="仿宋_GB2312" w:hAnsi="仿宋_GB2312" w:eastAsia="仿宋_GB2312" w:cs="仿宋_GB2312"/>
        </w:rPr>
        <w:t>（13）其他按采购人要求开展相关工作。</w:t>
      </w:r>
    </w:p>
    <w:p>
      <w:pPr>
        <w:pStyle w:val="12"/>
        <w:ind w:firstLine="400"/>
        <w:rPr>
          <w:rFonts w:hint="default"/>
        </w:rPr>
      </w:pPr>
      <w:r>
        <w:rPr>
          <w:rFonts w:ascii="仿宋_GB2312" w:hAnsi="仿宋_GB2312" w:eastAsia="仿宋_GB2312" w:cs="仿宋_GB2312"/>
        </w:rPr>
        <w:t>2.坐席服务保障</w:t>
      </w:r>
    </w:p>
    <w:p>
      <w:pPr>
        <w:pStyle w:val="12"/>
        <w:ind w:firstLine="400"/>
        <w:rPr>
          <w:rFonts w:hint="default"/>
        </w:rPr>
      </w:pPr>
      <w:r>
        <w:rPr>
          <w:rFonts w:ascii="仿宋_GB2312" w:hAnsi="仿宋_GB2312" w:eastAsia="仿宋_GB2312" w:cs="仿宋_GB2312"/>
        </w:rPr>
        <w:t>（1）投标人按项目服务期业务量提供 265 人的服务团队，包含但不限于热线咨询坐席、热线知识库维护、工单、培训、质检及技术支撑专席等人员。</w:t>
      </w:r>
    </w:p>
    <w:p>
      <w:pPr>
        <w:pStyle w:val="12"/>
        <w:ind w:firstLine="400"/>
        <w:rPr>
          <w:rFonts w:hint="default"/>
        </w:rPr>
      </w:pPr>
      <w:r>
        <w:rPr>
          <w:rFonts w:ascii="仿宋_GB2312" w:hAnsi="仿宋_GB2312" w:eastAsia="仿宋_GB2312" w:cs="仿宋_GB2312"/>
        </w:rPr>
        <w:t>（2）实际工作中根据改革和业务的实际需求，可适当减少人员。</w:t>
      </w:r>
    </w:p>
    <w:p>
      <w:pPr>
        <w:pStyle w:val="12"/>
        <w:ind w:firstLine="400"/>
        <w:rPr>
          <w:rFonts w:hint="default"/>
        </w:rPr>
      </w:pPr>
      <w:r>
        <w:rPr>
          <w:rFonts w:ascii="仿宋_GB2312" w:hAnsi="仿宋_GB2312" w:eastAsia="仿宋_GB2312" w:cs="仿宋_GB2312"/>
        </w:rPr>
        <w:t>3.服务时间</w:t>
      </w:r>
    </w:p>
    <w:p>
      <w:pPr>
        <w:pStyle w:val="12"/>
        <w:ind w:firstLine="400"/>
        <w:rPr>
          <w:rFonts w:hint="default"/>
        </w:rPr>
      </w:pPr>
      <w:r>
        <w:rPr>
          <w:rFonts w:ascii="仿宋_GB2312" w:hAnsi="仿宋_GB2312" w:eastAsia="仿宋_GB2312" w:cs="仿宋_GB2312"/>
        </w:rPr>
        <w:t>热线咨询坐席和在线咨询坐席在正常工作时间(工作日8:30-12:00,14:00-17:30)提供人工接听和网络在线服务。热线咨询坐席在非工作时间(中午 12:00-14:00,17:30-次日8:30,节假日)提供“智能+人工”综合服务。如因为税务总局和省税务局特别业务需求，需要临时在正常工作时间之外提供人工坐席服务的，由投标人配合通过排班调整等方式，安排人员提供对应服务，不另外收费。</w:t>
      </w:r>
    </w:p>
    <w:p>
      <w:pPr>
        <w:pStyle w:val="12"/>
        <w:ind w:firstLine="400"/>
        <w:rPr>
          <w:rFonts w:hint="default"/>
        </w:rPr>
      </w:pPr>
      <w:r>
        <w:rPr>
          <w:rFonts w:ascii="仿宋_GB2312" w:hAnsi="仿宋_GB2312" w:eastAsia="仿宋_GB2312" w:cs="仿宋_GB2312"/>
        </w:rPr>
        <w:t>自动语音服务：“7×24”小时。</w:t>
      </w:r>
    </w:p>
    <w:p>
      <w:pPr>
        <w:pStyle w:val="12"/>
        <w:ind w:firstLine="400"/>
        <w:rPr>
          <w:rFonts w:hint="default"/>
        </w:rPr>
      </w:pPr>
      <w:r>
        <w:rPr>
          <w:rFonts w:ascii="仿宋_GB2312" w:hAnsi="仿宋_GB2312" w:eastAsia="仿宋_GB2312" w:cs="仿宋_GB2312"/>
        </w:rPr>
        <w:t>4.场地要求</w:t>
      </w:r>
    </w:p>
    <w:p>
      <w:pPr>
        <w:pStyle w:val="12"/>
        <w:ind w:firstLine="400"/>
        <w:rPr>
          <w:rFonts w:hint="default"/>
        </w:rPr>
      </w:pPr>
      <w:r>
        <w:rPr>
          <w:rFonts w:ascii="仿宋_GB2312" w:hAnsi="仿宋_GB2312" w:eastAsia="仿宋_GB2312" w:cs="仿宋_GB2312"/>
        </w:rPr>
        <w:t>中标人应当在签订合同之日起十个工作日内完成相关实施工作，具备满足项目服务的办公条件。</w:t>
      </w:r>
    </w:p>
    <w:p>
      <w:pPr>
        <w:pStyle w:val="12"/>
        <w:ind w:firstLine="402"/>
        <w:rPr>
          <w:rFonts w:hint="default"/>
        </w:rPr>
      </w:pPr>
      <w:r>
        <w:rPr>
          <w:rFonts w:ascii="仿宋_GB2312" w:hAnsi="仿宋_GB2312" w:eastAsia="仿宋_GB2312" w:cs="仿宋_GB2312"/>
          <w:b/>
        </w:rPr>
        <w:t>★话务服务中心暂按 270 个人工坐席的场地配置，并应有较大的可扩展性（投标时提供承诺，可参照“投标文件格式”中《承诺函》格式）。</w:t>
      </w:r>
    </w:p>
    <w:p>
      <w:pPr>
        <w:pStyle w:val="12"/>
        <w:ind w:firstLine="400"/>
        <w:rPr>
          <w:rFonts w:hint="default"/>
        </w:rPr>
      </w:pPr>
      <w:r>
        <w:rPr>
          <w:rFonts w:ascii="仿宋_GB2312" w:hAnsi="仿宋_GB2312" w:eastAsia="仿宋_GB2312" w:cs="仿宋_GB2312"/>
        </w:rPr>
        <w:t>话务服务中心应有独立的办公区域，利于其实施话务服务、现场管理、业务培训、形象展示。办公区域分为话务服务区，服务监控区，业务支持区。话务服务中心使用统一的标识体系服务口号。</w:t>
      </w:r>
    </w:p>
    <w:p>
      <w:pPr>
        <w:pStyle w:val="12"/>
        <w:ind w:firstLine="400"/>
        <w:rPr>
          <w:rFonts w:hint="default"/>
        </w:rPr>
      </w:pPr>
      <w:r>
        <w:rPr>
          <w:rFonts w:ascii="仿宋_GB2312" w:hAnsi="仿宋_GB2312" w:eastAsia="仿宋_GB2312" w:cs="仿宋_GB2312"/>
        </w:rPr>
        <w:t>为保障日常办公秩序，话务服务中心还须设立培训教室、会议室、休息室、卫生间等。场地设施配置应达到以下水平：</w:t>
      </w:r>
    </w:p>
    <w:p>
      <w:pPr>
        <w:pStyle w:val="12"/>
        <w:ind w:firstLine="400"/>
        <w:rPr>
          <w:rFonts w:hint="default"/>
        </w:rPr>
      </w:pPr>
      <w:r>
        <w:rPr>
          <w:rFonts w:ascii="仿宋_GB2312" w:hAnsi="仿宋_GB2312" w:eastAsia="仿宋_GB2312" w:cs="仿宋_GB2312"/>
        </w:rPr>
        <w:t>（1）整体设计</w:t>
      </w:r>
    </w:p>
    <w:p>
      <w:pPr>
        <w:pStyle w:val="12"/>
        <w:ind w:firstLine="400"/>
        <w:rPr>
          <w:rFonts w:hint="default"/>
        </w:rPr>
      </w:pPr>
      <w:r>
        <w:rPr>
          <w:rFonts w:ascii="仿宋_GB2312" w:hAnsi="仿宋_GB2312" w:eastAsia="仿宋_GB2312" w:cs="仿宋_GB2312"/>
        </w:rPr>
        <w:t>参照国家税务总局对 12366 纳税服务中心的总体要求对场地进行整体规划和形象设计，在醒目位置悬挂“国家税务总局广东省税务局网上办税咨询服务中心”标牌，并在工作场所悬挂形象 LOGO、服务标语等。在进门或相应的合适区域应有大屏幕可以展示宣传话务服务中心整体形象或工作情况。</w:t>
      </w:r>
    </w:p>
    <w:p>
      <w:pPr>
        <w:pStyle w:val="12"/>
        <w:ind w:firstLine="400"/>
        <w:rPr>
          <w:rFonts w:hint="default"/>
        </w:rPr>
      </w:pPr>
      <w:r>
        <w:rPr>
          <w:rFonts w:ascii="仿宋_GB2312" w:hAnsi="仿宋_GB2312" w:eastAsia="仿宋_GB2312" w:cs="仿宋_GB2312"/>
        </w:rPr>
        <w:t>（2）使用面积</w:t>
      </w:r>
    </w:p>
    <w:p>
      <w:pPr>
        <w:pStyle w:val="12"/>
        <w:ind w:firstLine="400"/>
        <w:rPr>
          <w:rFonts w:hint="default"/>
        </w:rPr>
      </w:pPr>
      <w:r>
        <w:rPr>
          <w:rFonts w:ascii="仿宋_GB2312" w:hAnsi="仿宋_GB2312" w:eastAsia="仿宋_GB2312" w:cs="仿宋_GB2312"/>
        </w:rPr>
        <w:t xml:space="preserve">话务服务区：是服务工作人员直接受理纳税人通过 12366 热线、互联网等渠道提出服务请求的场所，采取开间式布局：使用总面积不小于 650 </w:t>
      </w:r>
      <w:r>
        <w:rPr>
          <w:rFonts w:ascii="宋体" w:hAnsi="宋体" w:cs="宋体"/>
        </w:rPr>
        <w:t>㎡</w:t>
      </w:r>
      <w:r>
        <w:rPr>
          <w:rFonts w:ascii="仿宋_GB2312" w:hAnsi="仿宋_GB2312" w:eastAsia="仿宋_GB2312" w:cs="仿宋_GB2312"/>
        </w:rPr>
        <w:t xml:space="preserve">。每个坐席使用面积不小于 2.5 </w:t>
      </w:r>
      <w:r>
        <w:rPr>
          <w:rFonts w:ascii="宋体" w:hAnsi="宋体" w:cs="宋体"/>
        </w:rPr>
        <w:t>㎡</w:t>
      </w:r>
      <w:r>
        <w:rPr>
          <w:rFonts w:ascii="仿宋_GB2312" w:hAnsi="仿宋_GB2312" w:eastAsia="仿宋_GB2312" w:cs="仿宋_GB2312"/>
        </w:rPr>
        <w:t>。坐席之间应相互隔断，坐席屏风隔断不应小于 120cm×200cm，高度设定为 130cm。</w:t>
      </w:r>
    </w:p>
    <w:p>
      <w:pPr>
        <w:pStyle w:val="12"/>
        <w:ind w:firstLine="400"/>
        <w:rPr>
          <w:rFonts w:hint="default"/>
        </w:rPr>
      </w:pPr>
      <w:r>
        <w:rPr>
          <w:rFonts w:ascii="仿宋_GB2312" w:hAnsi="仿宋_GB2312" w:eastAsia="仿宋_GB2312" w:cs="仿宋_GB2312"/>
        </w:rPr>
        <w:t>服务监控区：是供后台管理人员进行现场监控、话务质量抽查、实施日常管理的工作场所，使用总面积不小于 125</w:t>
      </w:r>
      <w:r>
        <w:rPr>
          <w:rFonts w:ascii="宋体" w:hAnsi="宋体" w:cs="宋体"/>
        </w:rPr>
        <w:t>㎡</w:t>
      </w:r>
      <w:r>
        <w:rPr>
          <w:rFonts w:ascii="仿宋_GB2312" w:hAnsi="仿宋_GB2312" w:eastAsia="仿宋_GB2312" w:cs="仿宋_GB2312"/>
        </w:rPr>
        <w:t>。</w:t>
      </w:r>
    </w:p>
    <w:p>
      <w:pPr>
        <w:pStyle w:val="12"/>
        <w:ind w:firstLine="400"/>
        <w:rPr>
          <w:rFonts w:hint="default"/>
        </w:rPr>
      </w:pPr>
      <w:r>
        <w:rPr>
          <w:rFonts w:ascii="仿宋_GB2312" w:hAnsi="仿宋_GB2312" w:eastAsia="仿宋_GB2312" w:cs="仿宋_GB2312"/>
        </w:rPr>
        <w:t xml:space="preserve">培训教室：配备与坐席人员规模相适应的培训教室 1 个，配备讲台、桌椅白板及投影设备，使用面积不小于80 </w:t>
      </w:r>
      <w:r>
        <w:rPr>
          <w:rFonts w:ascii="宋体" w:hAnsi="宋体" w:cs="宋体"/>
        </w:rPr>
        <w:t>㎡</w:t>
      </w:r>
      <w:r>
        <w:rPr>
          <w:rFonts w:ascii="仿宋_GB2312" w:hAnsi="仿宋_GB2312" w:eastAsia="仿宋_GB2312" w:cs="仿宋_GB2312"/>
        </w:rPr>
        <w:t>。</w:t>
      </w:r>
    </w:p>
    <w:p>
      <w:pPr>
        <w:pStyle w:val="12"/>
        <w:ind w:firstLine="400"/>
        <w:rPr>
          <w:rFonts w:hint="default"/>
        </w:rPr>
      </w:pPr>
      <w:r>
        <w:rPr>
          <w:rFonts w:ascii="仿宋_GB2312" w:hAnsi="仿宋_GB2312" w:eastAsia="仿宋_GB2312" w:cs="仿宋_GB2312"/>
        </w:rPr>
        <w:t>其它场所：会议室 1 个、洽谈室 1 个、茶水间 2 处、卫生间 2 个、休息区等，使用面积不小于 145</w:t>
      </w:r>
      <w:r>
        <w:rPr>
          <w:rFonts w:ascii="宋体" w:hAnsi="宋体" w:cs="宋体"/>
        </w:rPr>
        <w:t>㎡</w:t>
      </w:r>
      <w:r>
        <w:rPr>
          <w:rFonts w:ascii="仿宋_GB2312" w:hAnsi="仿宋_GB2312" w:eastAsia="仿宋_GB2312" w:cs="仿宋_GB2312"/>
        </w:rPr>
        <w:t>。</w:t>
      </w:r>
    </w:p>
    <w:p>
      <w:pPr>
        <w:pStyle w:val="12"/>
        <w:ind w:firstLine="400"/>
        <w:rPr>
          <w:rFonts w:hint="default"/>
        </w:rPr>
      </w:pPr>
      <w:r>
        <w:rPr>
          <w:rFonts w:ascii="仿宋_GB2312" w:hAnsi="仿宋_GB2312" w:eastAsia="仿宋_GB2312" w:cs="仿宋_GB2312"/>
        </w:rPr>
        <w:t xml:space="preserve">综合以上区域合计， 12366 中心场地使用总面积原则上不小于 1000 </w:t>
      </w:r>
      <w:r>
        <w:rPr>
          <w:rFonts w:ascii="宋体" w:hAnsi="宋体" w:cs="宋体"/>
        </w:rPr>
        <w:t>㎡</w:t>
      </w:r>
      <w:r>
        <w:rPr>
          <w:rFonts w:ascii="仿宋_GB2312" w:hAnsi="仿宋_GB2312" w:eastAsia="仿宋_GB2312" w:cs="仿宋_GB2312"/>
        </w:rPr>
        <w:t>。</w:t>
      </w:r>
    </w:p>
    <w:p>
      <w:pPr>
        <w:pStyle w:val="12"/>
        <w:ind w:firstLine="400"/>
        <w:rPr>
          <w:rFonts w:hint="default"/>
        </w:rPr>
      </w:pPr>
      <w:r>
        <w:rPr>
          <w:rFonts w:ascii="仿宋_GB2312" w:hAnsi="仿宋_GB2312" w:eastAsia="仿宋_GB2312" w:cs="仿宋_GB2312"/>
        </w:rPr>
        <w:t>食堂：建议保证人员日常午餐供应或提供合理的午餐供应方案。</w:t>
      </w:r>
    </w:p>
    <w:p>
      <w:pPr>
        <w:pStyle w:val="12"/>
        <w:ind w:firstLine="400"/>
        <w:rPr>
          <w:rFonts w:hint="default"/>
        </w:rPr>
      </w:pPr>
      <w:r>
        <w:rPr>
          <w:rFonts w:ascii="仿宋_GB2312" w:hAnsi="仿宋_GB2312" w:eastAsia="仿宋_GB2312" w:cs="仿宋_GB2312"/>
        </w:rPr>
        <w:t>5.配套要求</w:t>
      </w:r>
    </w:p>
    <w:p>
      <w:pPr>
        <w:pStyle w:val="12"/>
        <w:ind w:firstLine="400"/>
        <w:rPr>
          <w:rFonts w:hint="default"/>
        </w:rPr>
      </w:pPr>
      <w:r>
        <w:rPr>
          <w:rFonts w:ascii="仿宋_GB2312" w:hAnsi="仿宋_GB2312" w:eastAsia="仿宋_GB2312" w:cs="仿宋_GB2312"/>
        </w:rPr>
        <w:t>（1）话务服务中心所在大楼，具有三大运营商（电信、联通、移动）接入间，方便固话和专线等网络资源的快速接入；配备 UPS 系统或发电机组可保证不低于 2 小时的后备电力供应。</w:t>
      </w:r>
    </w:p>
    <w:p>
      <w:pPr>
        <w:pStyle w:val="12"/>
        <w:ind w:firstLine="400"/>
        <w:rPr>
          <w:rFonts w:hint="default"/>
        </w:rPr>
      </w:pPr>
      <w:r>
        <w:rPr>
          <w:rFonts w:ascii="仿宋_GB2312" w:hAnsi="仿宋_GB2312" w:eastAsia="仿宋_GB2312" w:cs="仿宋_GB2312"/>
        </w:rPr>
        <w:t>（2）视频安全监控：弱电间、机房、走道、楼梯出入口、休息区、储物间配套提供“7 ×24”小时的视频监控，视频监控存储时间要求 90 天以上，采用网络高清视频监控系统。话务服务区安装高清视频球机。</w:t>
      </w:r>
    </w:p>
    <w:p>
      <w:pPr>
        <w:pStyle w:val="12"/>
        <w:ind w:firstLine="400"/>
        <w:rPr>
          <w:rFonts w:hint="default"/>
        </w:rPr>
      </w:pPr>
      <w:r>
        <w:rPr>
          <w:rFonts w:ascii="仿宋_GB2312" w:hAnsi="仿宋_GB2312" w:eastAsia="仿宋_GB2312" w:cs="仿宋_GB2312"/>
        </w:rPr>
        <w:t>（3）话务服务中心所在大楼,消防系统及消防设施应符合国家消防安全规定，并通过国家专业机构的消防验收；具备 24 小时专人保安及监控管理、出入门禁管理等安全管理措施。投标人须负责做好驻场管理人员的办公区域和各类会议室、咨询室的卫生巡查及保洁工作。</w:t>
      </w:r>
    </w:p>
    <w:p>
      <w:pPr>
        <w:pStyle w:val="12"/>
        <w:ind w:firstLine="400"/>
        <w:rPr>
          <w:rFonts w:hint="default"/>
        </w:rPr>
      </w:pPr>
      <w:r>
        <w:rPr>
          <w:rFonts w:ascii="仿宋_GB2312" w:hAnsi="仿宋_GB2312" w:eastAsia="仿宋_GB2312" w:cs="仿宋_GB2312"/>
        </w:rPr>
        <w:t>（4）话务场地配置：话务办公场地需提供普通电源插口，网络接口，电话接口，照明控制、空调控制，窗帘；新增或更新的坐席主机需配锁锁定主机机箱。</w:t>
      </w:r>
    </w:p>
    <w:p>
      <w:pPr>
        <w:pStyle w:val="12"/>
        <w:ind w:firstLine="400"/>
        <w:rPr>
          <w:rFonts w:hint="default"/>
        </w:rPr>
      </w:pPr>
      <w:r>
        <w:rPr>
          <w:rFonts w:ascii="仿宋_GB2312" w:hAnsi="仿宋_GB2312" w:eastAsia="仿宋_GB2312" w:cs="仿宋_GB2312"/>
        </w:rPr>
        <w:t>（5）休息室配置：休息室预留电视、微波炉、冰箱电源接口，提供直饮饮水机、桌椅、垃圾桶及茶渣桶以及宣传栏。</w:t>
      </w:r>
    </w:p>
    <w:p>
      <w:pPr>
        <w:pStyle w:val="12"/>
        <w:ind w:firstLine="400"/>
        <w:rPr>
          <w:rFonts w:hint="default"/>
        </w:rPr>
      </w:pPr>
      <w:r>
        <w:rPr>
          <w:rFonts w:ascii="仿宋_GB2312" w:hAnsi="仿宋_GB2312" w:eastAsia="仿宋_GB2312" w:cs="仿宋_GB2312"/>
        </w:rPr>
        <w:t>（6）会议室配置：每个专用会议室免费提供白板、桌椅、窗帘、电源接口，有电脑和投影仪供日常使用。</w:t>
      </w:r>
    </w:p>
    <w:p>
      <w:pPr>
        <w:pStyle w:val="12"/>
        <w:ind w:firstLine="400"/>
        <w:rPr>
          <w:rFonts w:hint="default"/>
        </w:rPr>
      </w:pPr>
      <w:r>
        <w:rPr>
          <w:rFonts w:ascii="仿宋_GB2312" w:hAnsi="仿宋_GB2312" w:eastAsia="仿宋_GB2312" w:cs="仿宋_GB2312"/>
        </w:rPr>
        <w:t>（7）温度：需安装空调，室内温度要求 20℃~26℃;湿度：相对湿度要求 40％～65%;具备通风设备；</w:t>
      </w:r>
    </w:p>
    <w:p>
      <w:pPr>
        <w:pStyle w:val="12"/>
        <w:ind w:firstLine="400"/>
        <w:rPr>
          <w:rFonts w:hint="default"/>
        </w:rPr>
      </w:pPr>
      <w:r>
        <w:rPr>
          <w:rFonts w:ascii="仿宋_GB2312" w:hAnsi="仿宋_GB2312" w:eastAsia="仿宋_GB2312" w:cs="仿宋_GB2312"/>
        </w:rPr>
        <w:t>（8）墙面：应尽量使用吸音板装饰墙面，也可采用墙纸或乳胶漆，颜色要选用较明快的色调，有助于坐席人员保持高度的工作热情。</w:t>
      </w:r>
    </w:p>
    <w:p>
      <w:pPr>
        <w:pStyle w:val="12"/>
        <w:ind w:firstLine="400"/>
        <w:rPr>
          <w:rFonts w:hint="default"/>
        </w:rPr>
      </w:pPr>
      <w:r>
        <w:rPr>
          <w:rFonts w:ascii="仿宋_GB2312" w:hAnsi="仿宋_GB2312" w:eastAsia="仿宋_GB2312" w:cs="仿宋_GB2312"/>
        </w:rPr>
        <w:t>（9）电源：坐席电脑及电话机的电源应采用双回路供电及 UPS 供电或发电机组，保证工作期间电路稳定，并预留容量以备设备扩展、升级。</w:t>
      </w:r>
    </w:p>
    <w:p>
      <w:pPr>
        <w:pStyle w:val="12"/>
        <w:ind w:firstLine="400"/>
        <w:rPr>
          <w:rFonts w:hint="default"/>
        </w:rPr>
      </w:pPr>
      <w:r>
        <w:rPr>
          <w:rFonts w:ascii="仿宋_GB2312" w:hAnsi="仿宋_GB2312" w:eastAsia="仿宋_GB2312" w:cs="仿宋_GB2312"/>
        </w:rPr>
        <w:t>（10）服务平台：服务平台应具备语音咨询和在线咨询等咨询功能，且功能完善，服务流程设计合理，操作流畅，交互效果好。</w:t>
      </w:r>
    </w:p>
    <w:p>
      <w:pPr>
        <w:pStyle w:val="12"/>
        <w:ind w:firstLine="400"/>
        <w:rPr>
          <w:rFonts w:hint="default"/>
        </w:rPr>
      </w:pPr>
      <w:r>
        <w:rPr>
          <w:rFonts w:ascii="仿宋_GB2312" w:hAnsi="仿宋_GB2312" w:eastAsia="仿宋_GB2312" w:cs="仿宋_GB2312"/>
        </w:rPr>
        <w:t>6.设备和线路支撑</w:t>
      </w:r>
    </w:p>
    <w:p>
      <w:pPr>
        <w:pStyle w:val="12"/>
        <w:ind w:firstLine="400"/>
        <w:rPr>
          <w:rFonts w:hint="default"/>
        </w:rPr>
      </w:pPr>
      <w:r>
        <w:rPr>
          <w:rFonts w:ascii="仿宋_GB2312" w:hAnsi="仿宋_GB2312" w:eastAsia="仿宋_GB2312" w:cs="仿宋_GB2312"/>
        </w:rPr>
        <w:t>本项目由投标人自行按要求配套相关人员、设备提供运作服务；相关设备产权归投标人所有。</w:t>
      </w:r>
    </w:p>
    <w:p>
      <w:pPr>
        <w:pStyle w:val="12"/>
        <w:ind w:firstLine="400"/>
        <w:rPr>
          <w:rFonts w:hint="default"/>
        </w:rPr>
      </w:pPr>
      <w:r>
        <w:rPr>
          <w:rFonts w:ascii="仿宋_GB2312" w:hAnsi="仿宋_GB2312" w:eastAsia="仿宋_GB2312" w:cs="仿宋_GB2312"/>
        </w:rPr>
        <w:t>（1）工作电脑：按照每位工作人员人均一台电脑的标准进行配置，并增配 10%的备用电脑。电脑配置不低于 i5/4G/500G,配备 win7 或以上正版操作系统显示器要求不低于以下配置：</w:t>
      </w:r>
    </w:p>
    <w:p>
      <w:pPr>
        <w:pStyle w:val="12"/>
        <w:ind w:firstLine="400"/>
        <w:rPr>
          <w:rFonts w:hint="default"/>
        </w:rPr>
      </w:pPr>
      <w:r>
        <w:rPr>
          <w:rFonts w:ascii="仿宋_GB2312" w:hAnsi="仿宋_GB2312" w:eastAsia="仿宋_GB2312" w:cs="仿宋_GB2312"/>
        </w:rPr>
        <w:t>（2）22 寸宽屏液晶显示器，低辐射，横向分辨率不低于 1440。在项目合同有效期内能提供全免费(免上门费、备件费、人工费) 技术支持与质保服务。</w:t>
      </w:r>
    </w:p>
    <w:p>
      <w:pPr>
        <w:pStyle w:val="12"/>
        <w:ind w:firstLine="400"/>
        <w:rPr>
          <w:rFonts w:hint="default"/>
        </w:rPr>
      </w:pPr>
      <w:r>
        <w:rPr>
          <w:rFonts w:ascii="仿宋_GB2312" w:hAnsi="仿宋_GB2312" w:eastAsia="仿宋_GB2312" w:cs="仿宋_GB2312"/>
        </w:rPr>
        <w:t>（3）耳机：话务间专用耳机。坐席耳机按 265 人的标准 1：1.05 配比，共需耳机约 280 个。耳机要求配套提供专用中高档耳机(头戴式或耳挂式、具备降噪功能和听力保护功能)。</w:t>
      </w:r>
    </w:p>
    <w:p>
      <w:pPr>
        <w:pStyle w:val="12"/>
        <w:ind w:firstLine="400"/>
        <w:rPr>
          <w:rFonts w:hint="default"/>
        </w:rPr>
      </w:pPr>
      <w:r>
        <w:rPr>
          <w:rFonts w:ascii="仿宋_GB2312" w:hAnsi="仿宋_GB2312" w:eastAsia="仿宋_GB2312" w:cs="仿宋_GB2312"/>
        </w:rPr>
        <w:t>7.电话线路许可及在线咨询接入渠道</w:t>
      </w:r>
    </w:p>
    <w:p>
      <w:pPr>
        <w:pStyle w:val="12"/>
        <w:ind w:firstLine="400"/>
        <w:rPr>
          <w:rFonts w:hint="default"/>
        </w:rPr>
      </w:pPr>
      <w:r>
        <w:rPr>
          <w:rFonts w:ascii="仿宋_GB2312" w:hAnsi="仿宋_GB2312" w:eastAsia="仿宋_GB2312" w:cs="仿宋_GB2312"/>
        </w:rPr>
        <w:t>电话中继线路由投标人按照容量需求统一配置。在线咨询接入渠道须为采购人认可的接入渠道。</w:t>
      </w:r>
    </w:p>
    <w:p>
      <w:pPr>
        <w:pStyle w:val="12"/>
        <w:ind w:firstLine="400"/>
        <w:rPr>
          <w:rFonts w:hint="default"/>
        </w:rPr>
      </w:pPr>
      <w:r>
        <w:rPr>
          <w:rFonts w:ascii="仿宋_GB2312" w:hAnsi="仿宋_GB2312" w:eastAsia="仿宋_GB2312" w:cs="仿宋_GB2312"/>
        </w:rPr>
        <w:t>8.网络要求</w:t>
      </w:r>
    </w:p>
    <w:p>
      <w:pPr>
        <w:pStyle w:val="12"/>
        <w:ind w:firstLine="400"/>
        <w:rPr>
          <w:rFonts w:hint="default"/>
        </w:rPr>
      </w:pPr>
      <w:r>
        <w:rPr>
          <w:rFonts w:ascii="仿宋_GB2312" w:hAnsi="仿宋_GB2312" w:eastAsia="仿宋_GB2312" w:cs="仿宋_GB2312"/>
        </w:rPr>
        <w:t>（1）互联网接入</w:t>
      </w:r>
    </w:p>
    <w:p>
      <w:pPr>
        <w:pStyle w:val="12"/>
        <w:ind w:firstLine="400"/>
        <w:rPr>
          <w:rFonts w:hint="default"/>
        </w:rPr>
      </w:pPr>
      <w:r>
        <w:rPr>
          <w:rFonts w:ascii="仿宋_GB2312" w:hAnsi="仿宋_GB2312" w:eastAsia="仿宋_GB2312" w:cs="仿宋_GB2312"/>
        </w:rPr>
        <w:t>话务服务中心坐席工作电脑访问互联网，使用互联网线路,需使用 2 个不同的运营商，每个运营商出口带宽不小于 100Mbps。</w:t>
      </w:r>
    </w:p>
    <w:p>
      <w:pPr>
        <w:pStyle w:val="12"/>
        <w:ind w:firstLine="400"/>
        <w:rPr>
          <w:rFonts w:hint="default"/>
        </w:rPr>
      </w:pPr>
      <w:r>
        <w:rPr>
          <w:rFonts w:ascii="仿宋_GB2312" w:hAnsi="仿宋_GB2312" w:eastAsia="仿宋_GB2312" w:cs="仿宋_GB2312"/>
        </w:rPr>
        <w:t>9.热线知识库内容维护要求</w:t>
      </w:r>
    </w:p>
    <w:p>
      <w:pPr>
        <w:pStyle w:val="12"/>
        <w:ind w:firstLine="400"/>
        <w:rPr>
          <w:rFonts w:hint="default"/>
        </w:rPr>
      </w:pPr>
      <w:r>
        <w:rPr>
          <w:rFonts w:ascii="仿宋_GB2312" w:hAnsi="仿宋_GB2312" w:eastAsia="仿宋_GB2312" w:cs="仿宋_GB2312"/>
        </w:rPr>
        <w:t>热线知识库需能够与现有网上办税咨询问答高度融合，能够基于现有的问答知识、咨询热点、常见问题等对热线知识库进行持续优化完善，有效提升咨询的准确性，保障人工咨询答复结果口径统一、规范有效。</w:t>
      </w:r>
    </w:p>
    <w:p>
      <w:pPr>
        <w:pStyle w:val="12"/>
        <w:ind w:firstLine="400"/>
        <w:rPr>
          <w:rFonts w:hint="default"/>
        </w:rPr>
      </w:pPr>
      <w:r>
        <w:rPr>
          <w:rFonts w:ascii="仿宋_GB2312" w:hAnsi="仿宋_GB2312" w:eastAsia="仿宋_GB2312" w:cs="仿宋_GB2312"/>
        </w:rPr>
        <w:t>热线知识库内容应当涵盖服务范围内相关涉税软件系统操作类知识（包括常规操作流程、系统故障处理、突发应急等）和服务规范类知识，可实现不同维度查询要求（按照点击量、时间、关键字等）、热点知识归集、推荐问功能及可提供文字、图片、音视频、超链接等多种形式的答案。运维工作应与税务局咨询团队及应用系统运维服务团队建立三级联动知识整理机制，中标人可针对系统发布、升级、故障异常快速响应，提出具体知识库管理方案，内容完整、详细具体，三级联动税收知识整理机制科学、合理、可操作性强。</w:t>
      </w:r>
    </w:p>
    <w:p>
      <w:pPr>
        <w:pStyle w:val="12"/>
        <w:ind w:firstLine="400"/>
        <w:rPr>
          <w:rFonts w:hint="default"/>
        </w:rPr>
      </w:pPr>
      <w:r>
        <w:rPr>
          <w:rFonts w:ascii="仿宋_GB2312" w:hAnsi="仿宋_GB2312" w:eastAsia="仿宋_GB2312" w:cs="仿宋_GB2312"/>
        </w:rPr>
        <w:t>10.服务专业性要求</w:t>
      </w:r>
    </w:p>
    <w:p>
      <w:pPr>
        <w:pStyle w:val="12"/>
        <w:ind w:firstLine="400"/>
        <w:rPr>
          <w:rFonts w:hint="default"/>
        </w:rPr>
      </w:pPr>
      <w:r>
        <w:rPr>
          <w:rFonts w:ascii="仿宋_GB2312" w:hAnsi="仿宋_GB2312" w:eastAsia="仿宋_GB2312" w:cs="仿宋_GB2312"/>
        </w:rPr>
        <w:t>鉴于服务具有专业性，对技术要求较高，投标人需要熟悉现有税收业务信息系统（包括但不限于电子税务局、掌上税务局、出口退税申报系统等）的功能架构、数据结构、业务流程及业务逻辑。能完全把握现有税收业务信息系统，业务理解分析到位，并提出具体的服务方案，服务方案完整、具体、操作性强。</w:t>
      </w:r>
    </w:p>
    <w:p>
      <w:pPr>
        <w:pStyle w:val="12"/>
        <w:ind w:firstLine="400"/>
        <w:rPr>
          <w:rFonts w:hint="default"/>
        </w:rPr>
      </w:pPr>
      <w:r>
        <w:rPr>
          <w:rFonts w:ascii="仿宋_GB2312" w:hAnsi="仿宋_GB2312" w:eastAsia="仿宋_GB2312" w:cs="仿宋_GB2312"/>
        </w:rPr>
        <w:t>（1）电子税务局</w:t>
      </w:r>
    </w:p>
    <w:p>
      <w:pPr>
        <w:pStyle w:val="12"/>
        <w:ind w:firstLine="400"/>
        <w:rPr>
          <w:rFonts w:hint="default"/>
        </w:rPr>
      </w:pPr>
      <w:r>
        <w:rPr>
          <w:rFonts w:ascii="仿宋_GB2312" w:hAnsi="仿宋_GB2312" w:eastAsia="仿宋_GB2312" w:cs="仿宋_GB2312"/>
        </w:rPr>
        <w:t>电子税务局是我省（不含深圳）广大纳税人、缴费人网上办税的核心系统，是办理涉税业务的主要渠道，也是日常办税的首要选择，包括税费申报及缴纳、社保费管理、发票管理、事项管理、场景式办税、房产交易智能办税等功能，涉及“我要办税”、“我要查询”、公众服务、地方特色等栏目。</w:t>
      </w:r>
    </w:p>
    <w:p>
      <w:pPr>
        <w:pStyle w:val="12"/>
        <w:ind w:firstLine="400"/>
        <w:rPr>
          <w:rFonts w:hint="default"/>
        </w:rPr>
      </w:pPr>
      <w:r>
        <w:rPr>
          <w:rFonts w:ascii="仿宋_GB2312" w:hAnsi="仿宋_GB2312" w:eastAsia="仿宋_GB2312" w:cs="仿宋_GB2312"/>
        </w:rPr>
        <w:t>（2）掌上税务局</w:t>
      </w:r>
    </w:p>
    <w:p>
      <w:pPr>
        <w:pStyle w:val="12"/>
        <w:ind w:firstLine="400"/>
        <w:rPr>
          <w:rFonts w:hint="default"/>
        </w:rPr>
      </w:pPr>
      <w:r>
        <w:rPr>
          <w:rFonts w:ascii="仿宋_GB2312" w:hAnsi="仿宋_GB2312" w:eastAsia="仿宋_GB2312" w:cs="仿宋_GB2312"/>
        </w:rPr>
        <w:t>掌上税务局（粤税通）依托小程序为办理税费业务的人士提供专业、精细的移动办税服务。具有用户登录更便捷、税费办理更高效、票据随身更轻松、智能服务更方便等突出特点。依托微信平台建设，已开发人脸识别登录、发票业务、社保业务、不动产税费业务和涉税查询等功能模块，努力实现全省纳税人缴费人轻松办理税费“一次不用跑”。</w:t>
      </w:r>
    </w:p>
    <w:p>
      <w:pPr>
        <w:pStyle w:val="12"/>
        <w:ind w:firstLine="400"/>
        <w:rPr>
          <w:rFonts w:hint="default"/>
        </w:rPr>
      </w:pPr>
      <w:r>
        <w:rPr>
          <w:rFonts w:ascii="仿宋_GB2312" w:hAnsi="仿宋_GB2312" w:eastAsia="仿宋_GB2312" w:cs="仿宋_GB2312"/>
        </w:rPr>
        <w:t>（3）出口退税申报系统</w:t>
      </w:r>
    </w:p>
    <w:p>
      <w:pPr>
        <w:pStyle w:val="12"/>
        <w:ind w:firstLine="400"/>
        <w:rPr>
          <w:rFonts w:hint="default"/>
        </w:rPr>
      </w:pPr>
      <w:r>
        <w:rPr>
          <w:rFonts w:ascii="仿宋_GB2312" w:hAnsi="仿宋_GB2312" w:eastAsia="仿宋_GB2312" w:cs="仿宋_GB2312"/>
        </w:rPr>
        <w:t>出口退税申报系统将出口退税申报、出口退税审核、出口退税函调等功能统一归并至金税三期信息系统，通过“一窗式”体验有效提高了税务人员的工作效率，极大的提升了纳税人办理退税的便利性。该系统通过智能化改造，实现自动受理申报，审核流程智能分流，进一步优化税务机关内部办理流程。</w:t>
      </w:r>
    </w:p>
    <w:p>
      <w:pPr>
        <w:pStyle w:val="12"/>
        <w:ind w:firstLine="400"/>
        <w:rPr>
          <w:rFonts w:hint="default"/>
        </w:rPr>
      </w:pPr>
      <w:r>
        <w:rPr>
          <w:rFonts w:ascii="仿宋_GB2312" w:hAnsi="仿宋_GB2312" w:eastAsia="仿宋_GB2312" w:cs="仿宋_GB2312"/>
        </w:rPr>
        <w:t>11.外包服务团队要求</w:t>
      </w:r>
    </w:p>
    <w:p>
      <w:pPr>
        <w:pStyle w:val="12"/>
        <w:ind w:firstLine="400"/>
        <w:rPr>
          <w:rFonts w:hint="default"/>
        </w:rPr>
      </w:pPr>
      <w:r>
        <w:rPr>
          <w:rFonts w:ascii="仿宋_GB2312" w:hAnsi="仿宋_GB2312" w:eastAsia="仿宋_GB2312" w:cs="仿宋_GB2312"/>
        </w:rPr>
        <w:t>（1）中标人的 265 名服务工作人员应当在签订合同之日起十个工作日内满足条件上岗，为本项目专有使用，且服务工作人员具备 1 年或以上热线服务工作经验。投标人具备完整的呼叫中心组织架构，对外包坐席提供完善的管理和支撑。</w:t>
      </w:r>
    </w:p>
    <w:p>
      <w:pPr>
        <w:pStyle w:val="12"/>
        <w:ind w:firstLine="400"/>
        <w:rPr>
          <w:rFonts w:hint="default"/>
        </w:rPr>
      </w:pPr>
      <w:r>
        <w:rPr>
          <w:rFonts w:ascii="仿宋_GB2312" w:hAnsi="仿宋_GB2312" w:eastAsia="仿宋_GB2312" w:cs="仿宋_GB2312"/>
        </w:rPr>
        <w:t>（2）正常工作时间坐席工作量承接能力要求：语音坐席每人日均接话量不低于 60 通；在线坐席每人日均处理量不低于 80 件。</w:t>
      </w:r>
    </w:p>
    <w:p>
      <w:pPr>
        <w:pStyle w:val="12"/>
        <w:ind w:firstLine="400"/>
        <w:rPr>
          <w:rFonts w:hint="default"/>
        </w:rPr>
      </w:pPr>
      <w:r>
        <w:rPr>
          <w:rFonts w:ascii="仿宋_GB2312" w:hAnsi="仿宋_GB2312" w:eastAsia="仿宋_GB2312" w:cs="仿宋_GB2312"/>
        </w:rPr>
        <w:t>（3）“7×24”小时值班时段保障人员值守安排，满足非工作时段的接听要求。</w:t>
      </w:r>
    </w:p>
    <w:p>
      <w:pPr>
        <w:pStyle w:val="12"/>
        <w:ind w:firstLine="400"/>
        <w:rPr>
          <w:rFonts w:hint="default"/>
        </w:rPr>
      </w:pPr>
      <w:r>
        <w:rPr>
          <w:rFonts w:ascii="仿宋_GB2312" w:hAnsi="仿宋_GB2312" w:eastAsia="仿宋_GB2312" w:cs="仿宋_GB2312"/>
        </w:rPr>
        <w:t>（4）熟悉电子税务局、移动办税和个人所得税涉税软件和系统等相关办税系统的业务内容、系统的设置和操作使用等相关知识，并建立专业的业务和技术方面的培训支撑团队，及时自主地制定培训方案，对外包坐席进行培训支撑考虑咨询服务过程中，对用户存在的技术问题，需通过经纳税人授权，调取用户系统界面作操作演示或发送操作截图等途径，以更精准地定位问题，快速、准确地做出解答。</w:t>
      </w:r>
    </w:p>
    <w:p>
      <w:pPr>
        <w:pStyle w:val="12"/>
        <w:ind w:firstLine="400"/>
        <w:rPr>
          <w:rFonts w:hint="default"/>
        </w:rPr>
      </w:pPr>
      <w:r>
        <w:rPr>
          <w:rFonts w:ascii="仿宋_GB2312" w:hAnsi="仿宋_GB2312" w:eastAsia="仿宋_GB2312" w:cs="仿宋_GB2312"/>
        </w:rPr>
        <w:t>（5）熟悉广东 12366 纳税服务工作要求和工作流程，快速与税务局相关工作线条形成高效的协同工作机制。</w:t>
      </w:r>
    </w:p>
    <w:p>
      <w:pPr>
        <w:pStyle w:val="12"/>
        <w:ind w:firstLine="400"/>
        <w:rPr>
          <w:rFonts w:hint="default"/>
        </w:rPr>
      </w:pPr>
      <w:r>
        <w:rPr>
          <w:rFonts w:ascii="仿宋_GB2312" w:hAnsi="仿宋_GB2312" w:eastAsia="仿宋_GB2312" w:cs="仿宋_GB2312"/>
        </w:rPr>
        <w:t>（6）熟悉电子税务局、移动办税和个人所得税涉税软件和系统等相关办税系统的报障处理流程，做到及时报告或协调税务局相关工作线条的运维团队解决纳税人问题，严密监控服务过程的个体事件，对潜在的重大应急事件保持高度敏感，并及时反馈。</w:t>
      </w:r>
    </w:p>
    <w:p>
      <w:pPr>
        <w:pStyle w:val="12"/>
        <w:ind w:firstLine="400"/>
        <w:rPr>
          <w:rFonts w:hint="default"/>
        </w:rPr>
      </w:pPr>
      <w:r>
        <w:rPr>
          <w:rFonts w:ascii="仿宋_GB2312" w:hAnsi="仿宋_GB2312" w:eastAsia="仿宋_GB2312" w:cs="仿宋_GB2312"/>
        </w:rPr>
        <w:t>（7）针对纳税人的电脑应用、网络办税水平的差异，结合日常服务中的纳税人常见问题，发挥自身的业务和技术优势，提出有效解决方案，提升问题解决效率。</w:t>
      </w:r>
    </w:p>
    <w:p>
      <w:pPr>
        <w:pStyle w:val="12"/>
        <w:ind w:firstLine="400"/>
        <w:rPr>
          <w:rFonts w:hint="default"/>
        </w:rPr>
      </w:pPr>
      <w:r>
        <w:rPr>
          <w:rFonts w:ascii="仿宋_GB2312" w:hAnsi="仿宋_GB2312" w:eastAsia="仿宋_GB2312" w:cs="仿宋_GB2312"/>
        </w:rPr>
        <w:t>（8）建立在线服务渠道，安排人工在线坐席或智能机器人客服予以解答，有效降低纳税人请求服务的困难，提升问题解决率及服务体验，在线服务渠道包括网站在线咨询模块、在线咨询平台等形式在内。</w:t>
      </w:r>
    </w:p>
    <w:p>
      <w:pPr>
        <w:pStyle w:val="12"/>
        <w:ind w:firstLine="400"/>
        <w:rPr>
          <w:rFonts w:hint="default"/>
        </w:rPr>
      </w:pPr>
      <w:r>
        <w:rPr>
          <w:rFonts w:ascii="仿宋_GB2312" w:hAnsi="仿宋_GB2312" w:eastAsia="仿宋_GB2312" w:cs="仿宋_GB2312"/>
        </w:rPr>
        <w:t>（9）制定健全的管理制度，包括但不限于绩效考评、现场管理、培训管理，确保项目工作可按要求运行。</w:t>
      </w:r>
    </w:p>
    <w:p>
      <w:pPr>
        <w:pStyle w:val="12"/>
        <w:ind w:firstLine="400"/>
        <w:rPr>
          <w:rFonts w:hint="default"/>
        </w:rPr>
      </w:pPr>
      <w:r>
        <w:rPr>
          <w:rFonts w:ascii="仿宋_GB2312" w:hAnsi="仿宋_GB2312" w:eastAsia="仿宋_GB2312" w:cs="仿宋_GB2312"/>
        </w:rPr>
        <w:t>（10）配备高素质坐席人员：</w:t>
      </w:r>
    </w:p>
    <w:p>
      <w:pPr>
        <w:pStyle w:val="12"/>
        <w:ind w:firstLine="400"/>
        <w:rPr>
          <w:rFonts w:hint="default"/>
        </w:rPr>
      </w:pPr>
      <w:r>
        <w:rPr>
          <w:rFonts w:ascii="仿宋_GB2312" w:hAnsi="仿宋_GB2312" w:eastAsia="仿宋_GB2312" w:cs="仿宋_GB2312"/>
        </w:rPr>
        <w:t>（10.1）财务会计类、税收、管理、计算机、法律相关专业；</w:t>
      </w:r>
    </w:p>
    <w:p>
      <w:pPr>
        <w:pStyle w:val="12"/>
        <w:ind w:firstLine="400"/>
        <w:rPr>
          <w:rFonts w:hint="default"/>
        </w:rPr>
      </w:pPr>
      <w:r>
        <w:rPr>
          <w:rFonts w:ascii="仿宋_GB2312" w:hAnsi="仿宋_GB2312" w:eastAsia="仿宋_GB2312" w:cs="仿宋_GB2312"/>
        </w:rPr>
        <w:t>（10.2）汉字录入速度不低于 80 字/分钟；</w:t>
      </w:r>
    </w:p>
    <w:p>
      <w:pPr>
        <w:pStyle w:val="12"/>
        <w:ind w:firstLine="400"/>
        <w:rPr>
          <w:rFonts w:hint="default"/>
        </w:rPr>
      </w:pPr>
      <w:r>
        <w:rPr>
          <w:rFonts w:ascii="仿宋_GB2312" w:hAnsi="仿宋_GB2312" w:eastAsia="仿宋_GB2312" w:cs="仿宋_GB2312"/>
        </w:rPr>
        <w:t>（10.3）具有良好的税收基本业务知识或计算机知识；</w:t>
      </w:r>
    </w:p>
    <w:p>
      <w:pPr>
        <w:pStyle w:val="12"/>
        <w:ind w:firstLine="400"/>
        <w:rPr>
          <w:rFonts w:hint="default"/>
        </w:rPr>
      </w:pPr>
      <w:r>
        <w:rPr>
          <w:rFonts w:ascii="仿宋_GB2312" w:hAnsi="仿宋_GB2312" w:eastAsia="仿宋_GB2312" w:cs="仿宋_GB2312"/>
        </w:rPr>
        <w:t>（10.4）具备较强的服务意识和语言表达能力、良好的沟通能力、记忆能力、心理承受能力和学习能力；</w:t>
      </w:r>
    </w:p>
    <w:p>
      <w:pPr>
        <w:pStyle w:val="12"/>
        <w:ind w:firstLine="400"/>
        <w:rPr>
          <w:rFonts w:hint="default"/>
        </w:rPr>
      </w:pPr>
      <w:r>
        <w:rPr>
          <w:rFonts w:ascii="仿宋_GB2312" w:hAnsi="仿宋_GB2312" w:eastAsia="仿宋_GB2312" w:cs="仿宋_GB2312"/>
        </w:rPr>
        <w:t>（10.5）身体健康；</w:t>
      </w:r>
    </w:p>
    <w:p>
      <w:pPr>
        <w:pStyle w:val="12"/>
        <w:ind w:firstLine="400"/>
        <w:rPr>
          <w:rFonts w:hint="default"/>
        </w:rPr>
      </w:pPr>
      <w:r>
        <w:rPr>
          <w:rFonts w:ascii="仿宋_GB2312" w:hAnsi="仿宋_GB2312" w:eastAsia="仿宋_GB2312" w:cs="仿宋_GB2312"/>
        </w:rPr>
        <w:t>（10.6）坐席人员上岗前由投标人组织培训，经采购人测试合格后方能上岗。采购人有权要求撤换不合格的外包服务人员；</w:t>
      </w:r>
    </w:p>
    <w:p>
      <w:pPr>
        <w:pStyle w:val="12"/>
        <w:ind w:firstLine="400"/>
        <w:rPr>
          <w:rFonts w:hint="default"/>
        </w:rPr>
      </w:pPr>
      <w:r>
        <w:rPr>
          <w:rFonts w:ascii="仿宋_GB2312" w:hAnsi="仿宋_GB2312" w:eastAsia="仿宋_GB2312" w:cs="仿宋_GB2312"/>
        </w:rPr>
        <w:t>（10.7）建立规范的工作管理制度，确保坐席人员出勤率；</w:t>
      </w:r>
    </w:p>
    <w:p>
      <w:pPr>
        <w:pStyle w:val="12"/>
        <w:ind w:firstLine="400"/>
        <w:rPr>
          <w:rFonts w:hint="default"/>
        </w:rPr>
      </w:pPr>
      <w:r>
        <w:rPr>
          <w:rFonts w:ascii="仿宋_GB2312" w:hAnsi="仿宋_GB2312" w:eastAsia="仿宋_GB2312" w:cs="仿宋_GB2312"/>
        </w:rPr>
        <w:t>（10.8）普通话发音基本标准，语调自然，表达流畅；</w:t>
      </w:r>
    </w:p>
    <w:p>
      <w:pPr>
        <w:pStyle w:val="12"/>
        <w:ind w:firstLine="400"/>
        <w:rPr>
          <w:rFonts w:hint="default"/>
        </w:rPr>
      </w:pPr>
      <w:r>
        <w:rPr>
          <w:rFonts w:ascii="仿宋_GB2312" w:hAnsi="仿宋_GB2312" w:eastAsia="仿宋_GB2312" w:cs="仿宋_GB2312"/>
        </w:rPr>
        <w:t>（11）配备高素质现场管理人员。配备不少于 10 名后台管理、培训、技术等专业人员，负责对坐席进行现场指导，提供针对性辅导，提高坐席应答能力及服务品质；负责呼入呼出录音监听并分析；负责对团队各项业务数据加以分析，定期及时将信息反馈至管理层；负责协助坐席人员心态调整，营造团队凝聚力，有效维护坐席稳定性，控制流失率；负责为本项目提供业务、技术支持保障。管理人员除具备普通坐席的基本条件外，应具备以下条件：</w:t>
      </w:r>
    </w:p>
    <w:p>
      <w:pPr>
        <w:pStyle w:val="12"/>
        <w:ind w:firstLine="400"/>
        <w:rPr>
          <w:rFonts w:hint="default"/>
        </w:rPr>
      </w:pPr>
      <w:r>
        <w:rPr>
          <w:rFonts w:ascii="仿宋_GB2312" w:hAnsi="仿宋_GB2312" w:eastAsia="仿宋_GB2312" w:cs="仿宋_GB2312"/>
        </w:rPr>
        <w:t>（11.1）项目经理：具有1年或以上同类项目管理经验。</w:t>
      </w:r>
    </w:p>
    <w:p>
      <w:pPr>
        <w:pStyle w:val="12"/>
        <w:ind w:firstLine="400"/>
        <w:rPr>
          <w:rFonts w:hint="default"/>
        </w:rPr>
      </w:pPr>
      <w:r>
        <w:rPr>
          <w:rFonts w:ascii="仿宋_GB2312" w:hAnsi="仿宋_GB2312" w:eastAsia="仿宋_GB2312" w:cs="仿宋_GB2312"/>
        </w:rPr>
        <w:t>（11.2）热线运营岗位负责人（包括培训主管、质检主管、客服主管）：要求具有培训、质检、客服管理从业3年或以上经验。</w:t>
      </w:r>
    </w:p>
    <w:p>
      <w:pPr>
        <w:pStyle w:val="12"/>
        <w:ind w:firstLine="400"/>
        <w:rPr>
          <w:rFonts w:hint="default"/>
        </w:rPr>
      </w:pPr>
      <w:r>
        <w:rPr>
          <w:rFonts w:ascii="仿宋_GB2312" w:hAnsi="仿宋_GB2312" w:eastAsia="仿宋_GB2312" w:cs="仿宋_GB2312"/>
        </w:rPr>
        <w:t>（</w:t>
      </w:r>
      <w:r>
        <w:rPr>
          <w:rFonts w:hint="default" w:ascii="仿宋_GB2312" w:hAnsi="仿宋_GB2312" w:eastAsia="仿宋_GB2312" w:cs="仿宋_GB2312"/>
        </w:rPr>
        <w:t>11.3）</w:t>
      </w:r>
      <w:r>
        <w:rPr>
          <w:rFonts w:ascii="仿宋_GB2312" w:hAnsi="仿宋_GB2312" w:eastAsia="仿宋_GB2312" w:cs="仿宋_GB2312"/>
        </w:rPr>
        <w:t>后台业务支撑专家：排查分析热线咨询中相关涉税系统操作页面异常及报错信息，根据具体情况分析原因，提供专业的业务指引和解决方案。人员为本项目专职使用，不得与其他项目或业务共用。</w:t>
      </w:r>
    </w:p>
    <w:p>
      <w:pPr>
        <w:pStyle w:val="12"/>
        <w:ind w:firstLine="400"/>
        <w:rPr>
          <w:rFonts w:hint="default"/>
        </w:rPr>
      </w:pPr>
      <w:r>
        <w:rPr>
          <w:rFonts w:ascii="仿宋_GB2312" w:hAnsi="仿宋_GB2312" w:eastAsia="仿宋_GB2312" w:cs="仿宋_GB2312"/>
        </w:rPr>
        <w:t>（11.4）有良好的沟通表达能力、辅导能力、领导能力及问题处理能力，有高度的承压力。</w:t>
      </w:r>
    </w:p>
    <w:p>
      <w:pPr>
        <w:pStyle w:val="12"/>
        <w:ind w:firstLine="400"/>
        <w:rPr>
          <w:rFonts w:hint="default"/>
        </w:rPr>
      </w:pPr>
      <w:r>
        <w:rPr>
          <w:rFonts w:ascii="仿宋_GB2312" w:hAnsi="仿宋_GB2312" w:eastAsia="仿宋_GB2312" w:cs="仿宋_GB2312"/>
        </w:rPr>
        <w:t>（12）外包服务团队人员为本项目专职使用，不得与其他项目或业务共用。</w:t>
      </w:r>
    </w:p>
    <w:p>
      <w:pPr>
        <w:pStyle w:val="12"/>
        <w:ind w:firstLine="400"/>
        <w:rPr>
          <w:rFonts w:hint="default"/>
        </w:rPr>
      </w:pPr>
      <w:r>
        <w:rPr>
          <w:rFonts w:ascii="仿宋_GB2312" w:hAnsi="仿宋_GB2312" w:eastAsia="仿宋_GB2312" w:cs="仿宋_GB2312"/>
        </w:rPr>
        <w:t>（13）运用热线知识库针对各类涉税应用软件知识及其他相关服务知识内容进行统一管理,坐席咨询服务以知识内容作为依据，保障解答统一性和规范性。</w:t>
      </w:r>
    </w:p>
    <w:p>
      <w:pPr>
        <w:pStyle w:val="12"/>
        <w:ind w:firstLine="400"/>
        <w:rPr>
          <w:rFonts w:hint="default"/>
        </w:rPr>
      </w:pPr>
      <w:r>
        <w:rPr>
          <w:rFonts w:ascii="仿宋_GB2312" w:hAnsi="仿宋_GB2312" w:eastAsia="仿宋_GB2312" w:cs="仿宋_GB2312"/>
        </w:rPr>
        <w:t>（14）人才储备。投标人制定人才储备计划，建立人才需求库，按本项目要求，针对本项目坐席规模要求，根据坐席人员流失率等情况，有计划地培养人才梯队，确保坐席人员规模保持稳定，满足项目用人需求。</w:t>
      </w:r>
    </w:p>
    <w:p>
      <w:pPr>
        <w:pStyle w:val="12"/>
        <w:ind w:firstLine="400"/>
        <w:rPr>
          <w:rFonts w:hint="default"/>
        </w:rPr>
      </w:pPr>
      <w:r>
        <w:rPr>
          <w:rFonts w:ascii="仿宋_GB2312" w:hAnsi="仿宋_GB2312" w:eastAsia="仿宋_GB2312" w:cs="仿宋_GB2312"/>
        </w:rPr>
        <w:t>（15）投标人承诺在发生特殊情况时，可以从其他渠道临时抽调坐席人员，保障热中心坐席人员队伍数量稳定的。</w:t>
      </w:r>
    </w:p>
    <w:p>
      <w:pPr>
        <w:pStyle w:val="12"/>
        <w:ind w:firstLine="400"/>
        <w:rPr>
          <w:rFonts w:hint="default"/>
        </w:rPr>
      </w:pPr>
      <w:r>
        <w:rPr>
          <w:rFonts w:ascii="仿宋_GB2312" w:hAnsi="仿宋_GB2312" w:eastAsia="仿宋_GB2312" w:cs="仿宋_GB2312"/>
        </w:rPr>
        <w:t>12.外包服务团队的税务业务专家支持</w:t>
      </w:r>
    </w:p>
    <w:p>
      <w:pPr>
        <w:pStyle w:val="12"/>
        <w:ind w:firstLine="400"/>
        <w:rPr>
          <w:rFonts w:hint="default"/>
        </w:rPr>
      </w:pPr>
      <w:r>
        <w:rPr>
          <w:rFonts w:ascii="仿宋_GB2312" w:hAnsi="仿宋_GB2312" w:eastAsia="仿宋_GB2312" w:cs="仿宋_GB2312"/>
        </w:rPr>
        <w:t>投标人提供税务业务服务专家人员，通过远程方式对外包服务团队进行支撑，以便服务团队能更好</w:t>
      </w:r>
      <w:r>
        <w:rPr>
          <w:rFonts w:hint="eastAsia" w:ascii="仿宋_GB2312" w:hAnsi="仿宋_GB2312" w:eastAsia="仿宋_GB2312" w:cs="仿宋_GB2312"/>
          <w:lang w:eastAsia="zh-CN"/>
        </w:rPr>
        <w:t>地</w:t>
      </w:r>
      <w:bookmarkStart w:id="65" w:name="_GoBack"/>
      <w:bookmarkEnd w:id="65"/>
      <w:r>
        <w:rPr>
          <w:rFonts w:ascii="仿宋_GB2312" w:hAnsi="仿宋_GB2312" w:eastAsia="仿宋_GB2312" w:cs="仿宋_GB2312"/>
        </w:rPr>
        <w:t>为纳税人服务。具体能力要求：了解税收咨询服务的业务专家，具有税务师证书。</w:t>
      </w:r>
    </w:p>
    <w:p>
      <w:pPr>
        <w:pStyle w:val="12"/>
        <w:ind w:firstLine="400"/>
        <w:rPr>
          <w:rFonts w:hint="default"/>
        </w:rPr>
      </w:pPr>
      <w:r>
        <w:rPr>
          <w:rFonts w:ascii="仿宋_GB2312" w:hAnsi="仿宋_GB2312" w:eastAsia="仿宋_GB2312" w:cs="仿宋_GB2312"/>
        </w:rPr>
        <w:t>13.项目实施进度要求</w:t>
      </w:r>
    </w:p>
    <w:p>
      <w:pPr>
        <w:pStyle w:val="12"/>
        <w:ind w:firstLine="400"/>
        <w:rPr>
          <w:rFonts w:hint="default"/>
        </w:rPr>
      </w:pPr>
      <w:r>
        <w:rPr>
          <w:rFonts w:ascii="仿宋_GB2312" w:hAnsi="仿宋_GB2312" w:eastAsia="仿宋_GB2312" w:cs="仿宋_GB2312"/>
        </w:rPr>
        <w:t>（1）为尽快落实外包工作为纳税人提供服务，投标人 2023 年（含）以来应承担过同类项目案例，应在签订合同之日起十个工作日内完成人员招聘和培训、场地办公条件准备、呼叫中心系统对接及调试、热线知识库内容维护等工作，完成后能即时上线面向纳税人提供服务。</w:t>
      </w:r>
    </w:p>
    <w:p>
      <w:pPr>
        <w:pStyle w:val="12"/>
        <w:ind w:firstLine="400"/>
        <w:rPr>
          <w:rFonts w:hint="default"/>
        </w:rPr>
      </w:pPr>
      <w:r>
        <w:rPr>
          <w:rFonts w:ascii="仿宋_GB2312" w:hAnsi="仿宋_GB2312" w:eastAsia="仿宋_GB2312" w:cs="仿宋_GB2312"/>
        </w:rPr>
        <w:t>（2）投标人需制订实施过程的质量保障计划，包括采取实施方法和质量保障措施、定期向采购人提供质量监控报告。</w:t>
      </w:r>
    </w:p>
    <w:p>
      <w:pPr>
        <w:pStyle w:val="12"/>
        <w:ind w:firstLine="400"/>
        <w:rPr>
          <w:rFonts w:hint="default"/>
        </w:rPr>
      </w:pPr>
      <w:r>
        <w:rPr>
          <w:rFonts w:ascii="仿宋_GB2312" w:hAnsi="仿宋_GB2312" w:eastAsia="仿宋_GB2312" w:cs="仿宋_GB2312"/>
        </w:rPr>
        <w:t>（3）坐席人员可根据采购人实际要求派驻到指定场所办公。</w:t>
      </w:r>
    </w:p>
    <w:p>
      <w:pPr>
        <w:pStyle w:val="12"/>
        <w:ind w:firstLine="400"/>
        <w:rPr>
          <w:rFonts w:hint="default"/>
        </w:rPr>
      </w:pPr>
      <w:r>
        <w:rPr>
          <w:rFonts w:ascii="仿宋_GB2312" w:hAnsi="仿宋_GB2312" w:eastAsia="仿宋_GB2312" w:cs="仿宋_GB2312"/>
        </w:rPr>
        <w:t>（4）保障网络与信息安全：</w:t>
      </w:r>
    </w:p>
    <w:p>
      <w:pPr>
        <w:pStyle w:val="12"/>
        <w:ind w:firstLine="400"/>
        <w:rPr>
          <w:rFonts w:hint="default"/>
        </w:rPr>
      </w:pPr>
      <w:r>
        <w:rPr>
          <w:rFonts w:ascii="仿宋_GB2312" w:hAnsi="仿宋_GB2312" w:eastAsia="仿宋_GB2312" w:cs="仿宋_GB2312"/>
        </w:rPr>
        <w:t>（4.1）建立安全管理规章制度。</w:t>
      </w:r>
    </w:p>
    <w:p>
      <w:pPr>
        <w:pStyle w:val="12"/>
        <w:ind w:firstLine="400"/>
        <w:rPr>
          <w:rFonts w:hint="default"/>
        </w:rPr>
      </w:pPr>
      <w:r>
        <w:rPr>
          <w:rFonts w:ascii="仿宋_GB2312" w:hAnsi="仿宋_GB2312" w:eastAsia="仿宋_GB2312" w:cs="仿宋_GB2312"/>
        </w:rPr>
        <w:t>（4.2）所有员工签订保密协议。要提高坐席人员的安全保密意识，定期开展安全培训，养成良好的信息安全习惯。</w:t>
      </w:r>
    </w:p>
    <w:p>
      <w:pPr>
        <w:pStyle w:val="12"/>
        <w:ind w:firstLine="400"/>
        <w:rPr>
          <w:rFonts w:hint="default"/>
        </w:rPr>
      </w:pPr>
      <w:r>
        <w:rPr>
          <w:rFonts w:ascii="仿宋_GB2312" w:hAnsi="仿宋_GB2312" w:eastAsia="仿宋_GB2312" w:cs="仿宋_GB2312"/>
        </w:rPr>
        <w:t>（4.3）坐席电脑应安装正版杀毒软件和防火墙，定期升级。</w:t>
      </w:r>
    </w:p>
    <w:p>
      <w:pPr>
        <w:pStyle w:val="12"/>
        <w:ind w:firstLine="400"/>
        <w:rPr>
          <w:rFonts w:hint="default"/>
        </w:rPr>
      </w:pPr>
      <w:r>
        <w:rPr>
          <w:rFonts w:ascii="仿宋_GB2312" w:hAnsi="仿宋_GB2312" w:eastAsia="仿宋_GB2312" w:cs="仿宋_GB2312"/>
        </w:rPr>
        <w:t>（4.4）坐席电脑应设置开机口令，且口令长度不得少于 8 位。口令复杂度符合数字、字母、符号的无规律混排方式。</w:t>
      </w:r>
    </w:p>
    <w:p>
      <w:pPr>
        <w:pStyle w:val="12"/>
        <w:ind w:firstLine="400"/>
        <w:rPr>
          <w:rFonts w:hint="default"/>
        </w:rPr>
      </w:pPr>
      <w:r>
        <w:rPr>
          <w:rFonts w:ascii="仿宋_GB2312" w:hAnsi="仿宋_GB2312" w:eastAsia="仿宋_GB2312" w:cs="仿宋_GB2312"/>
        </w:rPr>
        <w:t>（4.5）重要信息要及时备份。</w:t>
      </w:r>
    </w:p>
    <w:p>
      <w:pPr>
        <w:pStyle w:val="12"/>
        <w:ind w:firstLine="400"/>
        <w:rPr>
          <w:rFonts w:hint="default"/>
        </w:rPr>
      </w:pPr>
      <w:r>
        <w:rPr>
          <w:rFonts w:ascii="仿宋_GB2312" w:hAnsi="仿宋_GB2312" w:eastAsia="仿宋_GB2312" w:cs="仿宋_GB2312"/>
        </w:rPr>
        <w:t>（5）除法律规定的不可抗力原因外，话务服务中心运行正常工作不得中断。如遇检修线路、工程割接、网络软件升级等可预见情况，可能影响坐席通信的，应提前 48 小时通知采购人并提出解决方案。</w:t>
      </w:r>
    </w:p>
    <w:p>
      <w:pPr>
        <w:pStyle w:val="12"/>
        <w:ind w:firstLine="400"/>
        <w:rPr>
          <w:rFonts w:hint="default"/>
        </w:rPr>
      </w:pPr>
      <w:r>
        <w:rPr>
          <w:rFonts w:ascii="仿宋_GB2312" w:hAnsi="仿宋_GB2312" w:eastAsia="仿宋_GB2312" w:cs="仿宋_GB2312"/>
        </w:rPr>
        <w:t>（6）投标人能在合同签订之日起 10 个工作日内自行完成咨询服务热线知识库整理和培训。</w:t>
      </w:r>
    </w:p>
    <w:p>
      <w:pPr>
        <w:pStyle w:val="12"/>
        <w:ind w:firstLine="400"/>
        <w:rPr>
          <w:rFonts w:hint="default"/>
        </w:rPr>
      </w:pPr>
      <w:r>
        <w:rPr>
          <w:rFonts w:ascii="仿宋_GB2312" w:hAnsi="仿宋_GB2312" w:eastAsia="仿宋_GB2312" w:cs="仿宋_GB2312"/>
        </w:rPr>
        <w:t>（7）投标人可结合实际业务需求配置更丰富的智能化渠道及服务手段。</w:t>
      </w:r>
    </w:p>
    <w:p>
      <w:pPr>
        <w:pStyle w:val="12"/>
        <w:ind w:firstLine="400"/>
        <w:rPr>
          <w:rFonts w:hint="default"/>
        </w:rPr>
      </w:pPr>
      <w:r>
        <w:rPr>
          <w:rFonts w:ascii="仿宋_GB2312" w:hAnsi="仿宋_GB2312" w:eastAsia="仿宋_GB2312" w:cs="仿宋_GB2312"/>
        </w:rPr>
        <w:t>（8）投标人为呼叫中心提供不间断电力保障服务，提供双路市电以及 1 路 UPS 断电保护或发电机组。</w:t>
      </w:r>
    </w:p>
    <w:p>
      <w:pPr>
        <w:pStyle w:val="12"/>
        <w:ind w:firstLine="400"/>
        <w:rPr>
          <w:rFonts w:hint="default"/>
        </w:rPr>
      </w:pPr>
      <w:r>
        <w:rPr>
          <w:rFonts w:ascii="仿宋_GB2312" w:hAnsi="仿宋_GB2312" w:eastAsia="仿宋_GB2312" w:cs="仿宋_GB2312"/>
        </w:rPr>
        <w:t>（9）投标人应外包服务团队人员稳定。</w:t>
      </w:r>
    </w:p>
    <w:p>
      <w:pPr>
        <w:pStyle w:val="12"/>
        <w:ind w:firstLine="400"/>
        <w:rPr>
          <w:rFonts w:hint="default"/>
        </w:rPr>
      </w:pPr>
      <w:r>
        <w:rPr>
          <w:rFonts w:ascii="仿宋_GB2312" w:hAnsi="仿宋_GB2312" w:eastAsia="仿宋_GB2312" w:cs="仿宋_GB2312"/>
        </w:rPr>
        <w:t>14.服务质量监督</w:t>
      </w:r>
    </w:p>
    <w:p>
      <w:pPr>
        <w:pStyle w:val="12"/>
        <w:ind w:firstLine="400"/>
        <w:rPr>
          <w:rFonts w:hint="default"/>
        </w:rPr>
      </w:pPr>
      <w:r>
        <w:rPr>
          <w:rFonts w:ascii="仿宋_GB2312" w:hAnsi="仿宋_GB2312" w:eastAsia="仿宋_GB2312" w:cs="仿宋_GB2312"/>
        </w:rPr>
        <w:t>项目要求投标人具备呼入客户服务项目运营管理经验，投标人根据本项目的实际情况给出运营建议以及在运营过程中可能采取的措施和方法等。</w:t>
      </w:r>
    </w:p>
    <w:p>
      <w:pPr>
        <w:pStyle w:val="12"/>
        <w:ind w:firstLine="400"/>
        <w:rPr>
          <w:rFonts w:hint="default"/>
        </w:rPr>
      </w:pPr>
      <w:r>
        <w:rPr>
          <w:rFonts w:ascii="仿宋_GB2312" w:hAnsi="仿宋_GB2312" w:eastAsia="仿宋_GB2312" w:cs="仿宋_GB2312"/>
        </w:rPr>
        <w:t>（1）中标人应将服务流程规范、服务质量标准、服务质量监控措施及应急预案等文档备案于采购人处。</w:t>
      </w:r>
    </w:p>
    <w:p>
      <w:pPr>
        <w:pStyle w:val="12"/>
        <w:ind w:firstLine="400"/>
        <w:rPr>
          <w:rFonts w:hint="default"/>
        </w:rPr>
      </w:pPr>
      <w:r>
        <w:rPr>
          <w:rFonts w:ascii="仿宋_GB2312" w:hAnsi="仿宋_GB2312" w:eastAsia="仿宋_GB2312" w:cs="仿宋_GB2312"/>
        </w:rPr>
        <w:t>（2）中标人应指派负责人，对服务过程进行总体监督、管理，并由该负责人与采购人进行对接。</w:t>
      </w:r>
    </w:p>
    <w:p>
      <w:pPr>
        <w:pStyle w:val="12"/>
        <w:ind w:firstLine="400"/>
        <w:rPr>
          <w:rFonts w:hint="default"/>
        </w:rPr>
      </w:pPr>
      <w:r>
        <w:rPr>
          <w:rFonts w:ascii="仿宋_GB2312" w:hAnsi="仿宋_GB2312" w:eastAsia="仿宋_GB2312" w:cs="仿宋_GB2312"/>
        </w:rPr>
        <w:t>（3）采购人对话务服务中心实施监控，中标人需向采购人提供相关监控后台管理系统并应配合采购人进行监听、抽检，同时将录音、截图等文件及工单记录保存 6 个月以上，并且保证所提供的质量监控数据与录音文件的准确性、及时性和全面性。</w:t>
      </w:r>
    </w:p>
    <w:p>
      <w:pPr>
        <w:pStyle w:val="12"/>
        <w:ind w:firstLine="400"/>
        <w:rPr>
          <w:rFonts w:hint="default"/>
        </w:rPr>
      </w:pPr>
      <w:r>
        <w:rPr>
          <w:rFonts w:ascii="仿宋_GB2312" w:hAnsi="仿宋_GB2312" w:eastAsia="仿宋_GB2312" w:cs="仿宋_GB2312"/>
        </w:rPr>
        <w:t>15.服务质量要求</w:t>
      </w:r>
    </w:p>
    <w:p>
      <w:pPr>
        <w:pStyle w:val="12"/>
        <w:ind w:firstLine="400"/>
        <w:rPr>
          <w:rFonts w:hint="default"/>
        </w:rPr>
      </w:pPr>
      <w:r>
        <w:rPr>
          <w:rFonts w:ascii="仿宋_GB2312" w:hAnsi="仿宋_GB2312" w:eastAsia="仿宋_GB2312" w:cs="仿宋_GB2312"/>
        </w:rPr>
        <w:t>（1）正常工作时间人工接通率：人工坐席咨询服务月平均接通率达 98%以上。接通率=人工接通量/人工需求量×100%。</w:t>
      </w:r>
    </w:p>
    <w:p>
      <w:pPr>
        <w:pStyle w:val="12"/>
        <w:ind w:firstLine="400"/>
        <w:rPr>
          <w:rFonts w:hint="default"/>
        </w:rPr>
      </w:pPr>
      <w:r>
        <w:rPr>
          <w:rFonts w:ascii="仿宋_GB2312" w:hAnsi="仿宋_GB2312" w:eastAsia="仿宋_GB2312" w:cs="仿宋_GB2312"/>
        </w:rPr>
        <w:t>（2）正常工作时间质检准确率(含答复准确性和服务规范性)不小于 95%，以采购人审核通过的质检准确率为准。</w:t>
      </w:r>
    </w:p>
    <w:p>
      <w:pPr>
        <w:pStyle w:val="12"/>
        <w:ind w:firstLine="400"/>
        <w:rPr>
          <w:rFonts w:hint="default"/>
        </w:rPr>
      </w:pPr>
      <w:r>
        <w:rPr>
          <w:rFonts w:ascii="仿宋_GB2312" w:hAnsi="仿宋_GB2312" w:eastAsia="仿宋_GB2312" w:cs="仿宋_GB2312"/>
        </w:rPr>
        <w:t>（3）正常工作时间坐席工作量承接能力要求：语音坐席每人日均接话量不低于 60 通；在线坐席每人日均处理量不低于 80 件。</w:t>
      </w:r>
    </w:p>
    <w:p>
      <w:pPr>
        <w:pStyle w:val="12"/>
        <w:ind w:firstLine="400"/>
        <w:rPr>
          <w:rFonts w:hint="default"/>
        </w:rPr>
      </w:pPr>
      <w:r>
        <w:rPr>
          <w:rFonts w:ascii="仿宋_GB2312" w:hAnsi="仿宋_GB2312" w:eastAsia="仿宋_GB2312" w:cs="仿宋_GB2312"/>
        </w:rPr>
        <w:t>（4）“7×24”小时值班时段保障人员值守安排，满足非工作时段的接听要求。</w:t>
      </w:r>
    </w:p>
    <w:p>
      <w:pPr>
        <w:pStyle w:val="12"/>
        <w:ind w:firstLine="400"/>
        <w:rPr>
          <w:rFonts w:hint="default"/>
        </w:rPr>
      </w:pPr>
      <w:r>
        <w:rPr>
          <w:rFonts w:ascii="仿宋_GB2312" w:hAnsi="仿宋_GB2312" w:eastAsia="仿宋_GB2312" w:cs="仿宋_GB2312"/>
        </w:rPr>
        <w:t>（5）“7×24”小时值班服务保障：智能服务、人工服务同时提供，保障率达 99%。服务保障率=无法正常服务的时间占工作总时长的比例不超过 1%。</w:t>
      </w:r>
    </w:p>
    <w:p>
      <w:pPr>
        <w:pStyle w:val="12"/>
        <w:ind w:firstLine="400"/>
        <w:rPr>
          <w:rFonts w:hint="default"/>
        </w:rPr>
      </w:pPr>
      <w:r>
        <w:rPr>
          <w:rFonts w:ascii="仿宋_GB2312" w:hAnsi="仿宋_GB2312" w:eastAsia="仿宋_GB2312" w:cs="仿宋_GB2312"/>
        </w:rPr>
        <w:t>（6）坐席在岗率：坐席在岗率在 85%以上，话务高峰期坐席人员在岗率根据情况动态调整。</w:t>
      </w:r>
    </w:p>
    <w:p>
      <w:pPr>
        <w:pStyle w:val="12"/>
        <w:ind w:firstLine="400"/>
        <w:rPr>
          <w:rFonts w:hint="default"/>
        </w:rPr>
      </w:pPr>
      <w:r>
        <w:rPr>
          <w:rFonts w:ascii="仿宋_GB2312" w:hAnsi="仿宋_GB2312" w:eastAsia="仿宋_GB2312" w:cs="仿宋_GB2312"/>
        </w:rPr>
        <w:t>（7）正常工作时间话后满意率：用户的整体满意度不低于 98%。满意率=评价满意及以上的样本数/接受评价的样本数×100%。</w:t>
      </w:r>
    </w:p>
    <w:p>
      <w:pPr>
        <w:pStyle w:val="12"/>
        <w:ind w:firstLine="400"/>
        <w:rPr>
          <w:rFonts w:hint="default"/>
        </w:rPr>
      </w:pPr>
      <w:r>
        <w:rPr>
          <w:rFonts w:ascii="仿宋_GB2312" w:hAnsi="仿宋_GB2312" w:eastAsia="仿宋_GB2312" w:cs="仿宋_GB2312"/>
        </w:rPr>
        <w:t>（8）正常工作时间转满意度评价率：转满意度评价率达 80%。转满意度评价率=转接满意度的样本数/总接听量×100%。</w:t>
      </w:r>
    </w:p>
    <w:p>
      <w:pPr>
        <w:pStyle w:val="12"/>
        <w:ind w:firstLine="400"/>
        <w:rPr>
          <w:rFonts w:hint="default"/>
        </w:rPr>
      </w:pPr>
      <w:r>
        <w:rPr>
          <w:rFonts w:ascii="仿宋_GB2312" w:hAnsi="仿宋_GB2312" w:eastAsia="仿宋_GB2312" w:cs="仿宋_GB2312"/>
        </w:rPr>
        <w:t>（9）系统故障时长：每月</w:t>
      </w:r>
      <w:r>
        <w:rPr>
          <w:rFonts w:ascii="仿宋_GB2312" w:hAnsi="仿宋_GB2312" w:eastAsia="仿宋_GB2312" w:cs="仿宋_GB2312"/>
          <w:color w:val="000000"/>
          <w:sz w:val="21"/>
        </w:rPr>
        <w:t>系统故障总时长不超过30分钟(不含不可抗力因素)。</w:t>
      </w:r>
    </w:p>
    <w:p>
      <w:pPr>
        <w:pStyle w:val="12"/>
        <w:ind w:firstLine="400"/>
        <w:rPr>
          <w:rFonts w:hint="default"/>
        </w:rPr>
      </w:pPr>
      <w:r>
        <w:rPr>
          <w:rFonts w:ascii="仿宋_GB2312" w:hAnsi="仿宋_GB2312" w:eastAsia="仿宋_GB2312" w:cs="仿宋_GB2312"/>
        </w:rPr>
        <w:t>（10）软件稳定性：不出现因中标人对外服务软件自身原因造成系统数据异常。</w:t>
      </w:r>
    </w:p>
    <w:p>
      <w:pPr>
        <w:pStyle w:val="12"/>
        <w:ind w:firstLine="400"/>
        <w:rPr>
          <w:rFonts w:hint="default"/>
        </w:rPr>
      </w:pPr>
      <w:r>
        <w:rPr>
          <w:rFonts w:ascii="仿宋_GB2312" w:hAnsi="仿宋_GB2312" w:eastAsia="仿宋_GB2312" w:cs="仿宋_GB2312"/>
        </w:rPr>
        <w:t>（11）投诉率：用户有效投诉率为零，有效投诉解释权归采购人所有。</w:t>
      </w:r>
    </w:p>
    <w:p>
      <w:pPr>
        <w:pStyle w:val="12"/>
        <w:ind w:firstLine="400"/>
        <w:rPr>
          <w:rFonts w:hint="default"/>
        </w:rPr>
      </w:pPr>
      <w:r>
        <w:rPr>
          <w:rFonts w:ascii="仿宋_GB2312" w:hAnsi="仿宋_GB2312" w:eastAsia="仿宋_GB2312" w:cs="仿宋_GB2312"/>
        </w:rPr>
        <w:t>（12）应急能力：业务关键时点（如申报高峰期、系统更新发布后）根据需要安排足够数量的人员加班或值班。当服务请求量大于外包服务小组的服务能力时，外包服务商应从其他渠道抽调资源优先处理。</w:t>
      </w:r>
    </w:p>
    <w:p>
      <w:pPr>
        <w:pStyle w:val="12"/>
        <w:ind w:firstLine="400"/>
        <w:rPr>
          <w:rFonts w:hint="default"/>
        </w:rPr>
      </w:pPr>
      <w:r>
        <w:rPr>
          <w:rFonts w:ascii="仿宋_GB2312" w:hAnsi="仿宋_GB2312" w:eastAsia="仿宋_GB2312" w:cs="仿宋_GB2312"/>
        </w:rPr>
        <w:t>16.投诉响应时间</w:t>
      </w:r>
    </w:p>
    <w:p>
      <w:pPr>
        <w:pStyle w:val="12"/>
        <w:ind w:firstLine="400"/>
        <w:rPr>
          <w:rFonts w:hint="default"/>
        </w:rPr>
      </w:pPr>
      <w:r>
        <w:rPr>
          <w:rFonts w:ascii="仿宋_GB2312" w:hAnsi="仿宋_GB2312" w:eastAsia="仿宋_GB2312" w:cs="仿宋_GB2312"/>
        </w:rPr>
        <w:t>对于服务投诉要求在 1 小时内给予响应，一个工作日内对反馈处理结果。</w:t>
      </w:r>
    </w:p>
    <w:p>
      <w:pPr>
        <w:pStyle w:val="12"/>
        <w:ind w:firstLine="400"/>
        <w:rPr>
          <w:rFonts w:hint="default"/>
        </w:rPr>
      </w:pPr>
      <w:r>
        <w:rPr>
          <w:rFonts w:ascii="仿宋_GB2312" w:hAnsi="仿宋_GB2312" w:eastAsia="仿宋_GB2312" w:cs="仿宋_GB2312"/>
        </w:rPr>
        <w:t>17.服务报告</w:t>
      </w:r>
    </w:p>
    <w:p>
      <w:pPr>
        <w:pStyle w:val="12"/>
        <w:ind w:firstLine="400"/>
        <w:rPr>
          <w:rFonts w:hint="default"/>
        </w:rPr>
      </w:pPr>
      <w:r>
        <w:rPr>
          <w:rFonts w:ascii="仿宋_GB2312" w:hAnsi="仿宋_GB2312" w:eastAsia="仿宋_GB2312" w:cs="仿宋_GB2312"/>
        </w:rPr>
        <w:t>中标人纳税咨询服务情况的信息记录、质量跟踪、绩效反馈、数据分析、质量提升、沟通协调等工作。</w:t>
      </w:r>
    </w:p>
    <w:p>
      <w:pPr>
        <w:pStyle w:val="12"/>
        <w:ind w:firstLine="400"/>
        <w:rPr>
          <w:rFonts w:hint="default"/>
        </w:rPr>
      </w:pPr>
      <w:r>
        <w:rPr>
          <w:rFonts w:ascii="仿宋_GB2312" w:hAnsi="仿宋_GB2312" w:eastAsia="仿宋_GB2312" w:cs="仿宋_GB2312"/>
        </w:rPr>
        <w:t>（1）按照考核工作要求，定期（按月、季度、年度）上报运营情况的各项统计数据，内容包括：咨询需求总量、人工需求量、人工接通量、等待时长、通话时长、满意率、投诉数量等各项考核指标需要的数据。</w:t>
      </w:r>
    </w:p>
    <w:p>
      <w:pPr>
        <w:pStyle w:val="12"/>
        <w:ind w:firstLine="400"/>
        <w:rPr>
          <w:rFonts w:hint="default"/>
        </w:rPr>
      </w:pPr>
      <w:r>
        <w:rPr>
          <w:rFonts w:ascii="仿宋_GB2312" w:hAnsi="仿宋_GB2312" w:eastAsia="仿宋_GB2312" w:cs="仿宋_GB2312"/>
        </w:rPr>
        <w:t>（2）按照热线服务分析工作要求，定期整理上报网上办税咨询热点问题和故障分析等内容。</w:t>
      </w:r>
    </w:p>
    <w:p>
      <w:pPr>
        <w:pStyle w:val="12"/>
        <w:ind w:firstLine="400"/>
        <w:rPr>
          <w:rFonts w:hint="default"/>
        </w:rPr>
      </w:pPr>
      <w:r>
        <w:rPr>
          <w:rFonts w:ascii="仿宋_GB2312" w:hAnsi="仿宋_GB2312" w:eastAsia="仿宋_GB2312" w:cs="仿宋_GB2312"/>
        </w:rPr>
        <w:t>（3）每月上报服务资源的配置情况、各服务渠道的服务开展情况及调整建议。</w:t>
      </w:r>
    </w:p>
    <w:p>
      <w:pPr>
        <w:pStyle w:val="12"/>
        <w:ind w:firstLine="400"/>
        <w:rPr>
          <w:rFonts w:hint="default"/>
        </w:rPr>
      </w:pPr>
      <w:r>
        <w:rPr>
          <w:rFonts w:ascii="仿宋_GB2312" w:hAnsi="仿宋_GB2312" w:eastAsia="仿宋_GB2312" w:cs="仿宋_GB2312"/>
        </w:rPr>
        <w:t>（4）每月上报服务的实时监听、录音质检以及投诉处理的分析报告。</w:t>
      </w:r>
    </w:p>
    <w:p>
      <w:pPr>
        <w:pStyle w:val="12"/>
        <w:ind w:firstLine="400"/>
        <w:rPr>
          <w:rFonts w:hint="default"/>
        </w:rPr>
      </w:pPr>
      <w:r>
        <w:rPr>
          <w:rFonts w:ascii="仿宋_GB2312" w:hAnsi="仿宋_GB2312" w:eastAsia="仿宋_GB2312" w:cs="仿宋_GB2312"/>
        </w:rPr>
        <w:t>（5）服务工作结束后须提交总结报告，由采购人进行评估验收。</w:t>
      </w:r>
    </w:p>
    <w:p>
      <w:pPr>
        <w:pStyle w:val="12"/>
        <w:ind w:firstLine="400"/>
        <w:rPr>
          <w:rFonts w:hint="default"/>
        </w:rPr>
      </w:pPr>
      <w:r>
        <w:rPr>
          <w:rFonts w:ascii="仿宋_GB2312" w:hAnsi="仿宋_GB2312" w:eastAsia="仿宋_GB2312" w:cs="仿宋_GB2312"/>
        </w:rPr>
        <w:t>18.安全和保密</w:t>
      </w:r>
    </w:p>
    <w:p>
      <w:pPr>
        <w:pStyle w:val="12"/>
        <w:ind w:firstLine="400"/>
        <w:rPr>
          <w:rFonts w:hint="default"/>
        </w:rPr>
      </w:pPr>
      <w:r>
        <w:rPr>
          <w:rFonts w:ascii="仿宋_GB2312" w:hAnsi="仿宋_GB2312" w:eastAsia="仿宋_GB2312" w:cs="仿宋_GB2312"/>
        </w:rPr>
        <w:t>（1）中标人及其外包服务人员须与采购人签订保密协议，本项目有关人员须遵循采购人的各项规章制度。所接触的广东税务专有信息仅限于本人在本项目中使用。</w:t>
      </w:r>
    </w:p>
    <w:p>
      <w:pPr>
        <w:pStyle w:val="12"/>
        <w:ind w:firstLine="400"/>
        <w:rPr>
          <w:rFonts w:hint="default"/>
        </w:rPr>
      </w:pPr>
      <w:r>
        <w:rPr>
          <w:rFonts w:ascii="仿宋_GB2312" w:hAnsi="仿宋_GB2312" w:eastAsia="仿宋_GB2312" w:cs="仿宋_GB2312"/>
        </w:rPr>
        <w:t>（2）中标人需对纳税人资料采取严格的保密措施，不得将纳税人客户资料泄露给任何第三人，更不得用于演示或宣传。</w:t>
      </w:r>
    </w:p>
    <w:p>
      <w:pPr>
        <w:pStyle w:val="12"/>
        <w:ind w:firstLine="400"/>
        <w:rPr>
          <w:rFonts w:hint="default"/>
        </w:rPr>
      </w:pPr>
      <w:r>
        <w:rPr>
          <w:rFonts w:ascii="仿宋_GB2312" w:hAnsi="仿宋_GB2312" w:eastAsia="仿宋_GB2312" w:cs="仿宋_GB2312"/>
        </w:rPr>
        <w:t>（3）坐席人员应使用规范服务用语，不得在服务过程中以任何形式引导咨询人使用涉税第三方的收费服务。</w:t>
      </w:r>
    </w:p>
    <w:p>
      <w:pPr>
        <w:pStyle w:val="12"/>
        <w:ind w:firstLine="400"/>
        <w:rPr>
          <w:rFonts w:hint="default"/>
        </w:rPr>
      </w:pPr>
      <w:r>
        <w:rPr>
          <w:rFonts w:ascii="仿宋_GB2312" w:hAnsi="仿宋_GB2312" w:eastAsia="仿宋_GB2312" w:cs="仿宋_GB2312"/>
        </w:rPr>
        <w:t>19.安全建设要求</w:t>
      </w:r>
    </w:p>
    <w:p>
      <w:pPr>
        <w:pStyle w:val="12"/>
        <w:ind w:firstLine="400"/>
        <w:rPr>
          <w:rFonts w:hint="default"/>
        </w:rPr>
      </w:pPr>
      <w:r>
        <w:rPr>
          <w:rFonts w:ascii="仿宋_GB2312" w:hAnsi="仿宋_GB2312" w:eastAsia="仿宋_GB2312" w:cs="仿宋_GB2312"/>
        </w:rPr>
        <w:t>话务服务中心应遵循信息安全有关规范。符合国家信息安全等级保护管理制度规范要求。话务服务中心须符合安全性建设要求，满足安全组织、人员安全、安全制度、安全运维、场地安全、网络安全、主机安全、应用安全和数据安全等各方面安全技术措施和管理要求，保证符合相关信息安全策略要求。</w:t>
      </w:r>
    </w:p>
    <w:p>
      <w:pPr>
        <w:pStyle w:val="12"/>
        <w:ind w:firstLine="400"/>
        <w:rPr>
          <w:rFonts w:hint="default"/>
        </w:rPr>
      </w:pPr>
      <w:r>
        <w:rPr>
          <w:rFonts w:ascii="仿宋_GB2312" w:hAnsi="仿宋_GB2312" w:eastAsia="仿宋_GB2312" w:cs="仿宋_GB2312"/>
        </w:rPr>
        <w:t>20.安全组织要求</w:t>
      </w:r>
    </w:p>
    <w:p>
      <w:pPr>
        <w:pStyle w:val="12"/>
        <w:ind w:firstLine="400"/>
        <w:rPr>
          <w:rFonts w:hint="default"/>
        </w:rPr>
      </w:pPr>
      <w:r>
        <w:rPr>
          <w:rFonts w:ascii="仿宋_GB2312" w:hAnsi="仿宋_GB2312" w:eastAsia="仿宋_GB2312" w:cs="仿宋_GB2312"/>
        </w:rPr>
        <w:t>话务服务中心需成立信息安全管理小组，负责该中心的信息安全工作,按照相关等级系统的管理制度规范建立安全制度以及实施指南，包括人员管理安全职责、第三人员安全管理职责等；配合执行信息安全相关的实施方法和程序，定期采取信息安全措施，如安全意识培训及教育等，定期安全自查并向税务局汇报安全管理情况，每年组织一次应急演练等。</w:t>
      </w:r>
    </w:p>
    <w:p>
      <w:pPr>
        <w:pStyle w:val="12"/>
        <w:ind w:firstLine="400"/>
        <w:rPr>
          <w:rFonts w:hint="default"/>
        </w:rPr>
      </w:pPr>
      <w:r>
        <w:rPr>
          <w:rFonts w:ascii="仿宋_GB2312" w:hAnsi="仿宋_GB2312" w:eastAsia="仿宋_GB2312" w:cs="仿宋_GB2312"/>
        </w:rPr>
        <w:t>21.人员管理要求</w:t>
      </w:r>
    </w:p>
    <w:p>
      <w:pPr>
        <w:pStyle w:val="12"/>
        <w:ind w:firstLine="400"/>
        <w:rPr>
          <w:rFonts w:hint="default"/>
        </w:rPr>
      </w:pPr>
      <w:r>
        <w:rPr>
          <w:rFonts w:ascii="仿宋_GB2312" w:hAnsi="仿宋_GB2312" w:eastAsia="仿宋_GB2312" w:cs="仿宋_GB2312"/>
        </w:rPr>
        <w:t>人员安全管理需按照有关规定执行人员签订安全保密协议，提高人员安全保密意识，定期开展安全意识培训,养成良好的信息安全习惯；第三方人员符合安全保密工作要求。对人员录用、调动、离岗、考核、培训教育等几个方面的具体管理要求如下：</w:t>
      </w:r>
    </w:p>
    <w:p>
      <w:pPr>
        <w:pStyle w:val="12"/>
        <w:ind w:firstLine="400"/>
        <w:rPr>
          <w:rFonts w:hint="default"/>
        </w:rPr>
      </w:pPr>
      <w:r>
        <w:rPr>
          <w:rFonts w:ascii="仿宋_GB2312" w:hAnsi="仿宋_GB2312" w:eastAsia="仿宋_GB2312" w:cs="仿宋_GB2312"/>
        </w:rPr>
        <w:t>（1）录用前</w:t>
      </w:r>
    </w:p>
    <w:p>
      <w:pPr>
        <w:pStyle w:val="12"/>
        <w:ind w:firstLine="400"/>
        <w:rPr>
          <w:rFonts w:hint="default"/>
        </w:rPr>
      </w:pPr>
      <w:r>
        <w:rPr>
          <w:rFonts w:ascii="仿宋_GB2312" w:hAnsi="仿宋_GB2312" w:eastAsia="仿宋_GB2312" w:cs="仿宋_GB2312"/>
        </w:rPr>
        <w:t>应明确被录用人员的安全技能要求，在录用过程中依据技能要求进行考察，并对技能考核结果进行记录；对涉及访问关键信息，或者访问处理这些信息系统的工作人员应进行严格的安全背景审核和权限审查；关键岗位人员应当进行特殊的安全审核、权限管理和保密管理，签署安全协议；人员相关的安全事项-需包括在工作描述或合同中。</w:t>
      </w:r>
    </w:p>
    <w:p>
      <w:pPr>
        <w:pStyle w:val="12"/>
        <w:ind w:firstLine="400"/>
        <w:rPr>
          <w:rFonts w:hint="default"/>
        </w:rPr>
      </w:pPr>
      <w:r>
        <w:rPr>
          <w:rFonts w:ascii="仿宋_GB2312" w:hAnsi="仿宋_GB2312" w:eastAsia="仿宋_GB2312" w:cs="仿宋_GB2312"/>
        </w:rPr>
        <w:t>（2）工作期间</w:t>
      </w:r>
    </w:p>
    <w:p>
      <w:pPr>
        <w:pStyle w:val="12"/>
        <w:ind w:firstLine="400"/>
        <w:rPr>
          <w:rFonts w:hint="default"/>
        </w:rPr>
      </w:pPr>
      <w:r>
        <w:rPr>
          <w:rFonts w:ascii="仿宋_GB2312" w:hAnsi="仿宋_GB2312" w:eastAsia="仿宋_GB2312" w:cs="仿宋_GB2312"/>
        </w:rPr>
        <w:t>所有工作人员须在开始工作前，亲自签订安全保密协议：需对全体工作人员就信息安全策略和相关管理规定进行培训，使他们熟悉信息安全的实施并加强安全意识；在对工作人员授权对某项信息技术服条进行访问前，需对他们进行培训，确保他们正确使用相关的信息工具和设备；应根据岗位职责的不同，定期对各个岗位的人员进行不同层面的安全认知和安全技能进行培训；对安全责任和惩戒措施进行书面规定并告知相关人员，对违反违背安全策略和规定的人员进行惩戒。</w:t>
      </w:r>
    </w:p>
    <w:p>
      <w:pPr>
        <w:pStyle w:val="12"/>
        <w:ind w:firstLine="400"/>
        <w:rPr>
          <w:rFonts w:hint="default"/>
        </w:rPr>
      </w:pPr>
      <w:r>
        <w:rPr>
          <w:rFonts w:ascii="仿宋_GB2312" w:hAnsi="仿宋_GB2312" w:eastAsia="仿宋_GB2312" w:cs="仿宋_GB2312"/>
        </w:rPr>
        <w:t>（3）调离岗</w:t>
      </w:r>
    </w:p>
    <w:p>
      <w:pPr>
        <w:pStyle w:val="12"/>
        <w:ind w:firstLine="400"/>
        <w:rPr>
          <w:rFonts w:hint="default"/>
        </w:rPr>
      </w:pPr>
      <w:r>
        <w:rPr>
          <w:rFonts w:ascii="仿宋_GB2312" w:hAnsi="仿宋_GB2312" w:eastAsia="仿宋_GB2312" w:cs="仿宋_GB2312"/>
        </w:rPr>
        <w:t>应严格规范人员调离岗过程，及时调整调离岗人员的所有访问权限；确保指定的继任者能够从该工作人员处获得与该岗位相关的资料和信息；收回所有系统文档、各种分发物件(身份证件、钥匙、徽章、USB 令牌等)以及借走的 IT 设备(笔记本、 U 盘等)。</w:t>
      </w:r>
    </w:p>
    <w:p>
      <w:pPr>
        <w:pStyle w:val="12"/>
        <w:ind w:firstLine="400"/>
        <w:rPr>
          <w:rFonts w:hint="default"/>
        </w:rPr>
      </w:pPr>
      <w:r>
        <w:rPr>
          <w:rFonts w:ascii="仿宋_GB2312" w:hAnsi="仿宋_GB2312" w:eastAsia="仿宋_GB2312" w:cs="仿宋_GB2312"/>
        </w:rPr>
        <w:t>（4）转岗</w:t>
      </w:r>
    </w:p>
    <w:p>
      <w:pPr>
        <w:pStyle w:val="12"/>
        <w:ind w:firstLine="400"/>
        <w:rPr>
          <w:rFonts w:hint="default"/>
        </w:rPr>
      </w:pPr>
      <w:r>
        <w:rPr>
          <w:rFonts w:ascii="仿宋_GB2312" w:hAnsi="仿宋_GB2312" w:eastAsia="仿宋_GB2312" w:cs="仿宋_GB2312"/>
        </w:rPr>
        <w:t>应严格规范人员转岗过程，应分配临时员工的所有访问权限，并定期检查人员变动及权限匹配关系；关键岗位人员应在转岗期间签署保密承诺书。</w:t>
      </w:r>
    </w:p>
    <w:p>
      <w:pPr>
        <w:pStyle w:val="12"/>
        <w:ind w:firstLine="400"/>
        <w:rPr>
          <w:rFonts w:hint="default"/>
        </w:rPr>
      </w:pPr>
      <w:r>
        <w:rPr>
          <w:rFonts w:ascii="仿宋_GB2312" w:hAnsi="仿宋_GB2312" w:eastAsia="仿宋_GB2312" w:cs="仿宋_GB2312"/>
        </w:rPr>
        <w:t>三、安全要求</w:t>
      </w:r>
    </w:p>
    <w:p>
      <w:pPr>
        <w:pStyle w:val="12"/>
        <w:ind w:firstLine="400"/>
        <w:rPr>
          <w:rFonts w:hint="default"/>
        </w:rPr>
      </w:pPr>
      <w:r>
        <w:rPr>
          <w:rFonts w:ascii="仿宋_GB2312" w:hAnsi="仿宋_GB2312" w:eastAsia="仿宋_GB2312" w:cs="仿宋_GB2312"/>
        </w:rPr>
        <w:t>（一）运营安全要求</w:t>
      </w:r>
    </w:p>
    <w:p>
      <w:pPr>
        <w:pStyle w:val="12"/>
        <w:ind w:firstLine="400"/>
        <w:rPr>
          <w:rFonts w:hint="default"/>
        </w:rPr>
      </w:pPr>
      <w:r>
        <w:rPr>
          <w:rFonts w:ascii="仿宋_GB2312" w:hAnsi="仿宋_GB2312" w:eastAsia="仿宋_GB2312" w:cs="仿宋_GB2312"/>
        </w:rPr>
        <w:t>建立日常运营安全管理的规章制度，保证日常的运营安全，包括人员管理安全职责、第三人员安全管理职责、运维人员管理职责、运维人员保密意识等。</w:t>
      </w:r>
    </w:p>
    <w:p>
      <w:pPr>
        <w:pStyle w:val="12"/>
        <w:ind w:firstLine="400"/>
        <w:rPr>
          <w:rFonts w:hint="default"/>
        </w:rPr>
      </w:pPr>
      <w:r>
        <w:rPr>
          <w:rFonts w:ascii="仿宋_GB2312" w:hAnsi="仿宋_GB2312" w:eastAsia="仿宋_GB2312" w:cs="仿宋_GB2312"/>
        </w:rPr>
        <w:t>（二）场地物理安全要求</w:t>
      </w:r>
    </w:p>
    <w:p>
      <w:pPr>
        <w:pStyle w:val="12"/>
        <w:ind w:firstLine="400"/>
        <w:rPr>
          <w:rFonts w:hint="default"/>
        </w:rPr>
      </w:pPr>
      <w:r>
        <w:rPr>
          <w:rFonts w:ascii="仿宋_GB2312" w:hAnsi="仿宋_GB2312" w:eastAsia="仿宋_GB2312" w:cs="仿宋_GB2312"/>
        </w:rPr>
        <w:t>场地物理安全是信息系统安全的基础保证，物理安全从机房、主机、网络、设备、环境、介质等方面进行安全防护。具有独立的机房/通讯间，其建设和日常维护管理符合国家税务总局及国家计算机机房管理规范的要求。机房进出应有控制措施，网络设备、布线系统、终端等部位进行加固，配有安全防护措施的机柜，防止随意对接入设备、安全网关、路由器交换机、调线架等设备的物理访问；明确场地管理人员的职责边界、行为规范和安全责任，确保设备的物理安全。资产设备做好标签标识，标签内容包括名称、用途和类型等。场地提供符合要求的视频安全监控和不间断电源供应。</w:t>
      </w:r>
    </w:p>
    <w:p>
      <w:pPr>
        <w:pStyle w:val="12"/>
        <w:ind w:firstLine="400"/>
        <w:rPr>
          <w:rFonts w:hint="default"/>
        </w:rPr>
      </w:pPr>
      <w:r>
        <w:rPr>
          <w:rFonts w:ascii="仿宋_GB2312" w:hAnsi="仿宋_GB2312" w:eastAsia="仿宋_GB2312" w:cs="仿宋_GB2312"/>
        </w:rPr>
        <w:t>（三）终端安全要求</w:t>
      </w:r>
    </w:p>
    <w:p>
      <w:pPr>
        <w:pStyle w:val="12"/>
        <w:ind w:firstLine="400"/>
        <w:rPr>
          <w:rFonts w:hint="default"/>
        </w:rPr>
      </w:pPr>
      <w:r>
        <w:rPr>
          <w:rFonts w:ascii="仿宋_GB2312" w:hAnsi="仿宋_GB2312" w:eastAsia="仿宋_GB2312" w:cs="仿宋_GB2312"/>
        </w:rPr>
        <w:t>终端计算机符合税务安全配置基线要求策略，要安装正版杀毒软件和防火墙，并定期升级，不得留存敏感和受控数据；要求部署安全审计防护，有网络行为审计系统进行监控及记录。</w:t>
      </w:r>
    </w:p>
    <w:p>
      <w:pPr>
        <w:pStyle w:val="12"/>
        <w:ind w:firstLine="400"/>
        <w:rPr>
          <w:rFonts w:hint="default"/>
        </w:rPr>
      </w:pPr>
      <w:r>
        <w:rPr>
          <w:rFonts w:ascii="仿宋_GB2312" w:hAnsi="仿宋_GB2312" w:eastAsia="仿宋_GB2312" w:cs="仿宋_GB2312"/>
        </w:rPr>
        <w:t>（四）网络设备安全要求</w:t>
      </w:r>
    </w:p>
    <w:p>
      <w:pPr>
        <w:pStyle w:val="12"/>
        <w:ind w:firstLine="400"/>
        <w:rPr>
          <w:rFonts w:hint="default"/>
        </w:rPr>
      </w:pPr>
      <w:r>
        <w:rPr>
          <w:rFonts w:ascii="仿宋_GB2312" w:hAnsi="仿宋_GB2312" w:eastAsia="仿宋_GB2312" w:cs="仿宋_GB2312"/>
        </w:rPr>
        <w:t>网络安全设备须放置在专门具有安全防护的机柜内，网络设备的安全基线配置符合网络安全技术基本要求，符合网络结构安全、网络访问控制、网络安全审计、边界完整性保护、网络入侵防范、网络恶意代码防范、网络设备登录控制、网络备份与恢复要求。通过网络设备接入认证、通信链路加密、关键数据加密传输等确保网络传输数据不被泄漏。所有网络设备以及线路线缆需要有明确的标签，标签的内容主要包括本端对端标识、用途以及类型等。</w:t>
      </w:r>
    </w:p>
    <w:p>
      <w:pPr>
        <w:pStyle w:val="12"/>
        <w:ind w:firstLine="400"/>
        <w:rPr>
          <w:rFonts w:hint="default"/>
        </w:rPr>
      </w:pPr>
      <w:r>
        <w:rPr>
          <w:rFonts w:ascii="仿宋_GB2312" w:hAnsi="仿宋_GB2312" w:eastAsia="仿宋_GB2312" w:cs="仿宋_GB2312"/>
        </w:rPr>
        <w:t>（五）服务器安全要求</w:t>
      </w:r>
    </w:p>
    <w:p>
      <w:pPr>
        <w:pStyle w:val="12"/>
        <w:ind w:firstLine="400"/>
        <w:rPr>
          <w:rFonts w:hint="default"/>
        </w:rPr>
      </w:pPr>
      <w:r>
        <w:rPr>
          <w:rFonts w:ascii="仿宋_GB2312" w:hAnsi="仿宋_GB2312" w:eastAsia="仿宋_GB2312" w:cs="仿宋_GB2312"/>
        </w:rPr>
        <w:t>服务器需放置在专门具有安全防护的机柜内。服务器设备的安全基线配置符合主机安全要求标准。</w:t>
      </w:r>
    </w:p>
    <w:p>
      <w:pPr>
        <w:pStyle w:val="12"/>
        <w:ind w:firstLine="400"/>
        <w:rPr>
          <w:rFonts w:hint="default"/>
        </w:rPr>
      </w:pPr>
      <w:r>
        <w:rPr>
          <w:rFonts w:ascii="仿宋_GB2312" w:hAnsi="仿宋_GB2312" w:eastAsia="仿宋_GB2312" w:cs="仿宋_GB2312"/>
        </w:rPr>
        <w:t>（六）应用及数据安全要求</w:t>
      </w:r>
    </w:p>
    <w:p>
      <w:pPr>
        <w:pStyle w:val="12"/>
        <w:ind w:firstLine="400"/>
        <w:rPr>
          <w:rFonts w:hint="default"/>
        </w:rPr>
      </w:pPr>
      <w:r>
        <w:rPr>
          <w:rFonts w:ascii="仿宋_GB2312" w:hAnsi="仿宋_GB2312" w:eastAsia="仿宋_GB2312" w:cs="仿宋_GB2312"/>
        </w:rPr>
        <w:t>应用及数据需做好数据安全的保密性要求，要求网络边界防护住、威胁异常检测明、操作行为追踪到、数据进出记录留，安全操作使用要求合规进、授权用、加密传、保险存、审核出、销毁净，终端计算机不得留存敏感和受控数据。</w:t>
      </w:r>
    </w:p>
    <w:p>
      <w:pPr>
        <w:pStyle w:val="12"/>
        <w:ind w:firstLine="400"/>
        <w:rPr>
          <w:rFonts w:hint="default"/>
        </w:rPr>
      </w:pPr>
      <w:r>
        <w:rPr>
          <w:rFonts w:ascii="仿宋_GB2312" w:hAnsi="仿宋_GB2312" w:eastAsia="仿宋_GB2312" w:cs="仿宋_GB2312"/>
        </w:rPr>
        <w:t>(七)资质要求</w:t>
      </w:r>
    </w:p>
    <w:p>
      <w:pPr>
        <w:pStyle w:val="12"/>
        <w:ind w:firstLine="400"/>
        <w:rPr>
          <w:rFonts w:hint="default"/>
        </w:rPr>
      </w:pPr>
      <w:r>
        <w:rPr>
          <w:rFonts w:ascii="仿宋_GB2312" w:hAnsi="仿宋_GB2312" w:eastAsia="仿宋_GB2312" w:cs="仿宋_GB2312"/>
        </w:rPr>
        <w:t>投标人应具有认证证书：质量体系认证证书（认证范围须与涉税咨询服务相关），以保障符合质量管理和技术安全要求。</w:t>
      </w:r>
    </w:p>
    <w:p>
      <w:pPr>
        <w:pStyle w:val="12"/>
        <w:ind w:firstLine="400"/>
        <w:rPr>
          <w:rFonts w:hint="default"/>
        </w:rPr>
      </w:pPr>
      <w:r>
        <w:rPr>
          <w:rFonts w:ascii="仿宋_GB2312" w:hAnsi="仿宋_GB2312" w:eastAsia="仿宋_GB2312" w:cs="仿宋_GB2312"/>
        </w:rPr>
        <w:t>四、项目验收</w:t>
      </w:r>
    </w:p>
    <w:p>
      <w:pPr>
        <w:pStyle w:val="12"/>
        <w:ind w:firstLine="400"/>
        <w:rPr>
          <w:rFonts w:hint="default"/>
        </w:rPr>
      </w:pPr>
      <w:r>
        <w:rPr>
          <w:rFonts w:ascii="仿宋_GB2312" w:hAnsi="仿宋_GB2312" w:eastAsia="仿宋_GB2312" w:cs="仿宋_GB2312"/>
        </w:rPr>
        <w:t>（一）验收方式</w:t>
      </w:r>
    </w:p>
    <w:p>
      <w:pPr>
        <w:pStyle w:val="12"/>
        <w:ind w:firstLine="400"/>
        <w:rPr>
          <w:rFonts w:hint="default"/>
        </w:rPr>
      </w:pPr>
      <w:r>
        <w:rPr>
          <w:rFonts w:ascii="仿宋_GB2312" w:hAnsi="仿宋_GB2312" w:eastAsia="仿宋_GB2312" w:cs="仿宋_GB2312"/>
        </w:rPr>
        <w:t>1.采购人可组织对中标人场地建设等进行验收。</w:t>
      </w:r>
    </w:p>
    <w:p>
      <w:pPr>
        <w:pStyle w:val="12"/>
        <w:ind w:firstLine="400"/>
        <w:rPr>
          <w:rFonts w:hint="default"/>
        </w:rPr>
      </w:pPr>
      <w:r>
        <w:rPr>
          <w:rFonts w:ascii="仿宋_GB2312" w:hAnsi="仿宋_GB2312" w:eastAsia="仿宋_GB2312" w:cs="仿宋_GB2312"/>
        </w:rPr>
        <w:t>2.采购人有权组织对中标人的服务质量进行考核和验收。</w:t>
      </w:r>
    </w:p>
    <w:p>
      <w:pPr>
        <w:pStyle w:val="12"/>
        <w:ind w:firstLine="400"/>
        <w:rPr>
          <w:rFonts w:hint="default"/>
        </w:rPr>
      </w:pPr>
      <w:r>
        <w:rPr>
          <w:rFonts w:ascii="仿宋_GB2312" w:hAnsi="仿宋_GB2312" w:eastAsia="仿宋_GB2312" w:cs="仿宋_GB2312"/>
        </w:rPr>
        <w:t>3.采购人可不定期组织实施考核。由中标人根据项目运营情况或采购人要求制作工作日志和通话率、纳税人满意度等报表数据，以书面方式提交给采购人，采购人签收运行维护情况。如采购人对报表数据有疑义可拒绝签收，由中标人对报表数据核实后再度提交。</w:t>
      </w:r>
    </w:p>
    <w:p>
      <w:pPr>
        <w:pStyle w:val="12"/>
        <w:ind w:firstLine="400"/>
        <w:rPr>
          <w:rFonts w:hint="default"/>
        </w:rPr>
      </w:pPr>
      <w:r>
        <w:rPr>
          <w:rFonts w:ascii="仿宋_GB2312" w:hAnsi="仿宋_GB2312" w:eastAsia="仿宋_GB2312" w:cs="仿宋_GB2312"/>
        </w:rPr>
        <w:t>4.项目验收方式在服务期结束后进行汇总项目验收。</w:t>
      </w:r>
    </w:p>
    <w:p>
      <w:pPr>
        <w:pStyle w:val="12"/>
        <w:ind w:firstLine="400"/>
        <w:rPr>
          <w:rFonts w:hint="default"/>
        </w:rPr>
      </w:pPr>
      <w:r>
        <w:rPr>
          <w:rFonts w:ascii="仿宋_GB2312" w:hAnsi="仿宋_GB2312" w:eastAsia="仿宋_GB2312" w:cs="仿宋_GB2312"/>
        </w:rPr>
        <w:t>（二）服务期结束时验收合格的基本要求</w:t>
      </w:r>
    </w:p>
    <w:p>
      <w:pPr>
        <w:pStyle w:val="12"/>
        <w:ind w:firstLine="400"/>
        <w:rPr>
          <w:rFonts w:hint="default"/>
        </w:rPr>
      </w:pPr>
      <w:r>
        <w:rPr>
          <w:rFonts w:ascii="仿宋_GB2312" w:hAnsi="仿宋_GB2312" w:eastAsia="仿宋_GB2312" w:cs="仿宋_GB2312"/>
        </w:rPr>
        <w:t>1.按照采购人要求提供了本项目所有的服务功能与内容；</w:t>
      </w:r>
    </w:p>
    <w:p>
      <w:pPr>
        <w:pStyle w:val="12"/>
        <w:ind w:firstLine="400"/>
        <w:rPr>
          <w:rFonts w:hint="default"/>
        </w:rPr>
      </w:pPr>
      <w:r>
        <w:rPr>
          <w:rFonts w:ascii="仿宋_GB2312" w:hAnsi="仿宋_GB2312" w:eastAsia="仿宋_GB2312" w:cs="仿宋_GB2312"/>
        </w:rPr>
        <w:t>2.中标人保证各月考核分值≥80 分，且单项指标不能出现不得分的情形；</w:t>
      </w:r>
    </w:p>
    <w:p>
      <w:pPr>
        <w:pStyle w:val="12"/>
        <w:ind w:firstLine="400"/>
        <w:rPr>
          <w:rFonts w:hint="default"/>
        </w:rPr>
      </w:pPr>
      <w:r>
        <w:rPr>
          <w:rFonts w:ascii="仿宋_GB2312" w:hAnsi="仿宋_GB2312" w:eastAsia="仿宋_GB2312" w:cs="仿宋_GB2312"/>
        </w:rPr>
        <w:t>3.验收报告应由采购人、中标人经办人签字，并加盖双方公章，以此作为支付凭据。如以上验收均不合格，采购人有权扣除中标人合同总价的 10%，并要求中标人承担因此对采购人造成的实际损失。</w:t>
      </w:r>
    </w:p>
    <w:p>
      <w:pPr>
        <w:pStyle w:val="12"/>
        <w:ind w:firstLine="400"/>
        <w:rPr>
          <w:rFonts w:hint="default"/>
        </w:rPr>
      </w:pPr>
      <w:r>
        <w:rPr>
          <w:rFonts w:ascii="仿宋_GB2312" w:hAnsi="仿宋_GB2312" w:eastAsia="仿宋_GB2312" w:cs="仿宋_GB2312"/>
        </w:rPr>
        <w:t>具体验收标准详如下：</w:t>
      </w:r>
    </w:p>
    <w:tbl>
      <w:tblPr>
        <w:tblStyle w:val="6"/>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709"/>
        <w:gridCol w:w="1035"/>
        <w:gridCol w:w="2219"/>
        <w:gridCol w:w="1199"/>
        <w:gridCol w:w="2144"/>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0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12"/>
              <w:rPr>
                <w:rFonts w:hint="default"/>
              </w:rPr>
            </w:pPr>
            <w:r>
              <w:rPr>
                <w:rFonts w:ascii="仿宋_GB2312" w:hAnsi="仿宋_GB2312" w:eastAsia="仿宋_GB2312" w:cs="仿宋_GB2312"/>
              </w:rPr>
              <w:t>指标名称</w:t>
            </w:r>
          </w:p>
        </w:tc>
        <w:tc>
          <w:tcPr>
            <w:tcW w:w="1035" w:type="dxa"/>
            <w:tcBorders>
              <w:top w:val="single" w:color="000000" w:sz="4" w:space="0"/>
              <w:left w:val="nil"/>
              <w:bottom w:val="single" w:color="000000" w:sz="4" w:space="0"/>
              <w:right w:val="single" w:color="000000" w:sz="4" w:space="0"/>
            </w:tcBorders>
            <w:tcMar>
              <w:top w:w="0" w:type="dxa"/>
              <w:left w:w="0" w:type="dxa"/>
              <w:bottom w:w="0" w:type="dxa"/>
              <w:right w:w="0" w:type="dxa"/>
            </w:tcMar>
          </w:tcPr>
          <w:p>
            <w:pPr>
              <w:pStyle w:val="12"/>
              <w:rPr>
                <w:rFonts w:hint="default" w:ascii="仿宋_GB2312" w:hAnsi="仿宋_GB2312" w:eastAsia="仿宋_GB2312" w:cs="仿宋_GB2312"/>
              </w:rPr>
            </w:pPr>
            <w:r>
              <w:rPr>
                <w:rFonts w:ascii="仿宋_GB2312" w:hAnsi="仿宋_GB2312" w:eastAsia="仿宋_GB2312" w:cs="仿宋_GB2312"/>
              </w:rPr>
              <w:t>分值</w:t>
            </w:r>
          </w:p>
        </w:tc>
        <w:tc>
          <w:tcPr>
            <w:tcW w:w="2219" w:type="dxa"/>
            <w:tcBorders>
              <w:top w:val="single" w:color="000000" w:sz="4" w:space="0"/>
              <w:left w:val="nil"/>
              <w:bottom w:val="single" w:color="000000" w:sz="4" w:space="0"/>
              <w:right w:val="single" w:color="000000" w:sz="4" w:space="0"/>
            </w:tcBorders>
            <w:tcMar>
              <w:top w:w="0" w:type="dxa"/>
              <w:left w:w="0" w:type="dxa"/>
              <w:bottom w:w="0" w:type="dxa"/>
              <w:right w:w="0" w:type="dxa"/>
            </w:tcMar>
          </w:tcPr>
          <w:p>
            <w:pPr>
              <w:pStyle w:val="12"/>
              <w:rPr>
                <w:rFonts w:hint="default" w:ascii="仿宋_GB2312" w:hAnsi="仿宋_GB2312" w:eastAsia="仿宋_GB2312" w:cs="仿宋_GB2312"/>
              </w:rPr>
            </w:pPr>
            <w:r>
              <w:rPr>
                <w:rFonts w:ascii="仿宋_GB2312" w:hAnsi="仿宋_GB2312" w:eastAsia="仿宋_GB2312" w:cs="仿宋_GB2312"/>
              </w:rPr>
              <w:t>计算方法</w:t>
            </w:r>
          </w:p>
        </w:tc>
        <w:tc>
          <w:tcPr>
            <w:tcW w:w="1199" w:type="dxa"/>
            <w:tcBorders>
              <w:top w:val="single" w:color="000000" w:sz="4" w:space="0"/>
              <w:left w:val="nil"/>
              <w:bottom w:val="single" w:color="000000" w:sz="4" w:space="0"/>
              <w:right w:val="single" w:color="000000" w:sz="4" w:space="0"/>
            </w:tcBorders>
            <w:tcMar>
              <w:top w:w="0" w:type="dxa"/>
              <w:left w:w="0" w:type="dxa"/>
              <w:bottom w:w="0" w:type="dxa"/>
              <w:right w:w="0" w:type="dxa"/>
            </w:tcMar>
          </w:tcPr>
          <w:p>
            <w:pPr>
              <w:pStyle w:val="12"/>
              <w:rPr>
                <w:rFonts w:hint="default" w:ascii="仿宋_GB2312" w:hAnsi="仿宋_GB2312" w:eastAsia="仿宋_GB2312" w:cs="仿宋_GB2312"/>
              </w:rPr>
            </w:pPr>
            <w:r>
              <w:rPr>
                <w:rFonts w:ascii="仿宋_GB2312" w:hAnsi="仿宋_GB2312" w:eastAsia="仿宋_GB2312" w:cs="仿宋_GB2312"/>
              </w:rPr>
              <w:t>目标区间值</w:t>
            </w:r>
          </w:p>
        </w:tc>
        <w:tc>
          <w:tcPr>
            <w:tcW w:w="2144" w:type="dxa"/>
            <w:tcBorders>
              <w:top w:val="single" w:color="000000" w:sz="4" w:space="0"/>
              <w:left w:val="nil"/>
              <w:bottom w:val="single" w:color="000000" w:sz="4" w:space="0"/>
              <w:right w:val="single" w:color="000000" w:sz="4" w:space="0"/>
            </w:tcBorders>
            <w:tcMar>
              <w:top w:w="0" w:type="dxa"/>
              <w:left w:w="0" w:type="dxa"/>
              <w:bottom w:w="0" w:type="dxa"/>
              <w:right w:w="0" w:type="dxa"/>
            </w:tcMar>
          </w:tcPr>
          <w:p>
            <w:pPr>
              <w:pStyle w:val="12"/>
              <w:rPr>
                <w:rFonts w:hint="default" w:ascii="仿宋_GB2312" w:hAnsi="仿宋_GB2312" w:eastAsia="仿宋_GB2312" w:cs="仿宋_GB2312"/>
              </w:rPr>
            </w:pPr>
            <w:r>
              <w:rPr>
                <w:rFonts w:ascii="仿宋_GB2312" w:hAnsi="仿宋_GB2312" w:eastAsia="仿宋_GB2312" w:cs="仿宋_GB2312"/>
              </w:rPr>
              <w:t>考核细则</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0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rPr>
                <w:rFonts w:hint="default" w:ascii="仿宋_GB2312" w:hAnsi="仿宋_GB2312" w:eastAsia="仿宋_GB2312" w:cs="仿宋_GB2312"/>
              </w:rPr>
            </w:pPr>
            <w:r>
              <w:rPr>
                <w:rFonts w:ascii="仿宋_GB2312" w:hAnsi="仿宋_GB2312" w:eastAsia="仿宋_GB2312" w:cs="仿宋_GB2312"/>
              </w:rPr>
              <w:t>工作时间人工接通率</w:t>
            </w:r>
          </w:p>
        </w:tc>
        <w:tc>
          <w:tcPr>
            <w:tcW w:w="1035" w:type="dxa"/>
            <w:tcBorders>
              <w:top w:val="nil"/>
              <w:left w:val="nil"/>
              <w:bottom w:val="single" w:color="000000" w:sz="4" w:space="0"/>
              <w:right w:val="single" w:color="000000" w:sz="4" w:space="0"/>
            </w:tcBorders>
            <w:tcMar>
              <w:top w:w="0" w:type="dxa"/>
              <w:left w:w="0" w:type="dxa"/>
              <w:bottom w:w="0" w:type="dxa"/>
              <w:right w:w="0" w:type="dxa"/>
            </w:tcMar>
          </w:tcPr>
          <w:p>
            <w:pPr>
              <w:pStyle w:val="12"/>
              <w:rPr>
                <w:rFonts w:hint="default" w:ascii="仿宋_GB2312" w:hAnsi="仿宋_GB2312" w:eastAsia="仿宋_GB2312" w:cs="仿宋_GB2312"/>
              </w:rPr>
            </w:pPr>
            <w:r>
              <w:rPr>
                <w:rFonts w:ascii="仿宋_GB2312" w:hAnsi="仿宋_GB2312" w:eastAsia="仿宋_GB2312" w:cs="仿宋_GB2312"/>
              </w:rPr>
              <w:t>20</w:t>
            </w:r>
          </w:p>
        </w:tc>
        <w:tc>
          <w:tcPr>
            <w:tcW w:w="2219" w:type="dxa"/>
            <w:tcBorders>
              <w:top w:val="nil"/>
              <w:left w:val="nil"/>
              <w:bottom w:val="single" w:color="000000" w:sz="4" w:space="0"/>
              <w:right w:val="single" w:color="000000" w:sz="4" w:space="0"/>
            </w:tcBorders>
            <w:tcMar>
              <w:top w:w="0" w:type="dxa"/>
              <w:left w:w="0" w:type="dxa"/>
              <w:bottom w:w="0" w:type="dxa"/>
              <w:right w:w="0" w:type="dxa"/>
            </w:tcMar>
          </w:tcPr>
          <w:p>
            <w:pPr>
              <w:pStyle w:val="12"/>
              <w:rPr>
                <w:rFonts w:hint="default" w:ascii="仿宋_GB2312" w:hAnsi="仿宋_GB2312" w:eastAsia="仿宋_GB2312" w:cs="仿宋_GB2312"/>
              </w:rPr>
            </w:pPr>
            <w:r>
              <w:rPr>
                <w:rFonts w:ascii="仿宋_GB2312" w:hAnsi="仿宋_GB2312" w:eastAsia="仿宋_GB2312" w:cs="仿宋_GB2312"/>
              </w:rPr>
              <w:t>平均接通率=人工接通量/转接人工量×100%</w:t>
            </w:r>
          </w:p>
        </w:tc>
        <w:tc>
          <w:tcPr>
            <w:tcW w:w="1199" w:type="dxa"/>
            <w:tcBorders>
              <w:top w:val="nil"/>
              <w:left w:val="nil"/>
              <w:bottom w:val="single" w:color="000000" w:sz="4" w:space="0"/>
              <w:right w:val="single" w:color="000000" w:sz="4" w:space="0"/>
            </w:tcBorders>
            <w:tcMar>
              <w:top w:w="0" w:type="dxa"/>
              <w:left w:w="0" w:type="dxa"/>
              <w:bottom w:w="0" w:type="dxa"/>
              <w:right w:w="0" w:type="dxa"/>
            </w:tcMar>
          </w:tcPr>
          <w:p>
            <w:pPr>
              <w:pStyle w:val="12"/>
              <w:rPr>
                <w:rFonts w:hint="default" w:ascii="仿宋_GB2312" w:hAnsi="仿宋_GB2312" w:eastAsia="仿宋_GB2312" w:cs="仿宋_GB2312"/>
              </w:rPr>
            </w:pPr>
            <w:r>
              <w:rPr>
                <w:rFonts w:ascii="仿宋_GB2312" w:hAnsi="仿宋_GB2312" w:eastAsia="仿宋_GB2312" w:cs="仿宋_GB2312"/>
              </w:rPr>
              <w:t>≥98%</w:t>
            </w:r>
          </w:p>
        </w:tc>
        <w:tc>
          <w:tcPr>
            <w:tcW w:w="2144" w:type="dxa"/>
            <w:tcBorders>
              <w:top w:val="nil"/>
              <w:left w:val="nil"/>
              <w:bottom w:val="single" w:color="000000" w:sz="4" w:space="0"/>
              <w:right w:val="single" w:color="000000" w:sz="4" w:space="0"/>
            </w:tcBorders>
            <w:tcMar>
              <w:top w:w="0" w:type="dxa"/>
              <w:left w:w="0" w:type="dxa"/>
              <w:bottom w:w="0" w:type="dxa"/>
              <w:right w:w="0" w:type="dxa"/>
            </w:tcMar>
          </w:tcPr>
          <w:p>
            <w:pPr>
              <w:pStyle w:val="12"/>
              <w:rPr>
                <w:rFonts w:hint="default" w:ascii="仿宋_GB2312" w:hAnsi="仿宋_GB2312" w:eastAsia="仿宋_GB2312" w:cs="仿宋_GB2312"/>
              </w:rPr>
            </w:pPr>
            <w:r>
              <w:rPr>
                <w:rFonts w:ascii="仿宋_GB2312" w:hAnsi="仿宋_GB2312" w:eastAsia="仿宋_GB2312" w:cs="仿宋_GB2312"/>
              </w:rPr>
              <w:t>人工接通率较目标值每下降0.1%扣0.2分，接通率低于88%，不得分。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0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rPr>
                <w:rFonts w:hint="default" w:ascii="仿宋_GB2312" w:hAnsi="仿宋_GB2312" w:eastAsia="仿宋_GB2312" w:cs="仿宋_GB2312"/>
              </w:rPr>
            </w:pPr>
            <w:r>
              <w:rPr>
                <w:rFonts w:ascii="仿宋_GB2312" w:hAnsi="仿宋_GB2312" w:eastAsia="仿宋_GB2312" w:cs="仿宋_GB2312"/>
              </w:rPr>
              <w:t>质检准确率</w:t>
            </w:r>
          </w:p>
        </w:tc>
        <w:tc>
          <w:tcPr>
            <w:tcW w:w="1035" w:type="dxa"/>
            <w:tcBorders>
              <w:top w:val="nil"/>
              <w:left w:val="nil"/>
              <w:bottom w:val="single" w:color="000000" w:sz="4" w:space="0"/>
              <w:right w:val="single" w:color="000000" w:sz="4" w:space="0"/>
            </w:tcBorders>
            <w:tcMar>
              <w:top w:w="0" w:type="dxa"/>
              <w:left w:w="0" w:type="dxa"/>
              <w:bottom w:w="0" w:type="dxa"/>
              <w:right w:w="0" w:type="dxa"/>
            </w:tcMar>
          </w:tcPr>
          <w:p>
            <w:pPr>
              <w:pStyle w:val="12"/>
              <w:rPr>
                <w:rFonts w:hint="default" w:ascii="仿宋_GB2312" w:hAnsi="仿宋_GB2312" w:eastAsia="仿宋_GB2312" w:cs="仿宋_GB2312"/>
              </w:rPr>
            </w:pPr>
            <w:r>
              <w:rPr>
                <w:rFonts w:ascii="仿宋_GB2312" w:hAnsi="仿宋_GB2312" w:eastAsia="仿宋_GB2312" w:cs="仿宋_GB2312"/>
              </w:rPr>
              <w:t>20</w:t>
            </w:r>
          </w:p>
        </w:tc>
        <w:tc>
          <w:tcPr>
            <w:tcW w:w="2219" w:type="dxa"/>
            <w:tcBorders>
              <w:top w:val="nil"/>
              <w:left w:val="nil"/>
              <w:bottom w:val="single" w:color="000000" w:sz="4" w:space="0"/>
              <w:right w:val="single" w:color="000000" w:sz="4" w:space="0"/>
            </w:tcBorders>
            <w:tcMar>
              <w:top w:w="0" w:type="dxa"/>
              <w:left w:w="0" w:type="dxa"/>
              <w:bottom w:w="0" w:type="dxa"/>
              <w:right w:w="0" w:type="dxa"/>
            </w:tcMar>
          </w:tcPr>
          <w:p>
            <w:pPr>
              <w:pStyle w:val="12"/>
              <w:rPr>
                <w:rFonts w:hint="default" w:ascii="仿宋_GB2312" w:hAnsi="仿宋_GB2312" w:eastAsia="仿宋_GB2312" w:cs="仿宋_GB2312"/>
              </w:rPr>
            </w:pPr>
            <w:r>
              <w:rPr>
                <w:rFonts w:ascii="仿宋_GB2312" w:hAnsi="仿宋_GB2312" w:eastAsia="仿宋_GB2312" w:cs="仿宋_GB2312"/>
              </w:rPr>
              <w:t>质检准确率=质检正确数量/质检总量×100%</w:t>
            </w:r>
          </w:p>
        </w:tc>
        <w:tc>
          <w:tcPr>
            <w:tcW w:w="1199" w:type="dxa"/>
            <w:tcBorders>
              <w:top w:val="nil"/>
              <w:left w:val="nil"/>
              <w:bottom w:val="single" w:color="000000" w:sz="4" w:space="0"/>
              <w:right w:val="single" w:color="000000" w:sz="4" w:space="0"/>
            </w:tcBorders>
            <w:tcMar>
              <w:top w:w="0" w:type="dxa"/>
              <w:left w:w="0" w:type="dxa"/>
              <w:bottom w:w="0" w:type="dxa"/>
              <w:right w:w="0" w:type="dxa"/>
            </w:tcMar>
          </w:tcPr>
          <w:p>
            <w:pPr>
              <w:pStyle w:val="12"/>
              <w:rPr>
                <w:rFonts w:hint="default" w:ascii="仿宋_GB2312" w:hAnsi="仿宋_GB2312" w:eastAsia="仿宋_GB2312" w:cs="仿宋_GB2312"/>
              </w:rPr>
            </w:pPr>
            <w:r>
              <w:rPr>
                <w:rFonts w:ascii="仿宋_GB2312" w:hAnsi="仿宋_GB2312" w:eastAsia="仿宋_GB2312" w:cs="仿宋_GB2312"/>
              </w:rPr>
              <w:t>≥95%</w:t>
            </w:r>
          </w:p>
        </w:tc>
        <w:tc>
          <w:tcPr>
            <w:tcW w:w="2144" w:type="dxa"/>
            <w:tcBorders>
              <w:top w:val="nil"/>
              <w:left w:val="nil"/>
              <w:bottom w:val="single" w:color="000000" w:sz="4" w:space="0"/>
              <w:right w:val="single" w:color="000000" w:sz="4" w:space="0"/>
            </w:tcBorders>
            <w:tcMar>
              <w:top w:w="0" w:type="dxa"/>
              <w:left w:w="0" w:type="dxa"/>
              <w:bottom w:w="0" w:type="dxa"/>
              <w:right w:w="0" w:type="dxa"/>
            </w:tcMar>
          </w:tcPr>
          <w:p>
            <w:pPr>
              <w:pStyle w:val="12"/>
              <w:rPr>
                <w:rFonts w:hint="default" w:ascii="仿宋_GB2312" w:hAnsi="仿宋_GB2312" w:eastAsia="仿宋_GB2312" w:cs="仿宋_GB2312"/>
              </w:rPr>
            </w:pPr>
            <w:r>
              <w:rPr>
                <w:rFonts w:ascii="仿宋_GB2312" w:hAnsi="仿宋_GB2312" w:eastAsia="仿宋_GB2312" w:cs="仿宋_GB2312"/>
              </w:rPr>
              <w:t>较目标值每下降1%扣2.5分，如质检准确率大于94%而小于95%，按94%计算，如此类推，质检准确率低于87%，不得分。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0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rPr>
                <w:rFonts w:hint="default" w:ascii="仿宋_GB2312" w:hAnsi="仿宋_GB2312" w:eastAsia="仿宋_GB2312" w:cs="仿宋_GB2312"/>
              </w:rPr>
            </w:pPr>
            <w:r>
              <w:rPr>
                <w:rFonts w:ascii="仿宋_GB2312" w:hAnsi="仿宋_GB2312" w:eastAsia="仿宋_GB2312" w:cs="仿宋_GB2312"/>
              </w:rPr>
              <w:t>坐席在岗率</w:t>
            </w:r>
          </w:p>
        </w:tc>
        <w:tc>
          <w:tcPr>
            <w:tcW w:w="1035" w:type="dxa"/>
            <w:tcBorders>
              <w:top w:val="nil"/>
              <w:left w:val="nil"/>
              <w:bottom w:val="single" w:color="000000" w:sz="4" w:space="0"/>
              <w:right w:val="single" w:color="000000" w:sz="4" w:space="0"/>
            </w:tcBorders>
            <w:tcMar>
              <w:top w:w="0" w:type="dxa"/>
              <w:left w:w="0" w:type="dxa"/>
              <w:bottom w:w="0" w:type="dxa"/>
              <w:right w:w="0" w:type="dxa"/>
            </w:tcMar>
          </w:tcPr>
          <w:p>
            <w:pPr>
              <w:pStyle w:val="12"/>
              <w:rPr>
                <w:rFonts w:hint="default" w:ascii="仿宋_GB2312" w:hAnsi="仿宋_GB2312" w:eastAsia="仿宋_GB2312" w:cs="仿宋_GB2312"/>
              </w:rPr>
            </w:pPr>
            <w:r>
              <w:rPr>
                <w:rFonts w:ascii="仿宋_GB2312" w:hAnsi="仿宋_GB2312" w:eastAsia="仿宋_GB2312" w:cs="仿宋_GB2312"/>
              </w:rPr>
              <w:t>10</w:t>
            </w:r>
          </w:p>
        </w:tc>
        <w:tc>
          <w:tcPr>
            <w:tcW w:w="2219" w:type="dxa"/>
            <w:tcBorders>
              <w:top w:val="nil"/>
              <w:left w:val="nil"/>
              <w:bottom w:val="single" w:color="000000" w:sz="4" w:space="0"/>
              <w:right w:val="single" w:color="000000" w:sz="4" w:space="0"/>
            </w:tcBorders>
            <w:tcMar>
              <w:top w:w="0" w:type="dxa"/>
              <w:left w:w="0" w:type="dxa"/>
              <w:bottom w:w="0" w:type="dxa"/>
              <w:right w:w="0" w:type="dxa"/>
            </w:tcMar>
          </w:tcPr>
          <w:p>
            <w:pPr>
              <w:pStyle w:val="12"/>
              <w:rPr>
                <w:rFonts w:hint="default" w:ascii="仿宋_GB2312" w:hAnsi="仿宋_GB2312" w:eastAsia="仿宋_GB2312" w:cs="仿宋_GB2312"/>
              </w:rPr>
            </w:pPr>
            <w:r>
              <w:rPr>
                <w:rFonts w:ascii="仿宋_GB2312" w:hAnsi="仿宋_GB2312" w:eastAsia="仿宋_GB2312" w:cs="仿宋_GB2312"/>
              </w:rPr>
              <w:t>坐席在岗率=在岗坐席数量/当月项目人数×100%</w:t>
            </w:r>
          </w:p>
        </w:tc>
        <w:tc>
          <w:tcPr>
            <w:tcW w:w="1199" w:type="dxa"/>
            <w:tcBorders>
              <w:top w:val="nil"/>
              <w:left w:val="nil"/>
              <w:bottom w:val="single" w:color="000000" w:sz="4" w:space="0"/>
              <w:right w:val="single" w:color="000000" w:sz="4" w:space="0"/>
            </w:tcBorders>
            <w:tcMar>
              <w:top w:w="0" w:type="dxa"/>
              <w:left w:w="0" w:type="dxa"/>
              <w:bottom w:w="0" w:type="dxa"/>
              <w:right w:w="0" w:type="dxa"/>
            </w:tcMar>
          </w:tcPr>
          <w:p>
            <w:pPr>
              <w:pStyle w:val="12"/>
              <w:rPr>
                <w:rFonts w:hint="default" w:ascii="仿宋_GB2312" w:hAnsi="仿宋_GB2312" w:eastAsia="仿宋_GB2312" w:cs="仿宋_GB2312"/>
              </w:rPr>
            </w:pPr>
            <w:r>
              <w:rPr>
                <w:rFonts w:ascii="仿宋_GB2312" w:hAnsi="仿宋_GB2312" w:eastAsia="仿宋_GB2312" w:cs="仿宋_GB2312"/>
              </w:rPr>
              <w:t>85%</w:t>
            </w:r>
          </w:p>
        </w:tc>
        <w:tc>
          <w:tcPr>
            <w:tcW w:w="2144" w:type="dxa"/>
            <w:tcBorders>
              <w:top w:val="nil"/>
              <w:left w:val="nil"/>
              <w:bottom w:val="single" w:color="000000" w:sz="4" w:space="0"/>
              <w:right w:val="single" w:color="000000" w:sz="4" w:space="0"/>
            </w:tcBorders>
            <w:tcMar>
              <w:top w:w="0" w:type="dxa"/>
              <w:left w:w="0" w:type="dxa"/>
              <w:bottom w:w="0" w:type="dxa"/>
              <w:right w:w="0" w:type="dxa"/>
            </w:tcMar>
          </w:tcPr>
          <w:p>
            <w:pPr>
              <w:pStyle w:val="12"/>
              <w:rPr>
                <w:rFonts w:hint="default" w:ascii="仿宋_GB2312" w:hAnsi="仿宋_GB2312" w:eastAsia="仿宋_GB2312" w:cs="仿宋_GB2312"/>
              </w:rPr>
            </w:pPr>
            <w:r>
              <w:rPr>
                <w:rFonts w:ascii="仿宋_GB2312" w:hAnsi="仿宋_GB2312" w:eastAsia="仿宋_GB2312" w:cs="仿宋_GB2312"/>
              </w:rPr>
              <w:t>坐席在岗率较目标值每下降1%扣1分，话务高峰期采购人可根据情况动态调整。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0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rPr>
                <w:rFonts w:hint="default" w:ascii="仿宋_GB2312" w:hAnsi="仿宋_GB2312" w:eastAsia="仿宋_GB2312" w:cs="仿宋_GB2312"/>
              </w:rPr>
            </w:pPr>
            <w:r>
              <w:rPr>
                <w:rFonts w:ascii="仿宋_GB2312" w:hAnsi="仿宋_GB2312" w:eastAsia="仿宋_GB2312" w:cs="仿宋_GB2312"/>
              </w:rPr>
              <w:t>平均语音通话时长</w:t>
            </w:r>
          </w:p>
        </w:tc>
        <w:tc>
          <w:tcPr>
            <w:tcW w:w="1035" w:type="dxa"/>
            <w:tcBorders>
              <w:top w:val="nil"/>
              <w:left w:val="nil"/>
              <w:bottom w:val="single" w:color="000000" w:sz="4" w:space="0"/>
              <w:right w:val="single" w:color="000000" w:sz="4" w:space="0"/>
            </w:tcBorders>
            <w:tcMar>
              <w:top w:w="0" w:type="dxa"/>
              <w:left w:w="0" w:type="dxa"/>
              <w:bottom w:w="0" w:type="dxa"/>
              <w:right w:w="0" w:type="dxa"/>
            </w:tcMar>
          </w:tcPr>
          <w:p>
            <w:pPr>
              <w:pStyle w:val="12"/>
              <w:rPr>
                <w:rFonts w:hint="default" w:ascii="仿宋_GB2312" w:hAnsi="仿宋_GB2312" w:eastAsia="仿宋_GB2312" w:cs="仿宋_GB2312"/>
              </w:rPr>
            </w:pPr>
            <w:r>
              <w:rPr>
                <w:rFonts w:ascii="仿宋_GB2312" w:hAnsi="仿宋_GB2312" w:eastAsia="仿宋_GB2312" w:cs="仿宋_GB2312"/>
              </w:rPr>
              <w:t>10</w:t>
            </w:r>
          </w:p>
        </w:tc>
        <w:tc>
          <w:tcPr>
            <w:tcW w:w="2219" w:type="dxa"/>
            <w:tcBorders>
              <w:top w:val="nil"/>
              <w:left w:val="nil"/>
              <w:bottom w:val="single" w:color="000000" w:sz="4" w:space="0"/>
              <w:right w:val="single" w:color="000000" w:sz="4" w:space="0"/>
            </w:tcBorders>
            <w:tcMar>
              <w:top w:w="0" w:type="dxa"/>
              <w:left w:w="0" w:type="dxa"/>
              <w:bottom w:w="0" w:type="dxa"/>
              <w:right w:w="0" w:type="dxa"/>
            </w:tcMar>
          </w:tcPr>
          <w:p>
            <w:pPr>
              <w:pStyle w:val="12"/>
              <w:rPr>
                <w:rFonts w:hint="default" w:ascii="仿宋_GB2312" w:hAnsi="仿宋_GB2312" w:eastAsia="仿宋_GB2312" w:cs="仿宋_GB2312"/>
              </w:rPr>
            </w:pPr>
            <w:r>
              <w:rPr>
                <w:rFonts w:ascii="仿宋_GB2312" w:hAnsi="仿宋_GB2312" w:eastAsia="仿宋_GB2312" w:cs="仿宋_GB2312"/>
              </w:rPr>
              <w:t>平均语音通话时长=语音通话总时长/话务量</w:t>
            </w:r>
          </w:p>
        </w:tc>
        <w:tc>
          <w:tcPr>
            <w:tcW w:w="1199" w:type="dxa"/>
            <w:tcBorders>
              <w:top w:val="nil"/>
              <w:left w:val="nil"/>
              <w:bottom w:val="single" w:color="000000" w:sz="4" w:space="0"/>
              <w:right w:val="single" w:color="000000" w:sz="4" w:space="0"/>
            </w:tcBorders>
            <w:tcMar>
              <w:top w:w="0" w:type="dxa"/>
              <w:left w:w="0" w:type="dxa"/>
              <w:bottom w:w="0" w:type="dxa"/>
              <w:right w:w="0" w:type="dxa"/>
            </w:tcMar>
          </w:tcPr>
          <w:p>
            <w:pPr>
              <w:pStyle w:val="12"/>
              <w:rPr>
                <w:rFonts w:hint="default" w:ascii="仿宋_GB2312" w:hAnsi="仿宋_GB2312" w:eastAsia="仿宋_GB2312" w:cs="仿宋_GB2312"/>
              </w:rPr>
            </w:pPr>
            <w:r>
              <w:rPr>
                <w:rFonts w:ascii="仿宋_GB2312" w:hAnsi="仿宋_GB2312" w:eastAsia="仿宋_GB2312" w:cs="仿宋_GB2312"/>
              </w:rPr>
              <w:t>190秒</w:t>
            </w:r>
          </w:p>
        </w:tc>
        <w:tc>
          <w:tcPr>
            <w:tcW w:w="2144" w:type="dxa"/>
            <w:tcBorders>
              <w:top w:val="nil"/>
              <w:left w:val="nil"/>
              <w:bottom w:val="single" w:color="000000" w:sz="4" w:space="0"/>
              <w:right w:val="single" w:color="000000" w:sz="4" w:space="0"/>
            </w:tcBorders>
            <w:tcMar>
              <w:top w:w="0" w:type="dxa"/>
              <w:left w:w="0" w:type="dxa"/>
              <w:bottom w:w="0" w:type="dxa"/>
              <w:right w:w="0" w:type="dxa"/>
            </w:tcMar>
          </w:tcPr>
          <w:p>
            <w:pPr>
              <w:pStyle w:val="12"/>
              <w:rPr>
                <w:rFonts w:hint="default" w:ascii="仿宋_GB2312" w:hAnsi="仿宋_GB2312" w:eastAsia="仿宋_GB2312" w:cs="仿宋_GB2312"/>
              </w:rPr>
            </w:pPr>
            <w:r>
              <w:rPr>
                <w:rFonts w:ascii="仿宋_GB2312" w:hAnsi="仿宋_GB2312" w:eastAsia="仿宋_GB2312" w:cs="仿宋_GB2312"/>
              </w:rPr>
              <w:t>月度语音平均通话时长较目标值每上升10秒扣1分。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0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rPr>
                <w:rFonts w:hint="default" w:ascii="仿宋_GB2312" w:hAnsi="仿宋_GB2312" w:eastAsia="仿宋_GB2312" w:cs="仿宋_GB2312"/>
              </w:rPr>
            </w:pPr>
            <w:r>
              <w:rPr>
                <w:rFonts w:ascii="仿宋_GB2312" w:hAnsi="仿宋_GB2312" w:eastAsia="仿宋_GB2312" w:cs="仿宋_GB2312"/>
              </w:rPr>
              <w:t>工作时间话后满意率</w:t>
            </w:r>
          </w:p>
        </w:tc>
        <w:tc>
          <w:tcPr>
            <w:tcW w:w="1035" w:type="dxa"/>
            <w:tcBorders>
              <w:top w:val="nil"/>
              <w:left w:val="nil"/>
              <w:bottom w:val="single" w:color="000000" w:sz="4" w:space="0"/>
              <w:right w:val="single" w:color="000000" w:sz="4" w:space="0"/>
            </w:tcBorders>
            <w:tcMar>
              <w:top w:w="0" w:type="dxa"/>
              <w:left w:w="0" w:type="dxa"/>
              <w:bottom w:w="0" w:type="dxa"/>
              <w:right w:w="0" w:type="dxa"/>
            </w:tcMar>
          </w:tcPr>
          <w:p>
            <w:pPr>
              <w:pStyle w:val="12"/>
              <w:rPr>
                <w:rFonts w:hint="default" w:ascii="仿宋_GB2312" w:hAnsi="仿宋_GB2312" w:eastAsia="仿宋_GB2312" w:cs="仿宋_GB2312"/>
              </w:rPr>
            </w:pPr>
            <w:r>
              <w:rPr>
                <w:rFonts w:ascii="仿宋_GB2312" w:hAnsi="仿宋_GB2312" w:eastAsia="仿宋_GB2312" w:cs="仿宋_GB2312"/>
              </w:rPr>
              <w:t>10</w:t>
            </w:r>
          </w:p>
        </w:tc>
        <w:tc>
          <w:tcPr>
            <w:tcW w:w="2219" w:type="dxa"/>
            <w:tcBorders>
              <w:top w:val="nil"/>
              <w:left w:val="nil"/>
              <w:bottom w:val="single" w:color="000000" w:sz="4" w:space="0"/>
              <w:right w:val="single" w:color="000000" w:sz="4" w:space="0"/>
            </w:tcBorders>
            <w:tcMar>
              <w:top w:w="0" w:type="dxa"/>
              <w:left w:w="0" w:type="dxa"/>
              <w:bottom w:w="0" w:type="dxa"/>
              <w:right w:w="0" w:type="dxa"/>
            </w:tcMar>
          </w:tcPr>
          <w:p>
            <w:pPr>
              <w:pStyle w:val="12"/>
              <w:rPr>
                <w:rFonts w:hint="default" w:ascii="仿宋_GB2312" w:hAnsi="仿宋_GB2312" w:eastAsia="仿宋_GB2312" w:cs="仿宋_GB2312"/>
              </w:rPr>
            </w:pPr>
            <w:r>
              <w:rPr>
                <w:rFonts w:ascii="仿宋_GB2312" w:hAnsi="仿宋_GB2312" w:eastAsia="仿宋_GB2312" w:cs="仿宋_GB2312"/>
              </w:rPr>
              <w:t>满意率=评价满意及以上的样本数/接受评价的样本数×100%</w:t>
            </w:r>
          </w:p>
        </w:tc>
        <w:tc>
          <w:tcPr>
            <w:tcW w:w="1199" w:type="dxa"/>
            <w:tcBorders>
              <w:top w:val="nil"/>
              <w:left w:val="nil"/>
              <w:bottom w:val="single" w:color="000000" w:sz="4" w:space="0"/>
              <w:right w:val="single" w:color="000000" w:sz="4" w:space="0"/>
            </w:tcBorders>
            <w:tcMar>
              <w:top w:w="0" w:type="dxa"/>
              <w:left w:w="0" w:type="dxa"/>
              <w:bottom w:w="0" w:type="dxa"/>
              <w:right w:w="0" w:type="dxa"/>
            </w:tcMar>
          </w:tcPr>
          <w:p>
            <w:pPr>
              <w:pStyle w:val="12"/>
              <w:rPr>
                <w:rFonts w:hint="default" w:ascii="仿宋_GB2312" w:hAnsi="仿宋_GB2312" w:eastAsia="仿宋_GB2312" w:cs="仿宋_GB2312"/>
              </w:rPr>
            </w:pPr>
            <w:r>
              <w:rPr>
                <w:rFonts w:ascii="仿宋_GB2312" w:hAnsi="仿宋_GB2312" w:eastAsia="仿宋_GB2312" w:cs="仿宋_GB2312"/>
              </w:rPr>
              <w:t>≥98%</w:t>
            </w:r>
          </w:p>
        </w:tc>
        <w:tc>
          <w:tcPr>
            <w:tcW w:w="2144" w:type="dxa"/>
            <w:tcBorders>
              <w:top w:val="nil"/>
              <w:left w:val="nil"/>
              <w:bottom w:val="single" w:color="000000" w:sz="4" w:space="0"/>
              <w:right w:val="single" w:color="000000" w:sz="4" w:space="0"/>
            </w:tcBorders>
            <w:tcMar>
              <w:top w:w="0" w:type="dxa"/>
              <w:left w:w="0" w:type="dxa"/>
              <w:bottom w:w="0" w:type="dxa"/>
              <w:right w:w="0" w:type="dxa"/>
            </w:tcMar>
          </w:tcPr>
          <w:p>
            <w:pPr>
              <w:pStyle w:val="12"/>
              <w:rPr>
                <w:rFonts w:hint="default" w:ascii="仿宋_GB2312" w:hAnsi="仿宋_GB2312" w:eastAsia="仿宋_GB2312" w:cs="仿宋_GB2312"/>
              </w:rPr>
            </w:pPr>
            <w:r>
              <w:rPr>
                <w:rFonts w:ascii="仿宋_GB2312" w:hAnsi="仿宋_GB2312" w:eastAsia="仿宋_GB2312" w:cs="仿宋_GB2312"/>
              </w:rPr>
              <w:t>较目标值每下降1%扣1分，如话后满意率大于97%而小于98%，按97%计算，如此类推，满意率低于88%，不得分。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0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rPr>
                <w:rFonts w:hint="default" w:ascii="仿宋_GB2312" w:hAnsi="仿宋_GB2312" w:eastAsia="仿宋_GB2312" w:cs="仿宋_GB2312"/>
              </w:rPr>
            </w:pPr>
            <w:r>
              <w:rPr>
                <w:rFonts w:ascii="仿宋_GB2312" w:hAnsi="仿宋_GB2312" w:eastAsia="仿宋_GB2312" w:cs="仿宋_GB2312"/>
              </w:rPr>
              <w:t>工作时间话后满意度邀评率</w:t>
            </w:r>
          </w:p>
        </w:tc>
        <w:tc>
          <w:tcPr>
            <w:tcW w:w="1035" w:type="dxa"/>
            <w:tcBorders>
              <w:top w:val="nil"/>
              <w:left w:val="nil"/>
              <w:bottom w:val="single" w:color="000000" w:sz="4" w:space="0"/>
              <w:right w:val="single" w:color="000000" w:sz="4" w:space="0"/>
            </w:tcBorders>
            <w:tcMar>
              <w:top w:w="0" w:type="dxa"/>
              <w:left w:w="0" w:type="dxa"/>
              <w:bottom w:w="0" w:type="dxa"/>
              <w:right w:w="0" w:type="dxa"/>
            </w:tcMar>
          </w:tcPr>
          <w:p>
            <w:pPr>
              <w:pStyle w:val="12"/>
              <w:rPr>
                <w:rFonts w:hint="default" w:ascii="仿宋_GB2312" w:hAnsi="仿宋_GB2312" w:eastAsia="仿宋_GB2312" w:cs="仿宋_GB2312"/>
              </w:rPr>
            </w:pPr>
            <w:r>
              <w:rPr>
                <w:rFonts w:ascii="仿宋_GB2312" w:hAnsi="仿宋_GB2312" w:eastAsia="仿宋_GB2312" w:cs="仿宋_GB2312"/>
              </w:rPr>
              <w:t>10</w:t>
            </w:r>
          </w:p>
        </w:tc>
        <w:tc>
          <w:tcPr>
            <w:tcW w:w="2219" w:type="dxa"/>
            <w:tcBorders>
              <w:top w:val="nil"/>
              <w:left w:val="nil"/>
              <w:bottom w:val="single" w:color="000000" w:sz="4" w:space="0"/>
              <w:right w:val="single" w:color="000000" w:sz="4" w:space="0"/>
            </w:tcBorders>
            <w:tcMar>
              <w:top w:w="0" w:type="dxa"/>
              <w:left w:w="0" w:type="dxa"/>
              <w:bottom w:w="0" w:type="dxa"/>
              <w:right w:w="0" w:type="dxa"/>
            </w:tcMar>
          </w:tcPr>
          <w:p>
            <w:pPr>
              <w:pStyle w:val="12"/>
              <w:rPr>
                <w:rFonts w:hint="default" w:ascii="仿宋_GB2312" w:hAnsi="仿宋_GB2312" w:eastAsia="仿宋_GB2312" w:cs="仿宋_GB2312"/>
              </w:rPr>
            </w:pPr>
            <w:r>
              <w:rPr>
                <w:rFonts w:ascii="仿宋_GB2312" w:hAnsi="仿宋_GB2312" w:eastAsia="仿宋_GB2312" w:cs="仿宋_GB2312"/>
              </w:rPr>
              <w:t>邀评率=已邀请调查数量/应邀请调查数量*100%</w:t>
            </w:r>
          </w:p>
        </w:tc>
        <w:tc>
          <w:tcPr>
            <w:tcW w:w="1199" w:type="dxa"/>
            <w:tcBorders>
              <w:top w:val="nil"/>
              <w:left w:val="nil"/>
              <w:bottom w:val="single" w:color="000000" w:sz="4" w:space="0"/>
              <w:right w:val="single" w:color="000000" w:sz="4" w:space="0"/>
            </w:tcBorders>
            <w:tcMar>
              <w:top w:w="0" w:type="dxa"/>
              <w:left w:w="0" w:type="dxa"/>
              <w:bottom w:w="0" w:type="dxa"/>
              <w:right w:w="0" w:type="dxa"/>
            </w:tcMar>
          </w:tcPr>
          <w:p>
            <w:pPr>
              <w:pStyle w:val="12"/>
              <w:rPr>
                <w:rFonts w:hint="default" w:ascii="仿宋_GB2312" w:hAnsi="仿宋_GB2312" w:eastAsia="仿宋_GB2312" w:cs="仿宋_GB2312"/>
              </w:rPr>
            </w:pPr>
            <w:r>
              <w:rPr>
                <w:rFonts w:ascii="仿宋_GB2312" w:hAnsi="仿宋_GB2312" w:eastAsia="仿宋_GB2312" w:cs="仿宋_GB2312"/>
              </w:rPr>
              <w:t>80%</w:t>
            </w:r>
          </w:p>
        </w:tc>
        <w:tc>
          <w:tcPr>
            <w:tcW w:w="2144" w:type="dxa"/>
            <w:tcBorders>
              <w:top w:val="nil"/>
              <w:left w:val="nil"/>
              <w:bottom w:val="single" w:color="000000" w:sz="4" w:space="0"/>
              <w:right w:val="single" w:color="000000" w:sz="4" w:space="0"/>
            </w:tcBorders>
            <w:tcMar>
              <w:top w:w="0" w:type="dxa"/>
              <w:left w:w="0" w:type="dxa"/>
              <w:bottom w:w="0" w:type="dxa"/>
              <w:right w:w="0" w:type="dxa"/>
            </w:tcMar>
          </w:tcPr>
          <w:p>
            <w:pPr>
              <w:pStyle w:val="12"/>
              <w:rPr>
                <w:rFonts w:hint="default" w:ascii="仿宋_GB2312" w:hAnsi="仿宋_GB2312" w:eastAsia="仿宋_GB2312" w:cs="仿宋_GB2312"/>
              </w:rPr>
            </w:pPr>
            <w:r>
              <w:rPr>
                <w:rFonts w:ascii="仿宋_GB2312" w:hAnsi="仿宋_GB2312" w:eastAsia="仿宋_GB2312" w:cs="仿宋_GB2312"/>
              </w:rPr>
              <w:t>月度话后满意度邀评率较目标值每下降1%扣1分。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0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rPr>
                <w:rFonts w:hint="default" w:ascii="仿宋_GB2312" w:hAnsi="仿宋_GB2312" w:eastAsia="仿宋_GB2312" w:cs="仿宋_GB2312"/>
              </w:rPr>
            </w:pPr>
            <w:r>
              <w:rPr>
                <w:rFonts w:ascii="仿宋_GB2312" w:hAnsi="仿宋_GB2312" w:eastAsia="仿宋_GB2312" w:cs="仿宋_GB2312"/>
              </w:rPr>
              <w:t>系统故障时长</w:t>
            </w:r>
          </w:p>
        </w:tc>
        <w:tc>
          <w:tcPr>
            <w:tcW w:w="1035" w:type="dxa"/>
            <w:tcBorders>
              <w:top w:val="nil"/>
              <w:left w:val="nil"/>
              <w:bottom w:val="single" w:color="000000" w:sz="4" w:space="0"/>
              <w:right w:val="single" w:color="000000" w:sz="4" w:space="0"/>
            </w:tcBorders>
            <w:tcMar>
              <w:top w:w="0" w:type="dxa"/>
              <w:left w:w="0" w:type="dxa"/>
              <w:bottom w:w="0" w:type="dxa"/>
              <w:right w:w="0" w:type="dxa"/>
            </w:tcMar>
          </w:tcPr>
          <w:p>
            <w:pPr>
              <w:pStyle w:val="12"/>
              <w:rPr>
                <w:rFonts w:hint="default" w:ascii="仿宋_GB2312" w:hAnsi="仿宋_GB2312" w:eastAsia="仿宋_GB2312" w:cs="仿宋_GB2312"/>
              </w:rPr>
            </w:pPr>
            <w:r>
              <w:rPr>
                <w:rFonts w:ascii="仿宋_GB2312" w:hAnsi="仿宋_GB2312" w:eastAsia="仿宋_GB2312" w:cs="仿宋_GB2312"/>
              </w:rPr>
              <w:t>5</w:t>
            </w:r>
          </w:p>
        </w:tc>
        <w:tc>
          <w:tcPr>
            <w:tcW w:w="2219" w:type="dxa"/>
            <w:tcBorders>
              <w:top w:val="nil"/>
              <w:left w:val="nil"/>
              <w:bottom w:val="single" w:color="000000" w:sz="4" w:space="0"/>
              <w:right w:val="single" w:color="000000" w:sz="4" w:space="0"/>
            </w:tcBorders>
            <w:tcMar>
              <w:top w:w="0" w:type="dxa"/>
              <w:left w:w="0" w:type="dxa"/>
              <w:bottom w:w="0" w:type="dxa"/>
              <w:right w:w="0" w:type="dxa"/>
            </w:tcMar>
          </w:tcPr>
          <w:p>
            <w:pPr>
              <w:pStyle w:val="12"/>
              <w:rPr>
                <w:rFonts w:hint="default" w:ascii="仿宋_GB2312" w:hAnsi="仿宋_GB2312" w:eastAsia="仿宋_GB2312" w:cs="仿宋_GB2312"/>
              </w:rPr>
            </w:pPr>
            <w:r>
              <w:rPr>
                <w:rFonts w:ascii="仿宋_GB2312" w:hAnsi="仿宋_GB2312" w:eastAsia="仿宋_GB2312" w:cs="仿宋_GB2312"/>
              </w:rPr>
              <w:t>每月系统故障总时长不超过30分钟(不含不可抗力因素)</w:t>
            </w:r>
          </w:p>
        </w:tc>
        <w:tc>
          <w:tcPr>
            <w:tcW w:w="1199" w:type="dxa"/>
            <w:tcBorders>
              <w:top w:val="nil"/>
              <w:left w:val="nil"/>
              <w:bottom w:val="single" w:color="000000" w:sz="4" w:space="0"/>
              <w:right w:val="single" w:color="000000" w:sz="4" w:space="0"/>
            </w:tcBorders>
            <w:tcMar>
              <w:top w:w="0" w:type="dxa"/>
              <w:left w:w="0" w:type="dxa"/>
              <w:bottom w:w="0" w:type="dxa"/>
              <w:right w:w="0" w:type="dxa"/>
            </w:tcMar>
          </w:tcPr>
          <w:p>
            <w:pPr>
              <w:pStyle w:val="12"/>
              <w:rPr>
                <w:rFonts w:hint="default" w:ascii="仿宋_GB2312" w:hAnsi="仿宋_GB2312" w:eastAsia="仿宋_GB2312" w:cs="仿宋_GB2312"/>
              </w:rPr>
            </w:pPr>
            <w:r>
              <w:rPr>
                <w:rFonts w:ascii="仿宋_GB2312" w:hAnsi="仿宋_GB2312" w:eastAsia="仿宋_GB2312" w:cs="仿宋_GB2312"/>
              </w:rPr>
              <w:t>≤30分钟</w:t>
            </w:r>
          </w:p>
        </w:tc>
        <w:tc>
          <w:tcPr>
            <w:tcW w:w="2144" w:type="dxa"/>
            <w:tcBorders>
              <w:top w:val="nil"/>
              <w:left w:val="nil"/>
              <w:bottom w:val="single" w:color="000000" w:sz="4" w:space="0"/>
              <w:right w:val="single" w:color="000000" w:sz="4" w:space="0"/>
            </w:tcBorders>
            <w:tcMar>
              <w:top w:w="0" w:type="dxa"/>
              <w:left w:w="0" w:type="dxa"/>
              <w:bottom w:w="0" w:type="dxa"/>
              <w:right w:w="0" w:type="dxa"/>
            </w:tcMar>
          </w:tcPr>
          <w:p>
            <w:pPr>
              <w:pStyle w:val="12"/>
              <w:rPr>
                <w:rFonts w:hint="default" w:ascii="仿宋_GB2312" w:hAnsi="仿宋_GB2312" w:eastAsia="仿宋_GB2312" w:cs="仿宋_GB2312"/>
              </w:rPr>
            </w:pPr>
            <w:r>
              <w:rPr>
                <w:rFonts w:ascii="仿宋_GB2312" w:hAnsi="仿宋_GB2312" w:eastAsia="仿宋_GB2312" w:cs="仿宋_GB2312"/>
              </w:rPr>
              <w:t>每月系统故障总时长较目标值每上升30分钟扣1分。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0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rPr>
                <w:rFonts w:hint="default" w:ascii="仿宋_GB2312" w:hAnsi="仿宋_GB2312" w:eastAsia="仿宋_GB2312" w:cs="仿宋_GB2312"/>
              </w:rPr>
            </w:pPr>
            <w:r>
              <w:rPr>
                <w:rFonts w:ascii="仿宋_GB2312" w:hAnsi="仿宋_GB2312" w:eastAsia="仿宋_GB2312" w:cs="仿宋_GB2312"/>
              </w:rPr>
              <w:t>数据准确性</w:t>
            </w:r>
          </w:p>
        </w:tc>
        <w:tc>
          <w:tcPr>
            <w:tcW w:w="1035" w:type="dxa"/>
            <w:tcBorders>
              <w:top w:val="nil"/>
              <w:left w:val="nil"/>
              <w:bottom w:val="single" w:color="000000" w:sz="4" w:space="0"/>
              <w:right w:val="single" w:color="000000" w:sz="4" w:space="0"/>
            </w:tcBorders>
            <w:tcMar>
              <w:top w:w="0" w:type="dxa"/>
              <w:left w:w="0" w:type="dxa"/>
              <w:bottom w:w="0" w:type="dxa"/>
              <w:right w:w="0" w:type="dxa"/>
            </w:tcMar>
          </w:tcPr>
          <w:p>
            <w:pPr>
              <w:pStyle w:val="12"/>
              <w:rPr>
                <w:rFonts w:hint="default" w:ascii="仿宋_GB2312" w:hAnsi="仿宋_GB2312" w:eastAsia="仿宋_GB2312" w:cs="仿宋_GB2312"/>
              </w:rPr>
            </w:pPr>
            <w:r>
              <w:rPr>
                <w:rFonts w:ascii="仿宋_GB2312" w:hAnsi="仿宋_GB2312" w:eastAsia="仿宋_GB2312" w:cs="仿宋_GB2312"/>
              </w:rPr>
              <w:t>5</w:t>
            </w:r>
          </w:p>
        </w:tc>
        <w:tc>
          <w:tcPr>
            <w:tcW w:w="2219" w:type="dxa"/>
            <w:tcBorders>
              <w:top w:val="nil"/>
              <w:left w:val="nil"/>
              <w:bottom w:val="single" w:color="000000" w:sz="4" w:space="0"/>
              <w:right w:val="single" w:color="000000" w:sz="4" w:space="0"/>
            </w:tcBorders>
            <w:tcMar>
              <w:top w:w="0" w:type="dxa"/>
              <w:left w:w="0" w:type="dxa"/>
              <w:bottom w:w="0" w:type="dxa"/>
              <w:right w:w="0" w:type="dxa"/>
            </w:tcMar>
          </w:tcPr>
          <w:p>
            <w:pPr>
              <w:pStyle w:val="12"/>
              <w:rPr>
                <w:rFonts w:hint="default" w:ascii="仿宋_GB2312" w:hAnsi="仿宋_GB2312" w:eastAsia="仿宋_GB2312" w:cs="仿宋_GB2312"/>
              </w:rPr>
            </w:pPr>
            <w:r>
              <w:rPr>
                <w:rFonts w:ascii="仿宋_GB2312" w:hAnsi="仿宋_GB2312" w:eastAsia="仿宋_GB2312" w:cs="仿宋_GB2312"/>
              </w:rPr>
              <w:t>中标人提供数据与实际情况相符，保证数据真实准确</w:t>
            </w:r>
          </w:p>
        </w:tc>
        <w:tc>
          <w:tcPr>
            <w:tcW w:w="1199" w:type="dxa"/>
            <w:tcBorders>
              <w:top w:val="nil"/>
              <w:left w:val="nil"/>
              <w:bottom w:val="single" w:color="000000" w:sz="4" w:space="0"/>
              <w:right w:val="single" w:color="000000" w:sz="4" w:space="0"/>
            </w:tcBorders>
            <w:tcMar>
              <w:top w:w="0" w:type="dxa"/>
              <w:left w:w="0" w:type="dxa"/>
              <w:bottom w:w="0" w:type="dxa"/>
              <w:right w:w="0" w:type="dxa"/>
            </w:tcMar>
          </w:tcPr>
          <w:p>
            <w:pPr>
              <w:pStyle w:val="12"/>
              <w:rPr>
                <w:rFonts w:hint="default" w:ascii="仿宋_GB2312" w:hAnsi="仿宋_GB2312" w:eastAsia="仿宋_GB2312" w:cs="仿宋_GB2312"/>
              </w:rPr>
            </w:pPr>
            <w:r>
              <w:rPr>
                <w:rFonts w:ascii="仿宋_GB2312" w:hAnsi="仿宋_GB2312" w:eastAsia="仿宋_GB2312" w:cs="仿宋_GB2312"/>
              </w:rPr>
              <w:t>0项</w:t>
            </w:r>
          </w:p>
        </w:tc>
        <w:tc>
          <w:tcPr>
            <w:tcW w:w="2144" w:type="dxa"/>
            <w:tcBorders>
              <w:top w:val="nil"/>
              <w:left w:val="nil"/>
              <w:bottom w:val="single" w:color="000000" w:sz="4" w:space="0"/>
              <w:right w:val="single" w:color="000000" w:sz="4" w:space="0"/>
            </w:tcBorders>
            <w:tcMar>
              <w:top w:w="0" w:type="dxa"/>
              <w:left w:w="0" w:type="dxa"/>
              <w:bottom w:w="0" w:type="dxa"/>
              <w:right w:w="0" w:type="dxa"/>
            </w:tcMar>
          </w:tcPr>
          <w:p>
            <w:pPr>
              <w:pStyle w:val="12"/>
              <w:rPr>
                <w:rFonts w:hint="default" w:ascii="仿宋_GB2312" w:hAnsi="仿宋_GB2312" w:eastAsia="仿宋_GB2312" w:cs="仿宋_GB2312"/>
              </w:rPr>
            </w:pPr>
            <w:r>
              <w:rPr>
                <w:rFonts w:ascii="仿宋_GB2312" w:hAnsi="仿宋_GB2312" w:eastAsia="仿宋_GB2312" w:cs="仿宋_GB2312"/>
              </w:rPr>
              <w:t>提供数据与实际不符或不准确，每次扣1分，扣分≥5分为不得分。如由于中标人原因导致采购人无法采集数据，不得分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0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rPr>
                <w:rFonts w:hint="default" w:ascii="仿宋_GB2312" w:hAnsi="仿宋_GB2312" w:eastAsia="仿宋_GB2312" w:cs="仿宋_GB2312"/>
              </w:rPr>
            </w:pPr>
            <w:r>
              <w:rPr>
                <w:rFonts w:ascii="仿宋_GB2312" w:hAnsi="仿宋_GB2312" w:eastAsia="仿宋_GB2312" w:cs="仿宋_GB2312"/>
              </w:rPr>
              <w:t>热线知识库维护</w:t>
            </w:r>
          </w:p>
        </w:tc>
        <w:tc>
          <w:tcPr>
            <w:tcW w:w="1035" w:type="dxa"/>
            <w:tcBorders>
              <w:top w:val="nil"/>
              <w:left w:val="nil"/>
              <w:bottom w:val="single" w:color="000000" w:sz="4" w:space="0"/>
              <w:right w:val="single" w:color="000000" w:sz="4" w:space="0"/>
            </w:tcBorders>
            <w:tcMar>
              <w:top w:w="0" w:type="dxa"/>
              <w:left w:w="0" w:type="dxa"/>
              <w:bottom w:w="0" w:type="dxa"/>
              <w:right w:w="0" w:type="dxa"/>
            </w:tcMar>
          </w:tcPr>
          <w:p>
            <w:pPr>
              <w:pStyle w:val="12"/>
              <w:rPr>
                <w:rFonts w:hint="default" w:ascii="仿宋_GB2312" w:hAnsi="仿宋_GB2312" w:eastAsia="仿宋_GB2312" w:cs="仿宋_GB2312"/>
              </w:rPr>
            </w:pPr>
            <w:r>
              <w:rPr>
                <w:rFonts w:ascii="仿宋_GB2312" w:hAnsi="仿宋_GB2312" w:eastAsia="仿宋_GB2312" w:cs="仿宋_GB2312"/>
              </w:rPr>
              <w:t>5</w:t>
            </w:r>
          </w:p>
        </w:tc>
        <w:tc>
          <w:tcPr>
            <w:tcW w:w="2219" w:type="dxa"/>
            <w:tcBorders>
              <w:top w:val="nil"/>
              <w:left w:val="nil"/>
              <w:bottom w:val="single" w:color="000000" w:sz="4" w:space="0"/>
              <w:right w:val="single" w:color="000000" w:sz="4" w:space="0"/>
            </w:tcBorders>
            <w:tcMar>
              <w:top w:w="0" w:type="dxa"/>
              <w:left w:w="0" w:type="dxa"/>
              <w:bottom w:w="0" w:type="dxa"/>
              <w:right w:w="0" w:type="dxa"/>
            </w:tcMar>
          </w:tcPr>
          <w:p>
            <w:pPr>
              <w:pStyle w:val="12"/>
              <w:rPr>
                <w:rFonts w:hint="default" w:ascii="仿宋_GB2312" w:hAnsi="仿宋_GB2312" w:eastAsia="仿宋_GB2312" w:cs="仿宋_GB2312"/>
              </w:rPr>
            </w:pPr>
            <w:r>
              <w:rPr>
                <w:rFonts w:ascii="仿宋_GB2312" w:hAnsi="仿宋_GB2312" w:eastAsia="仿宋_GB2312" w:cs="仿宋_GB2312"/>
              </w:rPr>
              <w:t>应当在收到最新操作指引、系统更新后2个工作日内进行知识内容的更新维护热线知识库。</w:t>
            </w:r>
          </w:p>
        </w:tc>
        <w:tc>
          <w:tcPr>
            <w:tcW w:w="1199" w:type="dxa"/>
            <w:tcBorders>
              <w:top w:val="nil"/>
              <w:left w:val="nil"/>
              <w:bottom w:val="single" w:color="000000" w:sz="4" w:space="0"/>
              <w:right w:val="single" w:color="000000" w:sz="4" w:space="0"/>
            </w:tcBorders>
            <w:tcMar>
              <w:top w:w="0" w:type="dxa"/>
              <w:left w:w="0" w:type="dxa"/>
              <w:bottom w:w="0" w:type="dxa"/>
              <w:right w:w="0" w:type="dxa"/>
            </w:tcMar>
          </w:tcPr>
          <w:p>
            <w:pPr>
              <w:pStyle w:val="12"/>
              <w:rPr>
                <w:rFonts w:hint="default" w:ascii="仿宋_GB2312" w:hAnsi="仿宋_GB2312" w:eastAsia="仿宋_GB2312" w:cs="仿宋_GB2312"/>
              </w:rPr>
            </w:pPr>
            <w:r>
              <w:rPr>
                <w:rFonts w:ascii="仿宋_GB2312" w:hAnsi="仿宋_GB2312" w:eastAsia="仿宋_GB2312" w:cs="仿宋_GB2312"/>
              </w:rPr>
              <w:t>100%</w:t>
            </w:r>
          </w:p>
        </w:tc>
        <w:tc>
          <w:tcPr>
            <w:tcW w:w="2144" w:type="dxa"/>
            <w:tcBorders>
              <w:top w:val="nil"/>
              <w:left w:val="nil"/>
              <w:bottom w:val="single" w:color="000000" w:sz="4" w:space="0"/>
              <w:right w:val="single" w:color="000000" w:sz="4" w:space="0"/>
            </w:tcBorders>
            <w:tcMar>
              <w:top w:w="0" w:type="dxa"/>
              <w:left w:w="0" w:type="dxa"/>
              <w:bottom w:w="0" w:type="dxa"/>
              <w:right w:w="0" w:type="dxa"/>
            </w:tcMar>
          </w:tcPr>
          <w:p>
            <w:pPr>
              <w:pStyle w:val="12"/>
              <w:rPr>
                <w:rFonts w:hint="default" w:ascii="仿宋_GB2312" w:hAnsi="仿宋_GB2312" w:eastAsia="仿宋_GB2312" w:cs="仿宋_GB2312"/>
              </w:rPr>
            </w:pPr>
            <w:r>
              <w:rPr>
                <w:rFonts w:ascii="仿宋_GB2312" w:hAnsi="仿宋_GB2312" w:eastAsia="仿宋_GB2312" w:cs="仿宋_GB2312"/>
              </w:rPr>
              <w:t>每条知识内容逾期更新每迟1天，扣1分。扣分≥5分为不得分。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0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rPr>
                <w:rFonts w:hint="default" w:ascii="仿宋_GB2312" w:hAnsi="仿宋_GB2312" w:eastAsia="仿宋_GB2312" w:cs="仿宋_GB2312"/>
              </w:rPr>
            </w:pPr>
            <w:r>
              <w:rPr>
                <w:rFonts w:ascii="仿宋_GB2312" w:hAnsi="仿宋_GB2312" w:eastAsia="仿宋_GB2312" w:cs="仿宋_GB2312"/>
              </w:rPr>
              <w:t>配合工作情况</w:t>
            </w:r>
          </w:p>
        </w:tc>
        <w:tc>
          <w:tcPr>
            <w:tcW w:w="1035" w:type="dxa"/>
            <w:tcBorders>
              <w:top w:val="nil"/>
              <w:left w:val="nil"/>
              <w:bottom w:val="single" w:color="000000" w:sz="4" w:space="0"/>
              <w:right w:val="single" w:color="000000" w:sz="4" w:space="0"/>
            </w:tcBorders>
            <w:tcMar>
              <w:top w:w="0" w:type="dxa"/>
              <w:left w:w="0" w:type="dxa"/>
              <w:bottom w:w="0" w:type="dxa"/>
              <w:right w:w="0" w:type="dxa"/>
            </w:tcMar>
          </w:tcPr>
          <w:p>
            <w:pPr>
              <w:pStyle w:val="12"/>
              <w:rPr>
                <w:rFonts w:hint="default" w:ascii="仿宋_GB2312" w:hAnsi="仿宋_GB2312" w:eastAsia="仿宋_GB2312" w:cs="仿宋_GB2312"/>
              </w:rPr>
            </w:pPr>
            <w:r>
              <w:rPr>
                <w:rFonts w:ascii="仿宋_GB2312" w:hAnsi="仿宋_GB2312" w:eastAsia="仿宋_GB2312" w:cs="仿宋_GB2312"/>
              </w:rPr>
              <w:t>5</w:t>
            </w:r>
          </w:p>
        </w:tc>
        <w:tc>
          <w:tcPr>
            <w:tcW w:w="2219" w:type="dxa"/>
            <w:tcBorders>
              <w:top w:val="nil"/>
              <w:left w:val="nil"/>
              <w:bottom w:val="single" w:color="000000" w:sz="4" w:space="0"/>
              <w:right w:val="single" w:color="000000" w:sz="4" w:space="0"/>
            </w:tcBorders>
            <w:tcMar>
              <w:top w:w="0" w:type="dxa"/>
              <w:left w:w="0" w:type="dxa"/>
              <w:bottom w:w="0" w:type="dxa"/>
              <w:right w:w="0" w:type="dxa"/>
            </w:tcMar>
          </w:tcPr>
          <w:p>
            <w:pPr>
              <w:pStyle w:val="12"/>
              <w:rPr>
                <w:rFonts w:hint="default" w:ascii="仿宋_GB2312" w:hAnsi="仿宋_GB2312" w:eastAsia="仿宋_GB2312" w:cs="仿宋_GB2312"/>
              </w:rPr>
            </w:pPr>
            <w:r>
              <w:rPr>
                <w:rFonts w:ascii="仿宋_GB2312" w:hAnsi="仿宋_GB2312" w:eastAsia="仿宋_GB2312" w:cs="仿宋_GB2312"/>
              </w:rPr>
              <w:t>按采购人要求开展相关工作。</w:t>
            </w:r>
          </w:p>
        </w:tc>
        <w:tc>
          <w:tcPr>
            <w:tcW w:w="1199" w:type="dxa"/>
            <w:tcBorders>
              <w:top w:val="nil"/>
              <w:left w:val="nil"/>
              <w:bottom w:val="single" w:color="000000" w:sz="4" w:space="0"/>
              <w:right w:val="single" w:color="000000" w:sz="4" w:space="0"/>
            </w:tcBorders>
            <w:tcMar>
              <w:top w:w="0" w:type="dxa"/>
              <w:left w:w="0" w:type="dxa"/>
              <w:bottom w:w="0" w:type="dxa"/>
              <w:right w:w="0" w:type="dxa"/>
            </w:tcMar>
          </w:tcPr>
          <w:p>
            <w:pPr>
              <w:pStyle w:val="12"/>
              <w:rPr>
                <w:rFonts w:hint="default" w:ascii="仿宋_GB2312" w:hAnsi="仿宋_GB2312" w:eastAsia="仿宋_GB2312" w:cs="仿宋_GB2312"/>
              </w:rPr>
            </w:pPr>
            <w:r>
              <w:rPr>
                <w:rFonts w:ascii="仿宋_GB2312" w:hAnsi="仿宋_GB2312" w:eastAsia="仿宋_GB2312" w:cs="仿宋_GB2312"/>
              </w:rPr>
              <w:t>100%</w:t>
            </w:r>
          </w:p>
        </w:tc>
        <w:tc>
          <w:tcPr>
            <w:tcW w:w="2144" w:type="dxa"/>
            <w:tcBorders>
              <w:top w:val="nil"/>
              <w:left w:val="nil"/>
              <w:bottom w:val="single" w:color="000000" w:sz="4" w:space="0"/>
              <w:right w:val="single" w:color="000000" w:sz="4" w:space="0"/>
            </w:tcBorders>
            <w:tcMar>
              <w:top w:w="0" w:type="dxa"/>
              <w:left w:w="0" w:type="dxa"/>
              <w:bottom w:w="0" w:type="dxa"/>
              <w:right w:w="0" w:type="dxa"/>
            </w:tcMar>
          </w:tcPr>
          <w:p>
            <w:pPr>
              <w:pStyle w:val="12"/>
              <w:rPr>
                <w:rFonts w:hint="default" w:ascii="仿宋_GB2312" w:hAnsi="仿宋_GB2312" w:eastAsia="仿宋_GB2312" w:cs="仿宋_GB2312"/>
              </w:rPr>
            </w:pPr>
            <w:r>
              <w:rPr>
                <w:rFonts w:ascii="仿宋_GB2312" w:hAnsi="仿宋_GB2312" w:eastAsia="仿宋_GB2312" w:cs="仿宋_GB2312"/>
              </w:rPr>
              <w:t>按采购人要求完成相关工作得满分，未按采购人要求完成工作为不得分。</w:t>
            </w:r>
          </w:p>
        </w:tc>
      </w:tr>
    </w:tbl>
    <w:p>
      <w:pPr>
        <w:pStyle w:val="12"/>
        <w:ind w:firstLine="400"/>
        <w:rPr>
          <w:rFonts w:hint="default"/>
        </w:rPr>
      </w:pPr>
      <w:r>
        <w:rPr>
          <w:rFonts w:ascii="仿宋_GB2312" w:hAnsi="仿宋_GB2312" w:eastAsia="仿宋_GB2312" w:cs="仿宋_GB2312"/>
        </w:rPr>
        <w:t>（三）服务质量保障条款</w:t>
      </w:r>
    </w:p>
    <w:p>
      <w:pPr>
        <w:pStyle w:val="12"/>
        <w:ind w:firstLine="400"/>
        <w:rPr>
          <w:rFonts w:hint="default"/>
        </w:rPr>
      </w:pPr>
      <w:r>
        <w:rPr>
          <w:rFonts w:ascii="仿宋_GB2312" w:hAnsi="仿宋_GB2312" w:eastAsia="仿宋_GB2312" w:cs="仿宋_GB2312"/>
        </w:rPr>
        <w:t>为了确保外包后服务质量不受影响，通过以下措施加强控制：</w:t>
      </w:r>
    </w:p>
    <w:p>
      <w:pPr>
        <w:pStyle w:val="12"/>
        <w:ind w:firstLine="400"/>
        <w:rPr>
          <w:rFonts w:hint="default"/>
        </w:rPr>
      </w:pPr>
      <w:r>
        <w:rPr>
          <w:rFonts w:ascii="仿宋_GB2312" w:hAnsi="仿宋_GB2312" w:eastAsia="仿宋_GB2312" w:cs="仿宋_GB2312"/>
        </w:rPr>
        <w:t>一是各月考核总分值达到 80 分但有单项指标出现不得分的情形，每项扣 15 万元，以 30 万为限；各月考核总分值未达到 80 分，且单项指标未出现不得分的情形，每少 1 分扣 10 万元，以 30 万为限；各月考核总分值未达 80 分时且出现单项指标不得分的情形，直接扣 30 万元。</w:t>
      </w:r>
    </w:p>
    <w:p>
      <w:pPr>
        <w:pStyle w:val="12"/>
        <w:ind w:firstLine="400"/>
        <w:rPr>
          <w:rFonts w:hint="default"/>
        </w:rPr>
      </w:pPr>
      <w:r>
        <w:rPr>
          <w:rFonts w:ascii="仿宋_GB2312" w:hAnsi="仿宋_GB2312" w:eastAsia="仿宋_GB2312" w:cs="仿宋_GB2312"/>
        </w:rPr>
        <w:t>二是出现坐席人员在服务过程中以任何形式引导咨询人使用涉税第三方的收费服务的情形，经采购人核实确认后，按 20 万元/宗扣款。</w:t>
      </w:r>
    </w:p>
    <w:p>
      <w:pPr>
        <w:pStyle w:val="12"/>
        <w:ind w:firstLine="400"/>
        <w:rPr>
          <w:rFonts w:hint="default"/>
        </w:rPr>
      </w:pPr>
      <w:r>
        <w:rPr>
          <w:rFonts w:ascii="仿宋_GB2312" w:hAnsi="仿宋_GB2312" w:eastAsia="仿宋_GB2312" w:cs="仿宋_GB2312"/>
        </w:rPr>
        <w:t>三是出现坐席人员在服务过程中被服务投诉的情形，经采购人核实为有效投诉，按 1 万元/宗扣款；通过新闻、通报、批示、会议、电话等方式、反馈至甲方的专项检查中，因乙方坐席造成不良影响的，按5万元/宗扣款，解释权归甲方所有。</w:t>
      </w:r>
    </w:p>
    <w:p>
      <w:pPr>
        <w:pStyle w:val="12"/>
        <w:ind w:firstLine="400"/>
        <w:rPr>
          <w:rFonts w:hint="default"/>
        </w:rPr>
      </w:pPr>
      <w:r>
        <w:rPr>
          <w:rFonts w:ascii="仿宋_GB2312" w:hAnsi="仿宋_GB2312" w:eastAsia="仿宋_GB2312" w:cs="仿宋_GB2312"/>
        </w:rPr>
        <w:t>四是出现因中标人原因引起与本咨询项目相关舆情的情形，经采购人核实确认后，按 15万/宗扣款。</w:t>
      </w:r>
    </w:p>
    <w:p>
      <w:pPr>
        <w:pStyle w:val="12"/>
        <w:ind w:firstLine="400"/>
        <w:rPr>
          <w:rFonts w:hint="default"/>
        </w:rPr>
      </w:pPr>
      <w:r>
        <w:rPr>
          <w:rFonts w:ascii="仿宋_GB2312" w:hAnsi="仿宋_GB2312" w:eastAsia="仿宋_GB2312" w:cs="仿宋_GB2312"/>
        </w:rPr>
        <w:t>五是考核扣款总额不得超过合同总价的 10%。</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五、付款方式</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由采购人按下列程序在内付款:</w:t>
      </w:r>
    </w:p>
    <w:p>
      <w:pPr>
        <w:pStyle w:val="12"/>
        <w:ind w:firstLine="400"/>
        <w:rPr>
          <w:rFonts w:hint="default" w:ascii="仿宋_GB2312" w:hAnsi="仿宋_GB2312" w:eastAsia="仿宋_GB2312" w:cs="仿宋_GB2312"/>
        </w:rPr>
      </w:pPr>
      <w:r>
        <w:rPr>
          <w:rFonts w:ascii="仿宋_GB2312" w:hAnsi="仿宋_GB2312" w:eastAsia="仿宋_GB2312" w:cs="仿宋_GB2312"/>
        </w:rPr>
        <w:t>1.合同付款分八次进行，付款进度及付款条件如下：</w:t>
      </w:r>
    </w:p>
    <w:p>
      <w:pPr>
        <w:pStyle w:val="12"/>
        <w:ind w:firstLine="400"/>
        <w:rPr>
          <w:rFonts w:hint="default" w:ascii="仿宋_GB2312" w:hAnsi="仿宋_GB2312" w:eastAsia="仿宋_GB2312" w:cs="仿宋_GB2312"/>
        </w:rPr>
      </w:pPr>
      <w:r>
        <w:rPr>
          <w:rFonts w:hint="default" w:ascii="仿宋_GB2312" w:hAnsi="仿宋_GB2312" w:eastAsia="仿宋_GB2312" w:cs="仿宋_GB2312"/>
        </w:rPr>
        <w:t>（1）第一次付款：服务满一个月后，在收到中标人开具等额发票</w:t>
      </w:r>
      <w:r>
        <w:rPr>
          <w:rFonts w:ascii="仿宋_GB2312" w:hAnsi="仿宋_GB2312" w:eastAsia="仿宋_GB2312" w:cs="仿宋_GB2312"/>
        </w:rPr>
        <w:t>的</w:t>
      </w:r>
      <w:r>
        <w:rPr>
          <w:rFonts w:hint="default" w:ascii="仿宋_GB2312" w:hAnsi="仿宋_GB2312" w:eastAsia="仿宋_GB2312" w:cs="仿宋_GB2312"/>
        </w:rPr>
        <w:t>10个工作日内</w:t>
      </w:r>
      <w:r>
        <w:rPr>
          <w:rFonts w:ascii="仿宋_GB2312" w:hAnsi="仿宋_GB2312" w:eastAsia="仿宋_GB2312" w:cs="仿宋_GB2312"/>
        </w:rPr>
        <w:t>,</w:t>
      </w:r>
      <w:r>
        <w:rPr>
          <w:rFonts w:hint="default" w:ascii="仿宋_GB2312" w:hAnsi="仿宋_GB2312" w:eastAsia="仿宋_GB2312" w:cs="仿宋_GB2312"/>
        </w:rPr>
        <w:t>支付合同总价的 13%。</w:t>
      </w:r>
    </w:p>
    <w:p>
      <w:pPr>
        <w:pStyle w:val="12"/>
        <w:ind w:firstLine="400"/>
        <w:rPr>
          <w:rFonts w:hint="default" w:ascii="仿宋_GB2312" w:hAnsi="仿宋_GB2312" w:eastAsia="仿宋_GB2312" w:cs="仿宋_GB2312"/>
        </w:rPr>
      </w:pPr>
      <w:r>
        <w:rPr>
          <w:rFonts w:hint="default" w:ascii="仿宋_GB2312" w:hAnsi="仿宋_GB2312" w:eastAsia="仿宋_GB2312" w:cs="仿宋_GB2312"/>
        </w:rPr>
        <w:t>（2）第二次付款：服务满三个月后，在收到中标人开具等额发票</w:t>
      </w:r>
      <w:r>
        <w:rPr>
          <w:rFonts w:ascii="仿宋_GB2312" w:hAnsi="仿宋_GB2312" w:eastAsia="仿宋_GB2312" w:cs="仿宋_GB2312"/>
        </w:rPr>
        <w:t>的</w:t>
      </w:r>
      <w:r>
        <w:rPr>
          <w:rFonts w:hint="default" w:ascii="仿宋_GB2312" w:hAnsi="仿宋_GB2312" w:eastAsia="仿宋_GB2312" w:cs="仿宋_GB2312"/>
        </w:rPr>
        <w:t>10个工作日内</w:t>
      </w:r>
      <w:r>
        <w:rPr>
          <w:rFonts w:ascii="仿宋_GB2312" w:hAnsi="仿宋_GB2312" w:eastAsia="仿宋_GB2312" w:cs="仿宋_GB2312"/>
        </w:rPr>
        <w:t>,</w:t>
      </w:r>
      <w:r>
        <w:rPr>
          <w:rFonts w:hint="default" w:ascii="仿宋_GB2312" w:hAnsi="仿宋_GB2312" w:eastAsia="仿宋_GB2312" w:cs="仿宋_GB2312"/>
        </w:rPr>
        <w:t>支付合同总价的 13%。</w:t>
      </w:r>
    </w:p>
    <w:p>
      <w:pPr>
        <w:pStyle w:val="12"/>
        <w:ind w:firstLine="400"/>
        <w:rPr>
          <w:rFonts w:hint="default" w:ascii="仿宋_GB2312" w:hAnsi="仿宋_GB2312" w:eastAsia="仿宋_GB2312" w:cs="仿宋_GB2312"/>
        </w:rPr>
      </w:pPr>
      <w:r>
        <w:rPr>
          <w:rFonts w:hint="default" w:ascii="仿宋_GB2312" w:hAnsi="仿宋_GB2312" w:eastAsia="仿宋_GB2312" w:cs="仿宋_GB2312"/>
        </w:rPr>
        <w:t>（3）第三次付款：服务满五个月后，在收到中标人开具等额发票</w:t>
      </w:r>
      <w:r>
        <w:rPr>
          <w:rFonts w:ascii="仿宋_GB2312" w:hAnsi="仿宋_GB2312" w:eastAsia="仿宋_GB2312" w:cs="仿宋_GB2312"/>
        </w:rPr>
        <w:t>的</w:t>
      </w:r>
      <w:r>
        <w:rPr>
          <w:rFonts w:hint="default" w:ascii="仿宋_GB2312" w:hAnsi="仿宋_GB2312" w:eastAsia="仿宋_GB2312" w:cs="仿宋_GB2312"/>
        </w:rPr>
        <w:t>10个工作日内</w:t>
      </w:r>
      <w:r>
        <w:rPr>
          <w:rFonts w:ascii="仿宋_GB2312" w:hAnsi="仿宋_GB2312" w:eastAsia="仿宋_GB2312" w:cs="仿宋_GB2312"/>
        </w:rPr>
        <w:t>,</w:t>
      </w:r>
      <w:r>
        <w:rPr>
          <w:rFonts w:hint="default" w:ascii="仿宋_GB2312" w:hAnsi="仿宋_GB2312" w:eastAsia="仿宋_GB2312" w:cs="仿宋_GB2312"/>
        </w:rPr>
        <w:t>支付合同总价的 13%。</w:t>
      </w:r>
    </w:p>
    <w:p>
      <w:pPr>
        <w:pStyle w:val="12"/>
        <w:ind w:firstLine="400"/>
        <w:rPr>
          <w:rFonts w:hint="default" w:ascii="仿宋_GB2312" w:hAnsi="仿宋_GB2312" w:eastAsia="仿宋_GB2312" w:cs="仿宋_GB2312"/>
        </w:rPr>
      </w:pPr>
      <w:r>
        <w:rPr>
          <w:rFonts w:hint="default" w:ascii="仿宋_GB2312" w:hAnsi="仿宋_GB2312" w:eastAsia="仿宋_GB2312" w:cs="仿宋_GB2312"/>
        </w:rPr>
        <w:t>（4）第四次付款：服务满六个月后，在收到中标人开具等额发票</w:t>
      </w:r>
      <w:r>
        <w:rPr>
          <w:rFonts w:ascii="仿宋_GB2312" w:hAnsi="仿宋_GB2312" w:eastAsia="仿宋_GB2312" w:cs="仿宋_GB2312"/>
        </w:rPr>
        <w:t>的</w:t>
      </w:r>
      <w:r>
        <w:rPr>
          <w:rFonts w:hint="default" w:ascii="仿宋_GB2312" w:hAnsi="仿宋_GB2312" w:eastAsia="仿宋_GB2312" w:cs="仿宋_GB2312"/>
        </w:rPr>
        <w:t>10个工作日内</w:t>
      </w:r>
      <w:r>
        <w:rPr>
          <w:rFonts w:ascii="仿宋_GB2312" w:hAnsi="仿宋_GB2312" w:eastAsia="仿宋_GB2312" w:cs="仿宋_GB2312"/>
        </w:rPr>
        <w:t>,</w:t>
      </w:r>
      <w:r>
        <w:rPr>
          <w:rFonts w:hint="default" w:ascii="仿宋_GB2312" w:hAnsi="仿宋_GB2312" w:eastAsia="仿宋_GB2312" w:cs="仿宋_GB2312"/>
        </w:rPr>
        <w:t>支付合同总价的 13%。</w:t>
      </w:r>
    </w:p>
    <w:p>
      <w:pPr>
        <w:pStyle w:val="12"/>
        <w:ind w:firstLine="400"/>
        <w:rPr>
          <w:rFonts w:hint="default" w:ascii="仿宋_GB2312" w:hAnsi="仿宋_GB2312" w:eastAsia="仿宋_GB2312" w:cs="仿宋_GB2312"/>
        </w:rPr>
      </w:pPr>
      <w:r>
        <w:rPr>
          <w:rFonts w:hint="default" w:ascii="仿宋_GB2312" w:hAnsi="仿宋_GB2312" w:eastAsia="仿宋_GB2312" w:cs="仿宋_GB2312"/>
        </w:rPr>
        <w:t>（5）第五次付款：服务满七个月后，在收到中标人开具等额发票</w:t>
      </w:r>
      <w:r>
        <w:rPr>
          <w:rFonts w:ascii="仿宋_GB2312" w:hAnsi="仿宋_GB2312" w:eastAsia="仿宋_GB2312" w:cs="仿宋_GB2312"/>
        </w:rPr>
        <w:t>的</w:t>
      </w:r>
      <w:r>
        <w:rPr>
          <w:rFonts w:hint="default" w:ascii="仿宋_GB2312" w:hAnsi="仿宋_GB2312" w:eastAsia="仿宋_GB2312" w:cs="仿宋_GB2312"/>
        </w:rPr>
        <w:t>10个工作日内</w:t>
      </w:r>
      <w:r>
        <w:rPr>
          <w:rFonts w:ascii="仿宋_GB2312" w:hAnsi="仿宋_GB2312" w:eastAsia="仿宋_GB2312" w:cs="仿宋_GB2312"/>
        </w:rPr>
        <w:t>,</w:t>
      </w:r>
      <w:r>
        <w:rPr>
          <w:rFonts w:hint="default" w:ascii="仿宋_GB2312" w:hAnsi="仿宋_GB2312" w:eastAsia="仿宋_GB2312" w:cs="仿宋_GB2312"/>
        </w:rPr>
        <w:t>支付合同总价的 13%。</w:t>
      </w:r>
    </w:p>
    <w:p>
      <w:pPr>
        <w:pStyle w:val="12"/>
        <w:ind w:firstLine="400"/>
        <w:rPr>
          <w:rFonts w:hint="default" w:ascii="仿宋_GB2312" w:hAnsi="仿宋_GB2312" w:eastAsia="仿宋_GB2312" w:cs="仿宋_GB2312"/>
        </w:rPr>
      </w:pPr>
      <w:r>
        <w:rPr>
          <w:rFonts w:hint="default" w:ascii="仿宋_GB2312" w:hAnsi="仿宋_GB2312" w:eastAsia="仿宋_GB2312" w:cs="仿宋_GB2312"/>
        </w:rPr>
        <w:t>（6）第六次付款：服务满八个月后，在收到中标人开具等额发票</w:t>
      </w:r>
      <w:r>
        <w:rPr>
          <w:rFonts w:ascii="仿宋_GB2312" w:hAnsi="仿宋_GB2312" w:eastAsia="仿宋_GB2312" w:cs="仿宋_GB2312"/>
        </w:rPr>
        <w:t>的</w:t>
      </w:r>
      <w:r>
        <w:rPr>
          <w:rFonts w:hint="default" w:ascii="仿宋_GB2312" w:hAnsi="仿宋_GB2312" w:eastAsia="仿宋_GB2312" w:cs="仿宋_GB2312"/>
        </w:rPr>
        <w:t>10个工作日内</w:t>
      </w:r>
      <w:r>
        <w:rPr>
          <w:rFonts w:ascii="仿宋_GB2312" w:hAnsi="仿宋_GB2312" w:eastAsia="仿宋_GB2312" w:cs="仿宋_GB2312"/>
        </w:rPr>
        <w:t>,</w:t>
      </w:r>
      <w:r>
        <w:rPr>
          <w:rFonts w:hint="default" w:ascii="仿宋_GB2312" w:hAnsi="仿宋_GB2312" w:eastAsia="仿宋_GB2312" w:cs="仿宋_GB2312"/>
        </w:rPr>
        <w:t>支付合同总价的 13%。</w:t>
      </w:r>
    </w:p>
    <w:p>
      <w:pPr>
        <w:pStyle w:val="12"/>
        <w:ind w:firstLine="400"/>
        <w:rPr>
          <w:rFonts w:hint="default" w:ascii="仿宋_GB2312" w:hAnsi="仿宋_GB2312" w:eastAsia="仿宋_GB2312" w:cs="仿宋_GB2312"/>
        </w:rPr>
      </w:pPr>
      <w:r>
        <w:rPr>
          <w:rFonts w:hint="default" w:ascii="仿宋_GB2312" w:hAnsi="仿宋_GB2312" w:eastAsia="仿宋_GB2312" w:cs="仿宋_GB2312"/>
        </w:rPr>
        <w:t>（7）第七次付款：服务期结束，根据合同年度内实际业务量据实结算，支付金额为不超过合同总价的12%。按合同期内据实核算后实际应付总金额减已支付金额及合同总价10%后的余额，</w:t>
      </w:r>
      <w:r>
        <w:rPr>
          <w:rFonts w:ascii="仿宋_GB2312" w:hAnsi="仿宋_GB2312" w:eastAsia="仿宋_GB2312" w:cs="仿宋_GB2312"/>
        </w:rPr>
        <w:t>在收到中标人开具等额发票的10个工作日内</w:t>
      </w:r>
      <w:r>
        <w:rPr>
          <w:rFonts w:hint="default" w:ascii="仿宋_GB2312" w:hAnsi="仿宋_GB2312" w:eastAsia="仿宋_GB2312" w:cs="仿宋_GB2312"/>
        </w:rPr>
        <w:t>支付给中标人（其中实际应结算总金额不超过合同总金额），不足扣减部分在第八次应付款中继续扣减。</w:t>
      </w:r>
    </w:p>
    <w:p>
      <w:pPr>
        <w:pStyle w:val="12"/>
        <w:ind w:firstLine="400"/>
        <w:rPr>
          <w:rFonts w:hint="default" w:ascii="仿宋_GB2312" w:hAnsi="仿宋_GB2312" w:eastAsia="仿宋_GB2312" w:cs="仿宋_GB2312"/>
        </w:rPr>
      </w:pPr>
      <w:r>
        <w:rPr>
          <w:rFonts w:hint="default" w:ascii="仿宋_GB2312" w:hAnsi="仿宋_GB2312" w:eastAsia="仿宋_GB2312" w:cs="仿宋_GB2312"/>
        </w:rPr>
        <w:t>（8）第八次付款：服务期结束并经考核通过后 30 日内，将考核扣款后不超过合同总价10%的尾款，</w:t>
      </w:r>
      <w:r>
        <w:rPr>
          <w:rFonts w:ascii="仿宋_GB2312" w:hAnsi="仿宋_GB2312" w:eastAsia="仿宋_GB2312" w:cs="仿宋_GB2312"/>
        </w:rPr>
        <w:t>在收到中标人开具等额发票的10个工作日内</w:t>
      </w:r>
      <w:r>
        <w:rPr>
          <w:rFonts w:hint="default" w:ascii="仿宋_GB2312" w:hAnsi="仿宋_GB2312" w:eastAsia="仿宋_GB2312" w:cs="仿宋_GB2312"/>
        </w:rPr>
        <w:t>支付给中标人。</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2.付款方式：采用支票、银行汇付（含电汇）等形式。</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3.每笔款项支付时，中标人同时向采购人提供与应付款项等额的合法有效的发票（含货物款发票、货物安装费发票及有关服务发票）。若中标人迟延交付发票的，采购人相应顺延付款时间。</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4.若因国家政策变化或财政资金不足导致需要停止本项目，则将按实际工作量比例扣减支付款项或将剩余工作量结转用于其他工作内容，并相应地由双方书面确认终止合同或变更合同。</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六、演示、述标</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1.演示述标人数：不超过2人（含授权委托代表）</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2.演示述标时间：每个投标人现场述标时间控制在 5 分钟之内，现场服务平台和服务流程演示，时间不超过 10 分钟。</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3.设备：报价人需自行解决现场阐述所需设备、上网及投影接口等问题，集中代理机构仅提供投影仪，同时须考虑设备与投标现场设备的兼容性。</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4.演示述标方式：不限。</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5.演示述标顺序：投标人通过资格及符合性审查后，方可进入到现场方案讲解环节。演示述标顺序，按照系统生成的“签到表”顺序进行。</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6.演示述标签到时间：投标文件提交截止时间前30分钟内，供应商委派专人前来签到（须同时携带：①投标人授权函原件加盖投标人公章，格式自拟。②身份证）。未在规定时间内按要求到达现场签到，视为投标人放弃现场方案讲解。</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7.集中地点：广州市越华路112号三楼309房。</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述标：阐述内容包含完整的电子税务局相关软件及系统咨询服务外包项目的总体需求，在服务质量、保密、设备、培训、管理制度、项目实施等内容；</w:t>
      </w:r>
    </w:p>
    <w:p>
      <w:pPr>
        <w:snapToGrid w:val="0"/>
        <w:spacing w:line="396" w:lineRule="auto"/>
        <w:ind w:firstLine="420" w:firstLineChars="200"/>
        <w:jc w:val="left"/>
        <w:rPr>
          <w:rFonts w:ascii="黑体" w:hAnsi="黑体" w:eastAsia="黑体"/>
          <w:color w:val="FF0000"/>
          <w:sz w:val="32"/>
          <w:szCs w:val="32"/>
        </w:rPr>
      </w:pPr>
      <w:r>
        <w:rPr>
          <w:rFonts w:ascii="仿宋_GB2312" w:hAnsi="仿宋_GB2312" w:eastAsia="仿宋_GB2312" w:cs="仿宋_GB2312"/>
        </w:rPr>
        <w:t>演示：演示内容需体现完整的服务咨询流程及热线知识库操作过程（服务平台必须带完整的应用/浏览器操作界面、包含但不限于访问地址、系统logo等信息）”。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D280E"/>
    <w:rsid w:val="00014716"/>
    <w:rsid w:val="00056275"/>
    <w:rsid w:val="000C5681"/>
    <w:rsid w:val="00253CF6"/>
    <w:rsid w:val="00266C41"/>
    <w:rsid w:val="002D0C0A"/>
    <w:rsid w:val="002D280E"/>
    <w:rsid w:val="002F5E5C"/>
    <w:rsid w:val="003834EE"/>
    <w:rsid w:val="00475FA6"/>
    <w:rsid w:val="005C4BB2"/>
    <w:rsid w:val="00703579"/>
    <w:rsid w:val="00734623"/>
    <w:rsid w:val="0079019B"/>
    <w:rsid w:val="007E7DCD"/>
    <w:rsid w:val="00A340CB"/>
    <w:rsid w:val="00AD176C"/>
    <w:rsid w:val="00AE208D"/>
    <w:rsid w:val="00B25C26"/>
    <w:rsid w:val="00B40C57"/>
    <w:rsid w:val="00B55960"/>
    <w:rsid w:val="00B56563"/>
    <w:rsid w:val="00BD307B"/>
    <w:rsid w:val="00C16A57"/>
    <w:rsid w:val="00DD7237"/>
    <w:rsid w:val="00E15144"/>
    <w:rsid w:val="00E35D5B"/>
    <w:rsid w:val="00F5491E"/>
    <w:rsid w:val="00F96816"/>
    <w:rsid w:val="0E6754F2"/>
    <w:rsid w:val="1734257C"/>
    <w:rsid w:val="349A68DB"/>
    <w:rsid w:val="64016F57"/>
    <w:rsid w:val="6AED2E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jc w:val="both"/>
      <w:textAlignment w:val="baseline"/>
    </w:pPr>
    <w:rPr>
      <w:rFonts w:ascii="Times New Roman" w:hAnsi="Times New Roman" w:eastAsia="宋体" w:cs="Times New Roman"/>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qFormat/>
    <w:uiPriority w:val="0"/>
    <w:pPr>
      <w:kinsoku w:val="0"/>
      <w:overflowPunct/>
      <w:autoSpaceDE/>
      <w:autoSpaceDN/>
      <w:snapToGrid w:val="0"/>
      <w:spacing w:line="360" w:lineRule="auto"/>
      <w:ind w:firstLine="560" w:firstLineChars="200"/>
      <w:jc w:val="left"/>
    </w:pPr>
    <w:rPr>
      <w:rFonts w:ascii="Arial" w:hAnsi="Arial" w:cs="Arial"/>
      <w:snapToGrid w:val="0"/>
      <w:color w:val="000000"/>
      <w:szCs w:val="21"/>
      <w:lang w:eastAsia="en-US"/>
    </w:rPr>
  </w:style>
  <w:style w:type="paragraph" w:styleId="3">
    <w:name w:val="Balloon Text"/>
    <w:basedOn w:val="1"/>
    <w:link w:val="13"/>
    <w:uiPriority w:val="0"/>
    <w:rPr>
      <w:sz w:val="18"/>
      <w:szCs w:val="18"/>
    </w:rPr>
  </w:style>
  <w:style w:type="paragraph" w:styleId="4">
    <w:name w:val="footer"/>
    <w:basedOn w:val="1"/>
    <w:link w:val="10"/>
    <w:uiPriority w:val="0"/>
    <w:pPr>
      <w:tabs>
        <w:tab w:val="center" w:pos="4153"/>
        <w:tab w:val="right" w:pos="8306"/>
      </w:tabs>
      <w:snapToGrid w:val="0"/>
      <w:jc w:val="left"/>
    </w:pPr>
    <w:rPr>
      <w:sz w:val="18"/>
      <w:szCs w:val="18"/>
    </w:rPr>
  </w:style>
  <w:style w:type="paragraph" w:styleId="5">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qFormat/>
    <w:uiPriority w:val="0"/>
    <w:rPr>
      <w:sz w:val="21"/>
      <w:szCs w:val="21"/>
    </w:rPr>
  </w:style>
  <w:style w:type="character" w:customStyle="1" w:styleId="9">
    <w:name w:val="页眉 Char"/>
    <w:basedOn w:val="7"/>
    <w:link w:val="5"/>
    <w:uiPriority w:val="0"/>
    <w:rPr>
      <w:rFonts w:ascii="Times New Roman" w:hAnsi="Times New Roman" w:eastAsia="宋体" w:cs="Times New Roman"/>
      <w:sz w:val="18"/>
      <w:szCs w:val="18"/>
    </w:rPr>
  </w:style>
  <w:style w:type="character" w:customStyle="1" w:styleId="10">
    <w:name w:val="页脚 Char"/>
    <w:basedOn w:val="7"/>
    <w:link w:val="4"/>
    <w:uiPriority w:val="0"/>
    <w:rPr>
      <w:rFonts w:ascii="Times New Roman" w:hAnsi="Times New Roman" w:eastAsia="宋体" w:cs="Times New Roman"/>
      <w:sz w:val="18"/>
      <w:szCs w:val="18"/>
    </w:rPr>
  </w:style>
  <w:style w:type="character" w:customStyle="1" w:styleId="11">
    <w:name w:val="批注文字 Char"/>
    <w:basedOn w:val="7"/>
    <w:link w:val="2"/>
    <w:qFormat/>
    <w:uiPriority w:val="0"/>
    <w:rPr>
      <w:rFonts w:ascii="Arial" w:hAnsi="Arial" w:eastAsia="宋体" w:cs="Arial"/>
      <w:snapToGrid w:val="0"/>
      <w:color w:val="000000"/>
      <w:sz w:val="21"/>
      <w:szCs w:val="21"/>
      <w:lang w:eastAsia="en-US"/>
    </w:rPr>
  </w:style>
  <w:style w:type="paragraph" w:customStyle="1" w:styleId="12">
    <w:name w:val="null3"/>
    <w:hidden/>
    <w:qFormat/>
    <w:uiPriority w:val="0"/>
    <w:rPr>
      <w:rFonts w:hint="eastAsia" w:ascii="Calibri" w:hAnsi="Calibri" w:eastAsia="宋体" w:cs="Times New Roman"/>
      <w:lang w:val="en-US" w:eastAsia="zh-CN" w:bidi="ar-SA"/>
    </w:rPr>
  </w:style>
  <w:style w:type="character" w:customStyle="1" w:styleId="13">
    <w:name w:val="批注框文本 Char"/>
    <w:basedOn w:val="7"/>
    <w:link w:val="3"/>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2112</Words>
  <Characters>12041</Characters>
  <Lines>100</Lines>
  <Paragraphs>28</Paragraphs>
  <TotalTime>48</TotalTime>
  <ScaleCrop>false</ScaleCrop>
  <LinksUpToDate>false</LinksUpToDate>
  <CharactersWithSpaces>14125</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2024-06-14T00:52:00Z</dcterms:created>
  <dc:creator>Z8000</dc:creator>
  <cp:lastModifiedBy>nsfw-xw</cp:lastModifiedBy>
  <dcterms:modified xsi:type="dcterms:W3CDTF">2026-04-15T01:07:43Z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