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 w:hAnsi="仿宋" w:eastAsia="仿宋"/>
          <w:color w:val="FF0000"/>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880" w:firstLineChars="20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国家税务总局广州市税务局12366咨询服务外包项目采购需求</w:t>
      </w:r>
      <w:bookmarkStart w:id="68" w:name="_GoBack"/>
      <w:bookmarkEnd w:id="68"/>
    </w:p>
    <w:p>
      <w:pPr>
        <w:snapToGrid w:val="0"/>
        <w:spacing w:line="396" w:lineRule="auto"/>
        <w:ind w:firstLine="640" w:firstLineChars="200"/>
        <w:jc w:val="both"/>
        <w:rPr>
          <w:rFonts w:ascii="黑体" w:hAnsi="黑体" w:eastAsia="黑体"/>
          <w:color w:val="FF0000"/>
          <w:sz w:val="32"/>
          <w:szCs w:val="32"/>
        </w:rPr>
      </w:pPr>
    </w:p>
    <w:p>
      <w:pPr>
        <w:pStyle w:val="12"/>
        <w:rPr>
          <w:rFonts w:hint="default" w:ascii="仿宋_GB2312" w:hAnsi="仿宋_GB2312" w:eastAsia="仿宋_GB2312" w:cs="仿宋_GB2312"/>
          <w:b/>
        </w:rPr>
      </w:pPr>
      <w:bookmarkStart w:id="0" w:name="_Toc22806093"/>
      <w:r>
        <w:rPr>
          <w:rFonts w:hint="default" w:ascii="仿宋_GB2312" w:hAnsi="仿宋_GB2312" w:eastAsia="仿宋_GB2312" w:cs="仿宋_GB2312"/>
          <w:b/>
        </w:rPr>
        <w:t>请供应商留意以下内容：</w:t>
      </w:r>
    </w:p>
    <w:p>
      <w:pPr>
        <w:pStyle w:val="12"/>
        <w:ind w:firstLine="394" w:firstLineChars="196"/>
        <w:rPr>
          <w:rFonts w:hint="default" w:ascii="仿宋_GB2312" w:hAnsi="仿宋_GB2312" w:eastAsia="仿宋_GB2312" w:cs="仿宋_GB2312"/>
          <w:b/>
        </w:rPr>
      </w:pPr>
      <w:r>
        <w:rPr>
          <w:rFonts w:hint="default" w:ascii="仿宋_GB2312" w:hAnsi="仿宋_GB2312" w:eastAsia="仿宋_GB2312" w:cs="仿宋_GB2312"/>
          <w:b/>
        </w:rPr>
        <w:t>1、采购文件中带“★”的条款为本次采购的重要要求，供应商必须全部满足或响应，只要不满足任一带“★”的条款，将被认定为无效投标（响应）。采购文件中带“▲”的条款为本次采购较为重要的要求，供应商无法满足或响应时，将影响其评审分值。</w:t>
      </w:r>
    </w:p>
    <w:p>
      <w:pPr>
        <w:pStyle w:val="12"/>
        <w:ind w:firstLine="402" w:firstLineChars="200"/>
        <w:rPr>
          <w:rFonts w:hint="default" w:ascii="仿宋_GB2312" w:hAnsi="仿宋_GB2312" w:eastAsia="仿宋_GB2312" w:cs="仿宋_GB2312"/>
          <w:b/>
        </w:rPr>
      </w:pPr>
      <w:r>
        <w:rPr>
          <w:rFonts w:hint="default" w:ascii="仿宋_GB2312" w:hAnsi="仿宋_GB2312" w:eastAsia="仿宋_GB2312" w:cs="仿宋_GB2312"/>
          <w:b/>
        </w:rPr>
        <w:t>2、采购文件所要求的证书、资质等材料，如有有效期限制的，供应商所提供的资质、证书等材料均应处于有效期内，否则按无效材料处理。</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w:t>
      </w:r>
      <w:r>
        <w:rPr>
          <w:rFonts w:hint="eastAsia" w:ascii="仿宋_GB2312" w:hAnsi="仿宋_GB2312" w:eastAsia="仿宋_GB2312" w:cs="仿宋_GB2312"/>
          <w:b/>
          <w:lang w:val="en-US" w:eastAsia="zh-CN"/>
        </w:rPr>
        <w:t>3</w:t>
      </w:r>
      <w:r>
        <w:rPr>
          <w:rFonts w:ascii="仿宋_GB2312" w:hAnsi="仿宋_GB2312" w:eastAsia="仿宋_GB2312" w:cs="仿宋_GB2312"/>
          <w:b/>
        </w:rPr>
        <w:t>、供应商须保证，如中标（成交），投标（响应）文件所提供的材料，如果有效期（包括需要年审、继续教育等完成后才能执业的行政许可、人员证书等情形）未能覆盖项目（包组）合同履行期的，将提前按规定办理延期手续，确保合同顺利履行（投标时提交承诺，承诺可参照“投标文件格式”中《承诺函》格式）。</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w:t>
      </w:r>
      <w:r>
        <w:rPr>
          <w:rFonts w:hint="eastAsia" w:ascii="仿宋_GB2312" w:hAnsi="仿宋_GB2312" w:eastAsia="仿宋_GB2312" w:cs="仿宋_GB2312"/>
          <w:b/>
          <w:lang w:val="en-US" w:eastAsia="zh-CN"/>
        </w:rPr>
        <w:t>4</w:t>
      </w:r>
      <w:r>
        <w:rPr>
          <w:rFonts w:ascii="仿宋_GB2312" w:hAnsi="仿宋_GB2312" w:eastAsia="仿宋_GB2312" w:cs="仿宋_GB2312"/>
          <w:b/>
        </w:rPr>
        <w:t>、投标人必须承诺投标文件中所响应提供的资料属于真实有效的，有异议时，中标人必须在采购人提出后5个工作日内提供相关资料原件复核。如不能在规定时间内提供原件复核的，将上报有关监管部门（投标时提交承诺，承诺可参照“投标文件格式”中《承诺函》格式）。</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w:t>
      </w:r>
      <w:r>
        <w:rPr>
          <w:rFonts w:hint="eastAsia" w:ascii="仿宋_GB2312" w:hAnsi="仿宋_GB2312" w:eastAsia="仿宋_GB2312" w:cs="仿宋_GB2312"/>
          <w:b/>
          <w:lang w:val="en-US" w:eastAsia="zh-CN"/>
        </w:rPr>
        <w:t>5</w:t>
      </w:r>
      <w:r>
        <w:rPr>
          <w:rFonts w:ascii="仿宋_GB2312" w:hAnsi="仿宋_GB2312" w:eastAsia="仿宋_GB2312" w:cs="仿宋_GB2312"/>
          <w:b/>
        </w:rPr>
        <w:t>、投标人承诺，如中标（成交），履约期间所供服务均符合国家强制性要求，包括但不限于采购文件列出的所有强制性标准(投标时提供承诺，可参照“投标文件格式”中《承诺函》格式）。</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w:t>
      </w:r>
      <w:r>
        <w:rPr>
          <w:rFonts w:hint="eastAsia" w:ascii="仿宋_GB2312" w:hAnsi="仿宋_GB2312" w:eastAsia="仿宋_GB2312" w:cs="仿宋_GB2312"/>
          <w:b/>
          <w:lang w:val="en-US" w:eastAsia="zh-CN"/>
        </w:rPr>
        <w:t>6</w:t>
      </w:r>
      <w:r>
        <w:rPr>
          <w:rFonts w:ascii="仿宋_GB2312" w:hAnsi="仿宋_GB2312" w:eastAsia="仿宋_GB2312" w:cs="仿宋_GB2312"/>
          <w:b/>
        </w:rPr>
        <w:t>、投标人必须承诺，</w:t>
      </w:r>
      <w:r>
        <w:rPr>
          <w:rFonts w:hint="default" w:ascii="仿宋_GB2312" w:hAnsi="仿宋_GB2312" w:eastAsia="仿宋_GB2312" w:cs="仿宋_GB2312"/>
          <w:b/>
        </w:rPr>
        <w:t>如服务期限</w:t>
      </w:r>
      <w:r>
        <w:rPr>
          <w:rFonts w:ascii="仿宋_GB2312" w:hAnsi="仿宋_GB2312" w:eastAsia="仿宋_GB2312" w:cs="仿宋_GB2312"/>
          <w:b/>
        </w:rPr>
        <w:t>结束</w:t>
      </w:r>
      <w:r>
        <w:rPr>
          <w:rFonts w:hint="default" w:ascii="仿宋_GB2312" w:hAnsi="仿宋_GB2312" w:eastAsia="仿宋_GB2312" w:cs="仿宋_GB2312"/>
          <w:b/>
        </w:rPr>
        <w:t>或</w:t>
      </w:r>
      <w:r>
        <w:rPr>
          <w:rFonts w:ascii="仿宋_GB2312" w:hAnsi="仿宋_GB2312" w:eastAsia="仿宋_GB2312" w:cs="仿宋_GB2312"/>
          <w:b/>
        </w:rPr>
        <w:t>财政下拨预算经费使用完毕</w:t>
      </w:r>
      <w:r>
        <w:rPr>
          <w:rFonts w:hint="default" w:ascii="仿宋_GB2312" w:hAnsi="仿宋_GB2312" w:eastAsia="仿宋_GB2312" w:cs="仿宋_GB2312"/>
          <w:b/>
        </w:rPr>
        <w:t>任意一项条件先达到，则本项目合同履约结束（投标时提供承诺，可参照“投标文件格式”中《承诺函》格式）。</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w:t>
      </w:r>
      <w:r>
        <w:rPr>
          <w:rFonts w:hint="eastAsia" w:ascii="仿宋_GB2312" w:hAnsi="仿宋_GB2312" w:eastAsia="仿宋_GB2312" w:cs="仿宋_GB2312"/>
          <w:b/>
          <w:lang w:val="en-US" w:eastAsia="zh-CN"/>
        </w:rPr>
        <w:t>7</w:t>
      </w:r>
      <w:r>
        <w:rPr>
          <w:rFonts w:ascii="仿宋_GB2312" w:hAnsi="仿宋_GB2312" w:eastAsia="仿宋_GB2312" w:cs="仿宋_GB2312"/>
          <w:b/>
        </w:rPr>
        <w:t>、投标人必须承诺，理解并同意“服务期限内如因相关法律法规等政府规范性文件要求，税收征管改革发展需要，机构撤并、改革等原因采购人有权单方面</w:t>
      </w:r>
      <w:r>
        <w:rPr>
          <w:rFonts w:hint="default" w:ascii="仿宋_GB2312" w:hAnsi="仿宋_GB2312" w:eastAsia="仿宋_GB2312" w:cs="仿宋_GB2312"/>
          <w:b/>
        </w:rPr>
        <w:t>终止合同</w:t>
      </w:r>
      <w:r>
        <w:rPr>
          <w:rFonts w:ascii="仿宋_GB2312" w:hAnsi="仿宋_GB2312" w:eastAsia="仿宋_GB2312" w:cs="仿宋_GB2312"/>
          <w:b/>
        </w:rPr>
        <w:t>或双方协商变更合同，支付实际发生服务期间费用。”（投标时提供承诺，可参照“投标文件格式”中《承诺函》格式）。</w:t>
      </w:r>
    </w:p>
    <w:bookmarkEnd w:id="0"/>
    <w:p>
      <w:pPr>
        <w:pStyle w:val="12"/>
        <w:ind w:firstLine="402"/>
        <w:rPr>
          <w:rFonts w:hint="default" w:ascii="仿宋_GB2312" w:hAnsi="仿宋_GB2312" w:eastAsia="仿宋_GB2312" w:cs="仿宋_GB2312"/>
          <w:b/>
          <w:bCs/>
        </w:rPr>
      </w:pPr>
      <w:bookmarkStart w:id="1" w:name="_Toc280862311"/>
      <w:bookmarkEnd w:id="1"/>
      <w:bookmarkStart w:id="2" w:name="_Toc280862306"/>
      <w:bookmarkEnd w:id="2"/>
      <w:bookmarkStart w:id="3" w:name="_Toc280862292"/>
      <w:bookmarkEnd w:id="3"/>
      <w:bookmarkStart w:id="4" w:name="_Toc280862270"/>
      <w:bookmarkEnd w:id="4"/>
      <w:bookmarkStart w:id="5" w:name="_Toc280862288"/>
      <w:bookmarkEnd w:id="5"/>
      <w:bookmarkStart w:id="6" w:name="_Toc280862258"/>
      <w:bookmarkEnd w:id="6"/>
      <w:bookmarkStart w:id="7" w:name="_Toc280862308"/>
      <w:bookmarkEnd w:id="7"/>
      <w:bookmarkStart w:id="8" w:name="_Toc280862293"/>
      <w:bookmarkEnd w:id="8"/>
      <w:bookmarkStart w:id="9" w:name="_Toc280862261"/>
      <w:bookmarkEnd w:id="9"/>
      <w:bookmarkStart w:id="10" w:name="_Toc280862312"/>
      <w:bookmarkEnd w:id="10"/>
      <w:bookmarkStart w:id="11" w:name="_Toc280862319"/>
      <w:bookmarkEnd w:id="11"/>
      <w:bookmarkStart w:id="12" w:name="_Toc280862317"/>
      <w:bookmarkEnd w:id="12"/>
      <w:bookmarkStart w:id="13" w:name="_Toc280862318"/>
      <w:bookmarkEnd w:id="13"/>
      <w:bookmarkStart w:id="14" w:name="_Toc280862282"/>
      <w:bookmarkEnd w:id="14"/>
      <w:bookmarkStart w:id="15" w:name="_Toc280862284"/>
      <w:bookmarkEnd w:id="15"/>
      <w:bookmarkStart w:id="16" w:name="_Toc280862273"/>
      <w:bookmarkEnd w:id="16"/>
      <w:bookmarkStart w:id="17" w:name="_Toc280862267"/>
      <w:bookmarkEnd w:id="17"/>
      <w:bookmarkStart w:id="18" w:name="_Toc280862291"/>
      <w:bookmarkEnd w:id="18"/>
      <w:bookmarkStart w:id="19" w:name="_Toc280862268"/>
      <w:bookmarkEnd w:id="19"/>
      <w:bookmarkStart w:id="20" w:name="_Toc280862271"/>
      <w:bookmarkEnd w:id="20"/>
      <w:bookmarkStart w:id="21" w:name="_Toc280862309"/>
      <w:bookmarkEnd w:id="21"/>
      <w:bookmarkStart w:id="22" w:name="_Toc280862276"/>
      <w:bookmarkEnd w:id="22"/>
      <w:bookmarkStart w:id="23" w:name="_Toc280862257"/>
      <w:bookmarkEnd w:id="23"/>
      <w:bookmarkStart w:id="24" w:name="_Toc280862283"/>
      <w:bookmarkEnd w:id="24"/>
      <w:bookmarkStart w:id="25" w:name="_Toc280862316"/>
      <w:bookmarkEnd w:id="25"/>
      <w:bookmarkStart w:id="26" w:name="_Toc280862260"/>
      <w:bookmarkEnd w:id="26"/>
      <w:bookmarkStart w:id="27" w:name="_Toc280862302"/>
      <w:bookmarkEnd w:id="27"/>
      <w:bookmarkStart w:id="28" w:name="_Toc280862315"/>
      <w:bookmarkEnd w:id="28"/>
      <w:bookmarkStart w:id="29" w:name="_Toc280862290"/>
      <w:bookmarkEnd w:id="29"/>
      <w:bookmarkStart w:id="30" w:name="_Toc280862263"/>
      <w:bookmarkEnd w:id="30"/>
      <w:bookmarkStart w:id="31" w:name="_Toc280862265"/>
      <w:bookmarkEnd w:id="31"/>
      <w:bookmarkStart w:id="32" w:name="_Toc280862286"/>
      <w:bookmarkEnd w:id="32"/>
      <w:bookmarkStart w:id="33" w:name="_Toc280862277"/>
      <w:bookmarkEnd w:id="33"/>
      <w:bookmarkStart w:id="34" w:name="_Toc280862320"/>
      <w:bookmarkEnd w:id="34"/>
      <w:bookmarkStart w:id="35" w:name="_Toc280862294"/>
      <w:bookmarkEnd w:id="35"/>
      <w:bookmarkStart w:id="36" w:name="_Toc280862300"/>
      <w:bookmarkEnd w:id="36"/>
      <w:bookmarkStart w:id="37" w:name="_Toc280862304"/>
      <w:bookmarkEnd w:id="37"/>
      <w:bookmarkStart w:id="38" w:name="_Toc280862289"/>
      <w:bookmarkEnd w:id="38"/>
      <w:bookmarkStart w:id="39" w:name="_Toc280862285"/>
      <w:bookmarkEnd w:id="39"/>
      <w:bookmarkStart w:id="40" w:name="_Toc280862298"/>
      <w:bookmarkEnd w:id="40"/>
      <w:bookmarkStart w:id="41" w:name="_Toc280862287"/>
      <w:bookmarkEnd w:id="41"/>
      <w:bookmarkStart w:id="42" w:name="_Toc280862305"/>
      <w:bookmarkEnd w:id="42"/>
      <w:bookmarkStart w:id="43" w:name="_Toc280862307"/>
      <w:bookmarkEnd w:id="43"/>
      <w:bookmarkStart w:id="44" w:name="_Toc280862296"/>
      <w:bookmarkEnd w:id="44"/>
      <w:bookmarkStart w:id="45" w:name="_Toc280862310"/>
      <w:bookmarkEnd w:id="45"/>
      <w:bookmarkStart w:id="46" w:name="_Toc280862259"/>
      <w:bookmarkEnd w:id="46"/>
      <w:bookmarkStart w:id="47" w:name="_Toc280862314"/>
      <w:bookmarkEnd w:id="47"/>
      <w:bookmarkStart w:id="48" w:name="_Toc280862272"/>
      <w:bookmarkEnd w:id="48"/>
      <w:bookmarkStart w:id="49" w:name="_Toc280862297"/>
      <w:bookmarkEnd w:id="49"/>
      <w:bookmarkStart w:id="50" w:name="_Toc280862266"/>
      <w:bookmarkEnd w:id="50"/>
      <w:bookmarkStart w:id="51" w:name="_Toc280862279"/>
      <w:bookmarkEnd w:id="51"/>
      <w:bookmarkStart w:id="52" w:name="_Toc280862321"/>
      <w:bookmarkEnd w:id="52"/>
      <w:bookmarkStart w:id="53" w:name="_Toc280862275"/>
      <w:bookmarkEnd w:id="53"/>
      <w:bookmarkStart w:id="54" w:name="_Toc280862303"/>
      <w:bookmarkEnd w:id="54"/>
      <w:bookmarkStart w:id="55" w:name="_Toc280862278"/>
      <w:bookmarkEnd w:id="55"/>
      <w:bookmarkStart w:id="56" w:name="_Toc280862299"/>
      <w:bookmarkEnd w:id="56"/>
      <w:bookmarkStart w:id="57" w:name="_Toc280862281"/>
      <w:bookmarkEnd w:id="57"/>
      <w:bookmarkStart w:id="58" w:name="_Toc280862301"/>
      <w:bookmarkEnd w:id="58"/>
      <w:bookmarkStart w:id="59" w:name="_Toc280862264"/>
      <w:bookmarkEnd w:id="59"/>
      <w:bookmarkStart w:id="60" w:name="_Toc280862262"/>
      <w:bookmarkEnd w:id="60"/>
      <w:bookmarkStart w:id="61" w:name="_Toc280862313"/>
      <w:bookmarkEnd w:id="61"/>
      <w:bookmarkStart w:id="62" w:name="_Toc280862295"/>
      <w:bookmarkEnd w:id="62"/>
      <w:bookmarkStart w:id="63" w:name="_Toc280862280"/>
      <w:bookmarkEnd w:id="63"/>
      <w:bookmarkStart w:id="64" w:name="_Toc280862269"/>
      <w:bookmarkEnd w:id="64"/>
      <w:bookmarkStart w:id="65" w:name="_Toc280862274"/>
      <w:bookmarkEnd w:id="65"/>
      <w:r>
        <w:rPr>
          <w:rFonts w:hint="eastAsia" w:ascii="仿宋_GB2312" w:hAnsi="仿宋_GB2312" w:eastAsia="仿宋_GB2312" w:cs="仿宋_GB2312"/>
          <w:b/>
          <w:lang w:val="en-US" w:eastAsia="zh-CN"/>
        </w:rPr>
        <w:t>8</w:t>
      </w:r>
      <w:r>
        <w:rPr>
          <w:rFonts w:ascii="仿宋_GB2312" w:hAnsi="仿宋_GB2312" w:eastAsia="仿宋_GB2312" w:cs="仿宋_GB2312"/>
          <w:b/>
        </w:rPr>
        <w:t>、</w:t>
      </w:r>
      <w:r>
        <w:rPr>
          <w:rFonts w:ascii="仿宋_GB2312" w:hAnsi="仿宋_GB2312" w:eastAsia="仿宋_GB2312" w:cs="仿宋_GB2312"/>
          <w:b/>
          <w:bCs/>
        </w:rPr>
        <w:t>如供应商异常低价报价，评标委员会（评审小组）将启动异常低价投标（响应）审查，要求相关供应商在评审现场合理的时间内提供书面说明及必要的证明材料，对投标（响应）价格作出解释。供应商应在评标（审）现场合理的时间对完成该项目(包组）发生的全部报价进行分析，包括但不限于各种人工费、管理费、设备费、软件费、场地费用、培训费、风险责任金、工具器材、损耗品及材料、税费、代理服务费等各项费用，并逐一提供佐证材料。佐证材料包括但不限于：①人员工资明细表；②管理费；③设备、软件购买（或租赁）合同及发票；④自有场地的提供房产证明，租赁场地的提供租赁合同及发票；⑤以往同类服务项目的合同及中标（成交）通知书（或交易发票）。</w:t>
      </w:r>
    </w:p>
    <w:p>
      <w:pPr>
        <w:pStyle w:val="12"/>
        <w:rPr>
          <w:rFonts w:hint="default" w:ascii="仿宋_GB2312" w:hAnsi="仿宋_GB2312" w:eastAsia="仿宋_GB2312" w:cs="仿宋_GB2312"/>
          <w:b/>
          <w:bCs/>
        </w:rPr>
      </w:pPr>
      <w:r>
        <w:rPr>
          <w:rFonts w:ascii="仿宋_GB2312" w:hAnsi="仿宋_GB2312" w:eastAsia="仿宋_GB2312" w:cs="仿宋_GB2312"/>
          <w:b/>
          <w:bCs/>
        </w:rPr>
        <w:t>注：上述罗列的费用，如实际并未发生，则无须提供对应的成本分析及证明材料，但供应商应提供说明。</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w:t>
      </w:r>
      <w:r>
        <w:rPr>
          <w:rFonts w:hint="eastAsia" w:ascii="仿宋_GB2312" w:hAnsi="仿宋_GB2312" w:eastAsia="仿宋_GB2312" w:cs="仿宋_GB2312"/>
          <w:b/>
          <w:lang w:val="en-US" w:eastAsia="zh-CN"/>
        </w:rPr>
        <w:t>9</w:t>
      </w:r>
      <w:r>
        <w:rPr>
          <w:rFonts w:ascii="仿宋_GB2312" w:hAnsi="仿宋_GB2312" w:eastAsia="仿宋_GB2312" w:cs="仿宋_GB2312"/>
          <w:b/>
        </w:rPr>
        <w:t>、本项目不允许分包，如供应商在投标/响应文件中未出现《分包意向协议书》，则视为未采取分包。</w:t>
      </w:r>
    </w:p>
    <w:p>
      <w:pPr>
        <w:pStyle w:val="12"/>
        <w:ind w:firstLine="402" w:firstLineChars="200"/>
        <w:rPr>
          <w:rFonts w:hint="default" w:ascii="仿宋_GB2312" w:hAnsi="仿宋_GB2312" w:eastAsia="仿宋_GB2312" w:cs="仿宋_GB2312"/>
          <w:b/>
        </w:rPr>
      </w:pPr>
      <w:r>
        <w:rPr>
          <w:rFonts w:hint="eastAsia" w:ascii="仿宋_GB2312" w:hAnsi="仿宋_GB2312" w:eastAsia="仿宋_GB2312" w:cs="仿宋_GB2312"/>
          <w:b/>
          <w:lang w:val="en-US" w:eastAsia="zh-CN"/>
        </w:rPr>
        <w:t>10</w:t>
      </w:r>
      <w:r>
        <w:rPr>
          <w:rFonts w:ascii="仿宋_GB2312" w:hAnsi="仿宋_GB2312" w:eastAsia="仿宋_GB2312" w:cs="仿宋_GB2312"/>
          <w:b/>
        </w:rPr>
        <w:t>、根据《国务院办公厅关于在政府采购中实施本国产品标准及相关政策的通知》（国办发〔2025〕34号）的规定，本项目不适用本国产品标准及相关政策。</w:t>
      </w:r>
    </w:p>
    <w:p>
      <w:pPr>
        <w:pStyle w:val="12"/>
        <w:ind w:firstLine="480"/>
        <w:jc w:val="both"/>
        <w:rPr>
          <w:rFonts w:ascii="仿宋_GB2312" w:hAnsi="仿宋_GB2312" w:eastAsia="仿宋_GB2312" w:cs="仿宋_GB2312"/>
        </w:rPr>
      </w:pP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一、项目概述</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以建设全国税务系统咨询服务标杆为总目标，立足于为纳税人缴费人提供规范、标准、高效、便捷的专业化税费咨询服务，充实话务资源，确保及时响应咨询需求，由国家税务总局广州市税务局提供工作场地、办公家具及电脑设备，以及相关配套的办公费用等，</w:t>
      </w:r>
      <w:bookmarkStart w:id="66" w:name="OLE_LINK1"/>
      <w:bookmarkStart w:id="67" w:name="OLE_LINK2"/>
      <w:r>
        <w:rPr>
          <w:rFonts w:ascii="仿宋_GB2312" w:hAnsi="仿宋_GB2312" w:eastAsia="仿宋_GB2312" w:cs="仿宋_GB2312"/>
        </w:rPr>
        <w:t>通过政府购买咨询外包坐席方式开展 12366 咨询服务外包项目，向广东省内纳税人缴费人提供涉税费咨询服务，实现体系化管理、高效化运营，建立多维度服务体系，强化大数据运营分析和智能化服务，充分研判人工智能新型技术的发展，进一步提升纳税缴费服务的深度和广度，不断提高 12366 纳税缴费服务热线的服务效能，全面提升纳税人缴费人满意度和获得感。</w:t>
      </w:r>
      <w:bookmarkEnd w:id="66"/>
      <w:bookmarkEnd w:id="67"/>
    </w:p>
    <w:p>
      <w:pPr>
        <w:pStyle w:val="12"/>
        <w:ind w:firstLine="480"/>
        <w:jc w:val="both"/>
        <w:rPr>
          <w:rFonts w:hint="default" w:ascii="仿宋_GB2312" w:hAnsi="仿宋_GB2312" w:eastAsia="仿宋_GB2312" w:cs="仿宋_GB2312"/>
        </w:rPr>
      </w:pPr>
      <w:r>
        <w:rPr>
          <w:rFonts w:ascii="仿宋_GB2312" w:hAnsi="仿宋_GB2312" w:eastAsia="仿宋_GB2312" w:cs="仿宋_GB2312"/>
        </w:rPr>
        <w:t>二、项目要求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（一）总体要求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统一使用国家信息产业部核批的全国税务机关特服号 12366，向广东省内纳税人缴费人开展语音（包括自动语音咨询和人工坐席咨询）和网络咨询服务，其中自动语音咨询提供全天候 24 小时服务，人工坐席和网络咨询在正常工作时间（5×8 小时）提供人工接听和网络在线服务。主要服务范围为：税费咨询、投诉举报、税费法规查询、办税指南查询、自动语音留言回拨、满意度回访评价等。</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（二）服务期限</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1．本项目服务期限为</w:t>
      </w:r>
      <w:r>
        <w:rPr>
          <w:rFonts w:hint="eastAsia" w:ascii="仿宋_GB2312" w:hAnsi="仿宋_GB2312" w:eastAsia="仿宋_GB2312" w:cs="仿宋_GB2312"/>
          <w:lang w:val="en-US" w:eastAsia="zh-CN"/>
        </w:rPr>
        <w:t>12个月。</w:t>
      </w:r>
      <w:r>
        <w:rPr>
          <w:rFonts w:ascii="仿宋_GB2312" w:hAnsi="仿宋_GB2312" w:eastAsia="仿宋_GB2312" w:cs="仿宋_GB2312"/>
        </w:rPr>
        <w:t>。</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（三）咨询外包人员要求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1．总体要求</w:t>
      </w:r>
    </w:p>
    <w:p>
      <w:pPr>
        <w:pStyle w:val="12"/>
        <w:ind w:firstLine="480"/>
        <w:jc w:val="both"/>
        <w:rPr>
          <w:rFonts w:hint="default" w:ascii="仿宋_GB2312" w:hAnsi="仿宋_GB2312" w:eastAsia="仿宋_GB2312" w:cs="仿宋_GB2312"/>
          <w:b/>
        </w:rPr>
      </w:pPr>
      <w:r>
        <w:rPr>
          <w:rFonts w:ascii="仿宋_GB2312" w:hAnsi="仿宋_GB2312" w:eastAsia="仿宋_GB2312" w:cs="仿宋_GB2312"/>
          <w:b/>
        </w:rPr>
        <w:t>★（1）投标人承诺投入达到采购人上线承接话务标准的咨询外包人员270人，其中坐席人员265人，数据分析专员5人。实际工作中根据改革和业务需求，可能适当减少咨询外包人员及合同的对应金额（投标时提供承诺函，可参照“投标文件格式”中《承诺函》格式，函中须清晰明确上述人员岗位、数量）。</w:t>
      </w:r>
    </w:p>
    <w:p>
      <w:pPr>
        <w:pStyle w:val="12"/>
        <w:ind w:firstLine="480"/>
        <w:jc w:val="both"/>
        <w:rPr>
          <w:rFonts w:hint="default" w:ascii="仿宋_GB2312" w:hAnsi="仿宋_GB2312" w:eastAsia="仿宋_GB2312" w:cs="仿宋_GB2312"/>
          <w:b/>
        </w:rPr>
      </w:pPr>
      <w:r>
        <w:rPr>
          <w:rFonts w:ascii="仿宋_GB2312" w:hAnsi="仿宋_GB2312" w:eastAsia="仿宋_GB2312" w:cs="仿宋_GB2312"/>
          <w:b/>
        </w:rPr>
        <w:t>★（3）上述人员，要求签订合同之日起，最长7个自然</w:t>
      </w:r>
      <w:r>
        <w:rPr>
          <w:rFonts w:hint="eastAsia" w:ascii="仿宋_GB2312" w:hAnsi="仿宋_GB2312" w:eastAsia="仿宋_GB2312" w:cs="仿宋_GB2312"/>
          <w:b/>
          <w:lang w:eastAsia="zh-CN"/>
        </w:rPr>
        <w:t>日</w:t>
      </w:r>
      <w:r>
        <w:rPr>
          <w:rFonts w:ascii="仿宋_GB2312" w:hAnsi="仿宋_GB2312" w:eastAsia="仿宋_GB2312" w:cs="仿宋_GB2312"/>
          <w:b/>
        </w:rPr>
        <w:t>内需配备到岗（投标时提供承诺函，可参照“投标文件格式”中《承诺函》格式）。</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2．主要工作内容</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咨询外包人员按国家税务总局 12366 纳税缴费服务热线的相关管理规定提供专业化服务，包括但不限于：</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税费咨询：解答纳税人缴费人向 12366 纳税缴费服务热线提出的税收法律、办税流程、涉税费系统操作、税费信息查询等各类税费业务咨询。</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投诉举报受理：受理纳税人缴费人认为税务机关和税务人员在纳税服务过程中，未按规定要求提供相关服务而进行的投诉，受理对偷逃骗税等违反税法行为的举报，受理对税务机关及其工作人员违法违纪行为的举报。</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意见建议受理：受理纳税人缴费人对税务机关纳税服务、税收执法等各方面工作提出的意见建议。</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涉税调查：通过 12366 纳税缴费服务热线开展满意度调查、行风评议、意见征集等活动，通过电话抽查回访等方式配合省局了解对各级税务机关工作开展情况。</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需求收集：在为纳税人缴费人提供各类服务过程中，收集纳税人缴费人需求，并按规定归集、分析、传递。</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电话回呼：通过人工主动呼出的方式向纳税人缴费人提供涉税费咨询服务。电话回呼包括留言回呼、纠错回呼、承诺回呼、遇忙（呼损）回呼等。</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数据分析：针对运营数据进行采集和分析，输出多维度运营报表；深入挖掘纳税人缴费人来电信息，形成专项分析，对纳税人缴费人行为及需求进行评估，优化和完善服务流程等。</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3．服务时间</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咨询外包人员在正常工作时间（工作日 8:30-12:00，14:00-17:30）提供人工接听服务。如因为税务总局和省税务局特别业务需求，需要临时在正常工作时间之外提供人工接听服务，或者对外工作时间变动，由中标人配合提供对应服务，采购人不另外支付费用。</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4．咨询外包人员招聘要求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通过社会招聘、校园招聘等多种形式进行深度挖掘，保障人员符合项目基本素质要求、到岗及时。咨询外包人员须经采购人考核验收合格方可入职，采购人有权要求撤换不合格的人员。</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hint="default" w:ascii="仿宋_GB2312" w:hAnsi="仿宋_GB2312" w:eastAsia="仿宋_GB2312" w:cs="仿宋_GB2312"/>
        </w:rPr>
        <w:tab/>
      </w:r>
      <w:r>
        <w:rPr>
          <w:rFonts w:ascii="仿宋_GB2312" w:hAnsi="仿宋_GB2312" w:eastAsia="仿宋_GB2312" w:cs="仿宋_GB2312"/>
        </w:rPr>
        <w:t>坐席人员基本要求：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①要求坐席人员具备的相关专业范围包括:财务会计、税收、管理、计算机、法律相关专业；</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②汉字录入速度不低于 80 字/分钟；</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③具有良好的税收基本业务知识及计算机知识；</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④具备较强的服务意识和语言表达能力、良好的沟通能力、记忆能力、心理承受能力和学习能力；</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⑤身体健康；</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⑥普通话发音基本标准，语调自然，表达流畅。</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rPr>
        <w:tab/>
      </w:r>
      <w:r>
        <w:rPr>
          <w:rFonts w:ascii="仿宋_GB2312" w:hAnsi="仿宋_GB2312" w:eastAsia="仿宋_GB2312" w:cs="仿宋_GB2312"/>
        </w:rPr>
        <w:t>数据分析专员基本要求：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①</w:t>
      </w:r>
      <w:r>
        <w:rPr>
          <w:rFonts w:hint="eastAsia" w:ascii="仿宋_GB2312" w:hAnsi="仿宋_GB2312" w:eastAsia="仿宋_GB2312" w:cs="仿宋_GB2312"/>
          <w:lang w:eastAsia="zh-CN"/>
        </w:rPr>
        <w:t>具备的专业范围包括</w:t>
      </w:r>
      <w:r>
        <w:rPr>
          <w:rFonts w:ascii="仿宋_GB2312" w:hAnsi="仿宋_GB2312" w:eastAsia="仿宋_GB2312" w:cs="仿宋_GB2312"/>
        </w:rPr>
        <w:t>统计、财会、计算机等，有政务类服务热线工作经验者优先；</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②熟练掌握华为数据统计系统操作，精通熟练 office 办公软件，具备 SQL、Python、R、 SPSS 等工具进行数据分析者优先；</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③学习能力和适应能力强，能快速掌握新的技术；</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④沟通能力良好，能够较好地进行部门间的沟通。</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（四）咨询外包人员平滑过渡要求</w:t>
      </w:r>
    </w:p>
    <w:p>
      <w:pPr>
        <w:pStyle w:val="12"/>
        <w:ind w:firstLine="480"/>
        <w:jc w:val="both"/>
        <w:rPr>
          <w:rFonts w:hint="eastAsia" w:ascii="仿宋_GB2312" w:hAnsi="仿宋_GB2312" w:eastAsia="仿宋_GB2312" w:cs="仿宋_GB2312"/>
          <w:lang w:eastAsia="zh-CN"/>
        </w:rPr>
      </w:pPr>
      <w:r>
        <w:rPr>
          <w:rFonts w:ascii="仿宋_GB2312" w:hAnsi="仿宋_GB2312" w:eastAsia="仿宋_GB2312" w:cs="仿宋_GB2312"/>
        </w:rPr>
        <w:t>1．本项目业务较为复杂，对咨询外包人员的业务能力和技巧要求较高，</w:t>
      </w:r>
      <w:r>
        <w:rPr>
          <w:rFonts w:hint="eastAsia" w:ascii="仿宋_GB2312" w:hAnsi="仿宋_GB2312" w:eastAsia="仿宋_GB2312" w:cs="仿宋_GB2312"/>
          <w:lang w:eastAsia="zh-CN"/>
        </w:rPr>
        <w:t>服务承接平滑过渡方案，内容包括但不限于服务团队、业务等方面的平滑过渡措施，</w:t>
      </w:r>
      <w:r>
        <w:rPr>
          <w:rFonts w:ascii="仿宋_GB2312" w:hAnsi="仿宋_GB2312" w:eastAsia="仿宋_GB2312" w:cs="仿宋_GB2312"/>
        </w:rPr>
        <w:t>确保本项目在交接期间运营管理有序，咨询服务不断档。</w:t>
      </w:r>
      <w:r>
        <w:rPr>
          <w:rFonts w:hint="eastAsia" w:ascii="仿宋_GB2312" w:hAnsi="仿宋_GB2312" w:eastAsia="仿宋_GB2312" w:cs="仿宋_GB2312"/>
          <w:lang w:eastAsia="zh-CN"/>
        </w:rPr>
        <w:t>要求如下：</w:t>
      </w:r>
    </w:p>
    <w:p>
      <w:pPr>
        <w:pStyle w:val="12"/>
        <w:ind w:firstLine="480"/>
        <w:jc w:val="both"/>
        <w:rPr>
          <w:rFonts w:hint="default" w:ascii="仿宋_GB2312" w:hAnsi="仿宋_GB2312" w:eastAsia="仿宋_GB2312" w:cs="仿宋_GB2312"/>
          <w:lang w:eastAsia="zh-CN"/>
        </w:rPr>
      </w:pPr>
      <w:r>
        <w:rPr>
          <w:rFonts w:hint="eastAsia" w:ascii="仿宋_GB2312" w:hAnsi="仿宋_GB2312" w:eastAsia="仿宋_GB2312" w:cs="仿宋_GB2312"/>
          <w:lang w:eastAsia="zh-CN"/>
        </w:rPr>
        <w:t>（</w:t>
      </w:r>
      <w:r>
        <w:rPr>
          <w:rFonts w:hint="default" w:ascii="仿宋_GB2312" w:hAnsi="仿宋_GB2312" w:eastAsia="仿宋_GB2312" w:cs="仿宋_GB2312"/>
          <w:lang w:eastAsia="zh-CN"/>
        </w:rPr>
        <w:t>1</w:t>
      </w:r>
      <w:r>
        <w:rPr>
          <w:rFonts w:hint="eastAsia" w:ascii="仿宋_GB2312" w:hAnsi="仿宋_GB2312" w:eastAsia="仿宋_GB2312" w:cs="仿宋_GB2312"/>
          <w:lang w:eastAsia="zh-CN"/>
        </w:rPr>
        <w:t>）</w:t>
      </w:r>
      <w:r>
        <w:rPr>
          <w:rFonts w:hint="default" w:ascii="仿宋_GB2312" w:hAnsi="仿宋_GB2312" w:eastAsia="仿宋_GB2312" w:cs="仿宋_GB2312"/>
          <w:lang w:eastAsia="zh-CN"/>
        </w:rPr>
        <w:t>服务团队过渡：</w:t>
      </w:r>
    </w:p>
    <w:p>
      <w:pPr>
        <w:pStyle w:val="12"/>
        <w:ind w:firstLine="480"/>
        <w:jc w:val="both"/>
        <w:rPr>
          <w:rFonts w:hint="default" w:ascii="仿宋_GB2312" w:hAnsi="仿宋_GB2312" w:eastAsia="仿宋_GB2312" w:cs="仿宋_GB2312"/>
          <w:lang w:eastAsia="zh-CN"/>
        </w:rPr>
      </w:pPr>
      <w:r>
        <w:rPr>
          <w:rFonts w:hint="default" w:ascii="仿宋_GB2312" w:hAnsi="仿宋_GB2312" w:eastAsia="仿宋_GB2312" w:cs="仿宋_GB2312"/>
          <w:lang w:eastAsia="zh-CN"/>
        </w:rPr>
        <w:t>①要求过渡期间的人员需具备快速响应的能力。中标人签订合同后 3 天内提供不少于 180名具备一年或以上业务服务经验（包括涉税费咨询、涉税费政策解读、涉税投诉举报等），可直接上岗提供咨询服务的咨询外包人员。</w:t>
      </w:r>
    </w:p>
    <w:p>
      <w:pPr>
        <w:pStyle w:val="12"/>
        <w:ind w:firstLine="480"/>
        <w:jc w:val="both"/>
        <w:rPr>
          <w:rFonts w:hint="default" w:ascii="仿宋_GB2312" w:hAnsi="仿宋_GB2312" w:eastAsia="仿宋_GB2312" w:cs="仿宋_GB2312"/>
          <w:lang w:eastAsia="zh-CN"/>
        </w:rPr>
      </w:pPr>
      <w:r>
        <w:rPr>
          <w:rFonts w:hint="default" w:ascii="仿宋_GB2312" w:hAnsi="仿宋_GB2312" w:eastAsia="仿宋_GB2312" w:cs="仿宋_GB2312"/>
          <w:lang w:eastAsia="zh-CN"/>
        </w:rPr>
        <w:t>②需制定符合实际工作情况的人员平稳、关怀方案，确保团队人员稳定，保障过渡期服务水平和服务质量。</w:t>
      </w:r>
    </w:p>
    <w:p>
      <w:pPr>
        <w:pStyle w:val="12"/>
        <w:ind w:firstLine="480"/>
        <w:jc w:val="both"/>
        <w:rPr>
          <w:rFonts w:hint="default" w:ascii="仿宋_GB2312" w:hAnsi="仿宋_GB2312" w:eastAsia="仿宋_GB2312" w:cs="仿宋_GB2312"/>
          <w:lang w:eastAsia="zh-CN"/>
        </w:rPr>
      </w:pPr>
      <w:r>
        <w:rPr>
          <w:rFonts w:hint="default" w:ascii="仿宋_GB2312" w:hAnsi="仿宋_GB2312" w:eastAsia="仿宋_GB2312" w:cs="仿宋_GB2312"/>
          <w:lang w:eastAsia="zh-CN"/>
        </w:rPr>
        <w:t>③需提供团队组建与培训计划，确保服务团队熟练掌握相关知识。</w:t>
      </w:r>
    </w:p>
    <w:p>
      <w:pPr>
        <w:pStyle w:val="12"/>
        <w:ind w:firstLine="480"/>
        <w:jc w:val="both"/>
        <w:rPr>
          <w:rFonts w:hint="default" w:ascii="仿宋_GB2312" w:hAnsi="仿宋_GB2312" w:eastAsia="仿宋_GB2312" w:cs="仿宋_GB2312"/>
          <w:lang w:eastAsia="zh-CN"/>
        </w:rPr>
      </w:pPr>
      <w:r>
        <w:rPr>
          <w:rFonts w:hint="eastAsia" w:ascii="仿宋_GB2312" w:hAnsi="仿宋_GB2312" w:eastAsia="仿宋_GB2312" w:cs="仿宋_GB2312"/>
          <w:lang w:eastAsia="zh-CN"/>
        </w:rPr>
        <w:t>（</w:t>
      </w:r>
      <w:r>
        <w:rPr>
          <w:rFonts w:hint="default" w:ascii="仿宋_GB2312" w:hAnsi="仿宋_GB2312" w:eastAsia="仿宋_GB2312" w:cs="仿宋_GB2312"/>
          <w:lang w:eastAsia="zh-CN"/>
        </w:rPr>
        <w:t>2</w:t>
      </w:r>
      <w:r>
        <w:rPr>
          <w:rFonts w:hint="eastAsia" w:ascii="仿宋_GB2312" w:hAnsi="仿宋_GB2312" w:eastAsia="仿宋_GB2312" w:cs="仿宋_GB2312"/>
          <w:lang w:eastAsia="zh-CN"/>
        </w:rPr>
        <w:t>）</w:t>
      </w:r>
      <w:r>
        <w:rPr>
          <w:rFonts w:hint="default" w:ascii="仿宋_GB2312" w:hAnsi="仿宋_GB2312" w:eastAsia="仿宋_GB2312" w:cs="仿宋_GB2312"/>
          <w:lang w:eastAsia="zh-CN"/>
        </w:rPr>
        <w:t>业务过渡：</w:t>
      </w:r>
    </w:p>
    <w:p>
      <w:pPr>
        <w:pStyle w:val="12"/>
        <w:ind w:firstLine="480"/>
        <w:jc w:val="both"/>
        <w:rPr>
          <w:rFonts w:hint="default" w:ascii="仿宋_GB2312" w:hAnsi="仿宋_GB2312" w:eastAsia="仿宋_GB2312" w:cs="仿宋_GB2312"/>
          <w:lang w:eastAsia="zh-CN"/>
        </w:rPr>
      </w:pPr>
      <w:r>
        <w:rPr>
          <w:rFonts w:hint="default" w:ascii="仿宋_GB2312" w:hAnsi="仿宋_GB2312" w:eastAsia="仿宋_GB2312" w:cs="仿宋_GB2312"/>
          <w:lang w:eastAsia="zh-CN"/>
        </w:rPr>
        <w:t>①设计业务迁移路径，确保无缝切换，避免服务中断。</w:t>
      </w:r>
    </w:p>
    <w:p>
      <w:pPr>
        <w:pStyle w:val="12"/>
        <w:ind w:firstLine="480"/>
        <w:jc w:val="both"/>
        <w:rPr>
          <w:rFonts w:hint="default" w:ascii="仿宋_GB2312" w:hAnsi="仿宋_GB2312" w:eastAsia="仿宋_GB2312" w:cs="仿宋_GB2312"/>
          <w:lang w:eastAsia="zh-CN"/>
        </w:rPr>
      </w:pPr>
      <w:r>
        <w:rPr>
          <w:rFonts w:hint="default" w:ascii="仿宋_GB2312" w:hAnsi="仿宋_GB2312" w:eastAsia="仿宋_GB2312" w:cs="仿宋_GB2312"/>
          <w:lang w:eastAsia="zh-CN"/>
        </w:rPr>
        <w:t>②需制定完善的、符合实际工作情况的过渡期应急预案，有效应对项目交接期间各类突发事件，保障各项运营指标稳定。</w:t>
      </w:r>
    </w:p>
    <w:p>
      <w:pPr>
        <w:pStyle w:val="12"/>
        <w:ind w:firstLine="480"/>
        <w:jc w:val="both"/>
        <w:rPr>
          <w:rFonts w:hint="default" w:ascii="仿宋_GB2312" w:hAnsi="仿宋_GB2312" w:eastAsia="仿宋_GB2312" w:cs="仿宋_GB2312"/>
          <w:b/>
        </w:rPr>
      </w:pPr>
      <w:r>
        <w:rPr>
          <w:rFonts w:ascii="仿宋_GB2312" w:hAnsi="仿宋_GB2312" w:eastAsia="仿宋_GB2312" w:cs="仿宋_GB2312"/>
          <w:b/>
        </w:rPr>
        <w:t>★2.投标人承诺，如获中标，在同等条件下，应优先录用愿意留任的咨询外包人员（投标时提供承诺函，可参照“投标文件格式”中《承诺函》格式）。</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（五）项目管理团队要求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在本项目咨询外包人员的基础上，需另行配备一名项目总监、一名项目经理及三名项目管理人员。</w:t>
      </w:r>
    </w:p>
    <w:p>
      <w:pPr>
        <w:pStyle w:val="12"/>
        <w:ind w:firstLine="480"/>
        <w:jc w:val="both"/>
        <w:rPr>
          <w:rFonts w:hint="default" w:ascii="仿宋_GB2312" w:hAnsi="仿宋_GB2312" w:eastAsia="仿宋_GB2312" w:cs="仿宋_GB2312"/>
          <w:b/>
        </w:rPr>
      </w:pPr>
      <w:r>
        <w:rPr>
          <w:rFonts w:ascii="仿宋_GB2312" w:hAnsi="仿宋_GB2312" w:eastAsia="仿宋_GB2312" w:cs="仿宋_GB2312"/>
          <w:b/>
        </w:rPr>
        <w:t>★项目经理和项目管理人员驻场办公，驻场项目管理团队不得同时兼任其他项目的管理工作。项目管理团队应对项目执行过程进行总体监督、管理，做好与采购人的项目沟通与对接工作，负责协助咨询外包人员心态调整，营造团队凝聚力，有效维护坐席稳定性，控制流失率，协助采购人进行人工智能等方面的趋势研判和相关支撑工作（投标时提供承诺函，可参照“投标文件格式”中《承诺函》格式）。</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1．项目管理团队总体要求</w:t>
      </w:r>
    </w:p>
    <w:p>
      <w:pPr>
        <w:pStyle w:val="12"/>
        <w:ind w:firstLine="480"/>
        <w:jc w:val="both"/>
        <w:rPr>
          <w:rFonts w:hint="default" w:ascii="仿宋_GB2312" w:hAnsi="仿宋_GB2312" w:eastAsia="仿宋_GB2312" w:cs="仿宋_GB2312"/>
          <w:b/>
        </w:rPr>
      </w:pPr>
      <w:r>
        <w:rPr>
          <w:rFonts w:ascii="仿宋_GB2312" w:hAnsi="仿宋_GB2312" w:eastAsia="仿宋_GB2312" w:cs="仿宋_GB2312"/>
          <w:b/>
        </w:rPr>
        <w:t>★驻场项目管理团队应熟悉广东 12366 纳税服务工作要求，服从采购人工作安排，要求驻场办公，不得从事与本项目无关事项，如不符合工作要求，采购人有权要求更换同等资质人员。项目运营过程中如需更换项目经理或管理人员，应至少提前 5 个工作日书面向采购人提出申请，并征得采购人同意。项目管理团队人员与响应一致（投标时提供承诺函，可参照“投标文件格式”中《承诺函》格式。</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2．投入本项目的管理团队要求</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hint="default" w:ascii="仿宋_GB2312" w:hAnsi="仿宋_GB2312" w:eastAsia="仿宋_GB2312" w:cs="仿宋_GB2312"/>
        </w:rPr>
        <w:tab/>
      </w:r>
      <w:r>
        <w:rPr>
          <w:rFonts w:ascii="仿宋_GB2312" w:hAnsi="仿宋_GB2312" w:eastAsia="仿宋_GB2312" w:cs="仿宋_GB2312"/>
        </w:rPr>
        <w:t>项目总监要求（一人）</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①具备较强的服务意识和语言表达能力、良好的沟通能力、记忆能力、心理承受能力和学习能力，可根据项目需要进行定期项目运营指导。</w:t>
      </w:r>
    </w:p>
    <w:p>
      <w:pPr>
        <w:pStyle w:val="12"/>
        <w:ind w:firstLine="480"/>
        <w:jc w:val="both"/>
        <w:rPr>
          <w:rFonts w:hint="default" w:ascii="仿宋_GB2312" w:hAnsi="仿宋_GB2312" w:eastAsia="仿宋_GB2312" w:cs="仿宋_GB2312"/>
        </w:rPr>
      </w:pPr>
      <w:r>
        <w:rPr>
          <w:rFonts w:hint="eastAsia" w:ascii="仿宋_GB2312" w:hAnsi="仿宋_GB2312" w:eastAsia="仿宋_GB2312" w:cs="仿宋_GB2312"/>
        </w:rPr>
        <w:t>②</w:t>
      </w:r>
      <w:r>
        <w:rPr>
          <w:rFonts w:ascii="仿宋_GB2312" w:hAnsi="仿宋_GB2312" w:eastAsia="仿宋_GB2312" w:cs="仿宋_GB2312"/>
        </w:rPr>
        <w:t>三年或以上</w:t>
      </w:r>
      <w:r>
        <w:rPr>
          <w:rFonts w:ascii="仿宋_GB2312" w:hAnsi="仿宋_GB2312" w:eastAsia="仿宋_GB2312" w:cs="仿宋_GB2312"/>
          <w:highlight w:val="none"/>
        </w:rPr>
        <w:t>热线</w:t>
      </w:r>
      <w:r>
        <w:rPr>
          <w:rFonts w:ascii="仿宋_GB2312" w:hAnsi="仿宋_GB2312" w:eastAsia="仿宋_GB2312" w:cs="仿宋_GB2312"/>
        </w:rPr>
        <w:t>服务相关经验。</w:t>
      </w:r>
    </w:p>
    <w:p>
      <w:pPr>
        <w:pStyle w:val="12"/>
        <w:ind w:firstLine="480"/>
        <w:jc w:val="both"/>
        <w:rPr>
          <w:rFonts w:hint="default" w:ascii="仿宋_GB2312" w:hAnsi="仿宋_GB2312" w:eastAsia="仿宋_GB2312" w:cs="仿宋_GB2312"/>
        </w:rPr>
      </w:pPr>
      <w:r>
        <w:rPr>
          <w:rFonts w:hint="eastAsia" w:ascii="仿宋_GB2312" w:hAnsi="仿宋_GB2312" w:eastAsia="仿宋_GB2312" w:cs="仿宋_GB2312"/>
        </w:rPr>
        <w:t>③</w:t>
      </w:r>
      <w:r>
        <w:rPr>
          <w:rFonts w:ascii="仿宋_GB2312" w:hAnsi="仿宋_GB2312" w:eastAsia="仿宋_GB2312" w:cs="仿宋_GB2312"/>
        </w:rPr>
        <w:t>具备很强的业务协作能力，负责规划统筹项目，远程指导现场运营，应急事件处理。</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rPr>
        <w:tab/>
      </w:r>
      <w:r>
        <w:rPr>
          <w:rFonts w:ascii="仿宋_GB2312" w:hAnsi="仿宋_GB2312" w:eastAsia="仿宋_GB2312" w:cs="仿宋_GB2312"/>
        </w:rPr>
        <w:t>项目经理要求（一人）</w:t>
      </w:r>
    </w:p>
    <w:p>
      <w:pPr>
        <w:pStyle w:val="12"/>
        <w:ind w:firstLine="480"/>
        <w:jc w:val="both"/>
        <w:rPr>
          <w:rFonts w:hint="default" w:ascii="仿宋_GB2312" w:hAnsi="仿宋_GB2312" w:eastAsia="仿宋_GB2312" w:cs="仿宋_GB2312"/>
        </w:rPr>
      </w:pPr>
      <w:r>
        <w:rPr>
          <w:rFonts w:hint="eastAsia" w:ascii="仿宋_GB2312" w:hAnsi="仿宋_GB2312" w:eastAsia="仿宋_GB2312" w:cs="仿宋_GB2312"/>
        </w:rPr>
        <w:t>①</w:t>
      </w:r>
      <w:r>
        <w:rPr>
          <w:rFonts w:ascii="仿宋_GB2312" w:hAnsi="仿宋_GB2312" w:eastAsia="仿宋_GB2312" w:cs="仿宋_GB2312"/>
        </w:rPr>
        <w:t>具备较强的服务意识和语言表达能力、良好的沟通能力、记忆能力、心理承受能力和学习能力。</w:t>
      </w:r>
    </w:p>
    <w:p>
      <w:pPr>
        <w:pStyle w:val="12"/>
        <w:ind w:firstLine="480"/>
        <w:jc w:val="both"/>
        <w:rPr>
          <w:rFonts w:hint="default" w:ascii="仿宋_GB2312" w:hAnsi="仿宋_GB2312" w:eastAsia="仿宋_GB2312" w:cs="仿宋_GB2312"/>
        </w:rPr>
      </w:pPr>
      <w:r>
        <w:rPr>
          <w:rFonts w:hint="eastAsia" w:ascii="仿宋_GB2312" w:hAnsi="仿宋_GB2312" w:eastAsia="仿宋_GB2312" w:cs="仿宋_GB2312"/>
        </w:rPr>
        <w:t>②</w:t>
      </w:r>
      <w:r>
        <w:rPr>
          <w:rFonts w:ascii="仿宋_GB2312" w:hAnsi="仿宋_GB2312" w:eastAsia="仿宋_GB2312" w:cs="仿宋_GB2312"/>
        </w:rPr>
        <w:t>两年或以上</w:t>
      </w:r>
      <w:r>
        <w:rPr>
          <w:rFonts w:hint="eastAsia" w:ascii="仿宋_GB2312" w:hAnsi="仿宋_GB2312" w:eastAsia="仿宋_GB2312" w:cs="仿宋_GB2312"/>
          <w:highlight w:val="none"/>
          <w:lang w:eastAsia="zh-CN"/>
        </w:rPr>
        <w:t>热线</w:t>
      </w:r>
      <w:r>
        <w:rPr>
          <w:rFonts w:hint="eastAsia" w:ascii="仿宋_GB2312" w:hAnsi="仿宋_GB2312" w:eastAsia="仿宋_GB2312" w:cs="仿宋_GB2312"/>
          <w:lang w:eastAsia="zh-CN"/>
        </w:rPr>
        <w:t>服务相关</w:t>
      </w:r>
      <w:r>
        <w:rPr>
          <w:rFonts w:ascii="仿宋_GB2312" w:hAnsi="仿宋_GB2312" w:eastAsia="仿宋_GB2312" w:cs="仿宋_GB2312"/>
        </w:rPr>
        <w:t>管理经验。</w:t>
      </w:r>
    </w:p>
    <w:p>
      <w:pPr>
        <w:pStyle w:val="12"/>
        <w:ind w:firstLine="480"/>
        <w:jc w:val="both"/>
        <w:rPr>
          <w:rFonts w:hint="default" w:ascii="仿宋_GB2312" w:hAnsi="仿宋_GB2312" w:eastAsia="仿宋_GB2312" w:cs="仿宋_GB2312"/>
        </w:rPr>
      </w:pPr>
      <w:r>
        <w:rPr>
          <w:rFonts w:hint="eastAsia" w:ascii="仿宋_GB2312" w:hAnsi="仿宋_GB2312" w:eastAsia="仿宋_GB2312" w:cs="仿宋_GB2312"/>
        </w:rPr>
        <w:t>③</w:t>
      </w:r>
      <w:r>
        <w:rPr>
          <w:rFonts w:ascii="仿宋_GB2312" w:hAnsi="仿宋_GB2312" w:eastAsia="仿宋_GB2312" w:cs="仿宋_GB2312"/>
        </w:rPr>
        <w:t>具备很强的业务协作能力。</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hint="default" w:ascii="仿宋_GB2312" w:hAnsi="仿宋_GB2312" w:eastAsia="仿宋_GB2312" w:cs="仿宋_GB2312"/>
        </w:rPr>
        <w:tab/>
      </w:r>
      <w:r>
        <w:rPr>
          <w:rFonts w:ascii="仿宋_GB2312" w:hAnsi="仿宋_GB2312" w:eastAsia="仿宋_GB2312" w:cs="仿宋_GB2312"/>
        </w:rPr>
        <w:t>项目管理人员要求（三人）</w:t>
      </w:r>
    </w:p>
    <w:p>
      <w:pPr>
        <w:pStyle w:val="12"/>
        <w:ind w:firstLine="480"/>
        <w:jc w:val="both"/>
        <w:rPr>
          <w:rFonts w:hint="default" w:ascii="仿宋_GB2312" w:hAnsi="仿宋_GB2312" w:eastAsia="仿宋_GB2312" w:cs="仿宋_GB2312"/>
        </w:rPr>
      </w:pPr>
      <w:r>
        <w:rPr>
          <w:rFonts w:hint="eastAsia" w:ascii="仿宋_GB2312" w:hAnsi="仿宋_GB2312" w:eastAsia="仿宋_GB2312" w:cs="仿宋_GB2312"/>
        </w:rPr>
        <w:t>①</w:t>
      </w:r>
      <w:r>
        <w:rPr>
          <w:rFonts w:ascii="仿宋_GB2312" w:hAnsi="仿宋_GB2312" w:eastAsia="仿宋_GB2312" w:cs="仿宋_GB2312"/>
        </w:rPr>
        <w:t>较强的服务意识和语言表达能力、良好的沟通能力、记忆能力、心理承受能力和学习能力。</w:t>
      </w:r>
    </w:p>
    <w:p>
      <w:pPr>
        <w:pStyle w:val="12"/>
        <w:ind w:firstLine="480"/>
        <w:jc w:val="both"/>
        <w:rPr>
          <w:rFonts w:hint="default" w:ascii="仿宋_GB2312" w:hAnsi="仿宋_GB2312" w:eastAsia="仿宋_GB2312" w:cs="仿宋_GB2312"/>
        </w:rPr>
      </w:pPr>
      <w:r>
        <w:rPr>
          <w:rFonts w:hint="eastAsia" w:ascii="仿宋_GB2312" w:hAnsi="仿宋_GB2312" w:eastAsia="仿宋_GB2312" w:cs="仿宋_GB2312"/>
        </w:rPr>
        <w:t>②</w:t>
      </w:r>
      <w:r>
        <w:rPr>
          <w:rFonts w:ascii="仿宋_GB2312" w:hAnsi="仿宋_GB2312" w:eastAsia="仿宋_GB2312" w:cs="仿宋_GB2312"/>
        </w:rPr>
        <w:t>一年或以上</w:t>
      </w:r>
      <w:r>
        <w:rPr>
          <w:rFonts w:hint="eastAsia" w:ascii="仿宋_GB2312" w:hAnsi="仿宋_GB2312" w:eastAsia="仿宋_GB2312" w:cs="仿宋_GB2312"/>
          <w:lang w:eastAsia="zh-CN"/>
        </w:rPr>
        <w:t>热线服务相关</w:t>
      </w:r>
      <w:r>
        <w:rPr>
          <w:rFonts w:ascii="仿宋_GB2312" w:hAnsi="仿宋_GB2312" w:eastAsia="仿宋_GB2312" w:cs="仿宋_GB2312"/>
        </w:rPr>
        <w:t>经验。</w:t>
      </w:r>
    </w:p>
    <w:p>
      <w:pPr>
        <w:pStyle w:val="12"/>
        <w:ind w:firstLine="480"/>
        <w:jc w:val="both"/>
        <w:rPr>
          <w:rFonts w:hint="default" w:ascii="仿宋_GB2312" w:hAnsi="仿宋_GB2312" w:eastAsia="仿宋_GB2312" w:cs="仿宋_GB2312"/>
        </w:rPr>
      </w:pPr>
      <w:r>
        <w:rPr>
          <w:rFonts w:hint="eastAsia" w:ascii="仿宋_GB2312" w:hAnsi="仿宋_GB2312" w:eastAsia="仿宋_GB2312" w:cs="仿宋_GB2312"/>
        </w:rPr>
        <w:t>③</w:t>
      </w:r>
      <w:r>
        <w:rPr>
          <w:rFonts w:ascii="仿宋_GB2312" w:hAnsi="仿宋_GB2312" w:eastAsia="仿宋_GB2312" w:cs="仿宋_GB2312"/>
        </w:rPr>
        <w:t>具备很强的业务协作能力。</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（六）咨询外包人员培训要求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中标人需按照采购人的培训要求，根据人员岗前、岗中等不同时期的培训需求、服务过程出现的业务短板问题，制定进阶式培训计划，建立标准化、专业化、模块化的常态培训业务体系，实现培训精细化管理。</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中标人需根据呼叫中心运营的特点，定期对咨询外包人员进行技能考核，以保障有效提升服务水平和质量。</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入职前培训：新招聘人员的税费基础理论业务、话务礼仪、沟通技巧、服务意识、情绪压力管理等职业素养课程由中标人负责。12366 热线系统操作方面培训由采购人负责。相关人员须通过采购人考核验收方可入职。</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在职培训：中标人应建立完善的日常培训体系，为更好地留住并培养高素质人才，需依据咨询外包人员的在职时间及能力发展分阶段分层级进行培养和能力强化。涉及业务方面的培训可向采购人提出需求，采购人视情况给予支持。</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ascii="仿宋_GB2312" w:hAnsi="仿宋_GB2312" w:eastAsia="仿宋_GB2312" w:cs="仿宋_GB2312"/>
        </w:rPr>
        <w:t>培训效果验收：采购人对中标人的培训效果进行验收，对不合格人员，采购人可要求中标人替换人员。</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4．</w:t>
      </w:r>
      <w:r>
        <w:rPr>
          <w:rFonts w:ascii="仿宋_GB2312" w:hAnsi="仿宋_GB2312" w:eastAsia="仿宋_GB2312" w:cs="仿宋_GB2312"/>
        </w:rPr>
        <w:t>培训费用：本咨询服务外包项目总费用已含在职人员培训费用，员工入职前所产生的培训费用由中标人承担。</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（七）突发应急保障要求</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应急机制</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为最大限度减少突发事件对 12366 热线正常咨询服务秩序的影响，投标人需根据可能发生的各类影响咨询服务的情况，制定应急方案和应对措施，确保突发事件应对及时有效，咨询服务达到考核标准。</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应急话务间</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为应对日常突发情况，确保服务不中断，中标人应具备丰富的应急管理经验，制定体系化的应急管理机制，建立应急话务间，配合采购人及时响应、及时解决各类突发事件，保证项目平稳运营。中标人提供符合以下要求的应急话务间，并提供相应证明材料确保其真实性与实效性，保障采购人服务不中断：</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hint="default" w:ascii="仿宋_GB2312" w:hAnsi="仿宋_GB2312" w:eastAsia="仿宋_GB2312" w:cs="仿宋_GB2312"/>
        </w:rPr>
        <w:tab/>
      </w:r>
      <w:r>
        <w:rPr>
          <w:rFonts w:ascii="仿宋_GB2312" w:hAnsi="仿宋_GB2312" w:eastAsia="仿宋_GB2312" w:cs="仿宋_GB2312"/>
        </w:rPr>
        <w:t>场地要求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12366 热线是面向全省涉税费咨询服务热线，是当前纳税人缴费人涉税费咨询的主要渠道。出现突发事件导致服务中断时，为便于省、市局统筹调度、及时响应、现场指挥、资源调配等，把影响降到最低，以最快的速度恢复服务，12366 热线应急话务间选址应实现交通便捷，场地整体宽敞明亮、简洁庄重、安静、通风良好，拥有相应的配套设施，包括门禁系统、监控系统、考勤系统等条件，并且配置的线路、设备、网络及其他软硬件可满足 12366热线的正常运作，使用总面积原则上不小于 200 ㎡,可提供 30 个坐席卡座。为了便于管理，应急话务间与国家税务总局广州市税务局办公楼(广州市天河区华夏路 3 号) 直线距离应不超出 5 公里（提供电子地图测距）。具体要求如下：</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①建筑面积≥200 平方米。</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②具备双路市电以及断电保护（提供场地管理方开具的证明），并可保证不低于 2 小时的后备电力供应。</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③具备内外网物理隔离（提供图片证明）。</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rPr>
        <w:tab/>
      </w:r>
      <w:r>
        <w:rPr>
          <w:rFonts w:ascii="仿宋_GB2312" w:hAnsi="仿宋_GB2312" w:eastAsia="仿宋_GB2312" w:cs="仿宋_GB2312"/>
        </w:rPr>
        <w:t>相关配套设施</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本项目由投标人自行按要求配套相关人员、设备提供运作服务；相关设备产权归投标人所有。</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①工作电脑：配置不低于酷睿 i3/4G，提供三年（上门、备件、人工，费用包含在合同总价内，采购人不再另行支付费用）技术支持与质保服务，可以加载 win7pro 镜像系统。办公电脑 30 台，配置不低于酷睿 i5/4G/500G，配备 win7pro 及以上操作系统。所有工作电脑的显示器要求不低于以下配置：22 寸宽屏液晶显示器，低辐射，横向分辨率不低于 1440。</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②耳机：话务间专用耳机，要求配套提供热线服务专用耳机（头戴式或耳挂式、具备降噪功能和听力保护功能）。</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③场地具备的设备、网络、安全要求：投标人提供的场地需具备符合项目运行要求的设备和网络，并达到相关安全要求。</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hint="default" w:ascii="仿宋_GB2312" w:hAnsi="仿宋_GB2312" w:eastAsia="仿宋_GB2312" w:cs="仿宋_GB2312"/>
        </w:rPr>
        <w:tab/>
      </w:r>
      <w:r>
        <w:rPr>
          <w:rFonts w:ascii="仿宋_GB2312" w:hAnsi="仿宋_GB2312" w:eastAsia="仿宋_GB2312" w:cs="仿宋_GB2312"/>
        </w:rPr>
        <w:t>网络要求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①专线接入。</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②坐席内部工作电脑访问数据中心 12366 纳税缴费服务热线系统，通过数据专线作为介质。</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③提供不低于 100M 的数据专线。</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④内部局域网络建设要求呼叫中心须按照税务总局网络建设规范，不能出现一台电脑同时连接内部工作网络和外部互联网络的情况。</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(4)</w:t>
      </w:r>
      <w:r>
        <w:rPr>
          <w:rFonts w:hint="default" w:ascii="仿宋_GB2312" w:hAnsi="仿宋_GB2312" w:eastAsia="仿宋_GB2312" w:cs="仿宋_GB2312"/>
        </w:rPr>
        <w:tab/>
      </w:r>
      <w:r>
        <w:rPr>
          <w:rFonts w:ascii="仿宋_GB2312" w:hAnsi="仿宋_GB2312" w:eastAsia="仿宋_GB2312" w:cs="仿宋_GB2312"/>
        </w:rPr>
        <w:t>应急话务间安全保障要求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为确保安全性建设要求，达到国家税务总局的安全保障要标准，须满足网络架构搭建、网络安全、机房安全、桌面终端等各方面安全技术措施，保证符合税务系统规范和安全策略要求，具体如下：</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①具有独立的机房/通讯间，机房进出应有控制措施，网络设备、布线系统、终端等部位进行加固，防止随意对接入设备、安全网关路由器交换机、调线架等设备的物理访问；明确场地管理人员的职责边界、行为规范和安全责任，确保设备的物理安全。</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②网络安全设备须放置在独立的机柜内，内部和外部的核心路由器和核心交换机以及相关配套的安全设备须分开到独立的机柜里防止由于线路接入错误导致内外网的网络互通。</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投标时，需提供承诺函对应急话务间提供的场地、设施设备、网络配备等内容进行承诺（可参照“投标文件格式”中《承诺函》格式），且需在中标公告发布之日起 10 天内但不晚于上期合同结束前配备所承诺的相关内容, 到期无法提供所承诺内容，由此带来的责任由中标人承担，采购人有权不予签订合同。</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ascii="仿宋_GB2312" w:hAnsi="仿宋_GB2312" w:eastAsia="仿宋_GB2312" w:cs="仿宋_GB2312"/>
        </w:rPr>
        <w:t>人才储备要求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投标人制定人才储备计划，建立人才储备库，按本项目要求，针对本项目坐席规模要求，根据坐席人员流失率等情况，制定储备人员培训制度及规范，有计划地培养人才梯队，确保坐席人员规模保持稳定。人才储备计划包含以下内容：</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hint="default" w:ascii="仿宋_GB2312" w:hAnsi="仿宋_GB2312" w:eastAsia="仿宋_GB2312" w:cs="仿宋_GB2312"/>
        </w:rPr>
        <w:tab/>
      </w:r>
      <w:r>
        <w:rPr>
          <w:rFonts w:ascii="仿宋_GB2312" w:hAnsi="仿宋_GB2312" w:eastAsia="仿宋_GB2312" w:cs="仿宋_GB2312"/>
        </w:rPr>
        <w:t>建立人才储备库，用于出现人员流失、突发事件时及时补充。储备人员需按新入职人员标准开展培训，使其具备一定的税费业务基础知识，掌握基本的上线要求（包括接听话术和技巧），当出现坐席缺口时，确保储备人员在 10 天内能通过采购人验收并补充到位，保障项目实施不中断，满足项目用人需求。</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rPr>
        <w:tab/>
      </w:r>
      <w:r>
        <w:rPr>
          <w:rFonts w:ascii="仿宋_GB2312" w:hAnsi="仿宋_GB2312" w:eastAsia="仿宋_GB2312" w:cs="仿宋_GB2312"/>
        </w:rPr>
        <w:t>制定人才培养模式，培训过程中要制定详细可行的培训计划，根据人才表现确定培养方向。</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hint="default" w:ascii="仿宋_GB2312" w:hAnsi="仿宋_GB2312" w:eastAsia="仿宋_GB2312" w:cs="仿宋_GB2312"/>
        </w:rPr>
        <w:tab/>
      </w:r>
      <w:r>
        <w:rPr>
          <w:rFonts w:ascii="仿宋_GB2312" w:hAnsi="仿宋_GB2312" w:eastAsia="仿宋_GB2312" w:cs="仿宋_GB2312"/>
        </w:rPr>
        <w:t>建立育人、用人、留人机制，确保人才用得上，留得住。</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(4)</w:t>
      </w:r>
      <w:r>
        <w:rPr>
          <w:rFonts w:hint="default" w:ascii="仿宋_GB2312" w:hAnsi="仿宋_GB2312" w:eastAsia="仿宋_GB2312" w:cs="仿宋_GB2312"/>
        </w:rPr>
        <w:tab/>
      </w:r>
      <w:r>
        <w:rPr>
          <w:rFonts w:ascii="仿宋_GB2312" w:hAnsi="仿宋_GB2312" w:eastAsia="仿宋_GB2312" w:cs="仿宋_GB2312"/>
        </w:rPr>
        <w:t>建立适当的激励机制，提高咨询外包人员积极性。</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（八）人员培训场地配备要求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为适应项目发展、咨询外包人员衔接、业务管理等需求，中标人需配备储备及相关人员培训场地。场地应满足采购人进行培训支撑、培训管理、上岗验收、资料传递、快速响应等实际管理需求，因此选址应与项目所在地（广州市荔湾区人民北路 779 号）直线距离不超</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出 1 公里，可步行 10 分钟内到达（提供电子地图测距）。并根据采购人服务要求配备培训所需的坐席、电脑、培训桌椅、讲台、音响、培训显示设备、内外网等设施。具体要求如下：</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建筑面积≥400 平方米。</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具备双路市电以及断电保护（提供场地管理方开具的证明）。</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ascii="仿宋_GB2312" w:hAnsi="仿宋_GB2312" w:eastAsia="仿宋_GB2312" w:cs="仿宋_GB2312"/>
        </w:rPr>
        <w:t>具备内外网物理隔离（提供图片证明）。</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4．</w:t>
      </w:r>
      <w:r>
        <w:rPr>
          <w:rFonts w:ascii="仿宋_GB2312" w:hAnsi="仿宋_GB2312" w:eastAsia="仿宋_GB2312" w:cs="仿宋_GB2312"/>
        </w:rPr>
        <w:t>与项目所在地的直线距离不超出 1 公里。</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 xml:space="preserve">目前培训场地网络配备情况如下（投标人响应应不低于）： </w:t>
      </w:r>
    </w:p>
    <w:tbl>
      <w:tblPr>
        <w:tblStyle w:val="6"/>
        <w:tblW w:w="4998"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
        <w:gridCol w:w="1575"/>
        <w:gridCol w:w="6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09"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序号</w:t>
            </w:r>
          </w:p>
        </w:tc>
        <w:tc>
          <w:tcPr>
            <w:tcW w:w="947"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项目</w:t>
            </w:r>
          </w:p>
        </w:tc>
        <w:tc>
          <w:tcPr>
            <w:tcW w:w="3643"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09"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1</w:t>
            </w:r>
          </w:p>
        </w:tc>
        <w:tc>
          <w:tcPr>
            <w:tcW w:w="947"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网络对接</w:t>
            </w:r>
          </w:p>
        </w:tc>
        <w:tc>
          <w:tcPr>
            <w:tcW w:w="3643"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现场网络与采购人业务内网光缆对接，提供 1000M 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09"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2</w:t>
            </w:r>
          </w:p>
        </w:tc>
        <w:tc>
          <w:tcPr>
            <w:tcW w:w="947"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内、外网隔离</w:t>
            </w:r>
          </w:p>
        </w:tc>
        <w:tc>
          <w:tcPr>
            <w:tcW w:w="3643"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现场网络具备内外网物理隔离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09"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3</w:t>
            </w:r>
          </w:p>
        </w:tc>
        <w:tc>
          <w:tcPr>
            <w:tcW w:w="947"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设备</w:t>
            </w:r>
          </w:p>
        </w:tc>
        <w:tc>
          <w:tcPr>
            <w:tcW w:w="3643"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内外网交换机、路由器分别放置对应独立机柜内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09"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4</w:t>
            </w:r>
          </w:p>
        </w:tc>
        <w:tc>
          <w:tcPr>
            <w:tcW w:w="947"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卡座接口</w:t>
            </w:r>
          </w:p>
        </w:tc>
        <w:tc>
          <w:tcPr>
            <w:tcW w:w="3643" w:type="pct"/>
            <w:noWrap w:val="0"/>
            <w:vAlign w:val="top"/>
          </w:tcPr>
          <w:p>
            <w:pPr>
              <w:pStyle w:val="12"/>
              <w:jc w:val="both"/>
              <w:rPr>
                <w:rFonts w:hint="default" w:ascii="仿宋_GB2312" w:hAnsi="仿宋_GB2312" w:eastAsia="仿宋_GB2312" w:cs="仿宋_GB2312"/>
              </w:rPr>
            </w:pPr>
            <w:r>
              <w:rPr>
                <w:rFonts w:ascii="仿宋_GB2312" w:hAnsi="仿宋_GB2312" w:eastAsia="仿宋_GB2312" w:cs="仿宋_GB2312"/>
              </w:rPr>
              <w:t>卡座是采用双网口建设，并做好辨识标签，区分内外网网口</w:t>
            </w:r>
          </w:p>
        </w:tc>
      </w:tr>
    </w:tbl>
    <w:p>
      <w:pPr>
        <w:pStyle w:val="12"/>
        <w:ind w:firstLine="480"/>
        <w:jc w:val="both"/>
        <w:rPr>
          <w:rFonts w:hint="default" w:ascii="仿宋_GB2312" w:hAnsi="仿宋_GB2312" w:eastAsia="仿宋_GB2312" w:cs="仿宋_GB2312"/>
        </w:rPr>
      </w:pPr>
      <w:r>
        <w:rPr>
          <w:rFonts w:ascii="仿宋_GB2312" w:hAnsi="仿宋_GB2312" w:eastAsia="仿宋_GB2312" w:cs="仿宋_GB2312"/>
        </w:rPr>
        <w:t>投标时，需提供承诺函对人员培训场地提供的地点、设施设备、网络配备等内容进行承诺（可参照“投标文件格式”中《承诺函》格式），且需在中标公告发布之日起 10 天内但不晚于上期合同结束前配备所承诺的相关内容,到期无法提供所承诺内容，由此带来的责任由中标人承担，采购人有权不予签订合同。</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（九）人员管理要求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中标人负责与劳动中介机构或员工签订劳动合同形成劳动关系，采购人不与咨询外包人员签订劳动合同或劳务合同及购买社保，若咨询外包人员产生有关劳动纠纷或社保纠纷，均与采购人无关，由中标人负责。如在管理过程中，咨询外包人员不符合采购人管理要求,采购人可退回该员工,中标人应进行替换。</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人员管理规范</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中标人须严格遵守采购人的人员管理规范，并根据项目实际开展情况制定相关方案，以持续改进和提升员工管理水平，保障项目服务质量。主要包括：人员行为规范管理、用工制度、人员管理办法、考勤管理、待岗及淘汰管理等。</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人员配置保障方案</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为确保本项目运行平稳有序，提升投入人力服务效能，投标人需建立完整的服务团队架构、人力配比、人员招聘、人员培训、人员管理等人员配置方案。</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ascii="仿宋_GB2312" w:hAnsi="仿宋_GB2312" w:eastAsia="仿宋_GB2312" w:cs="仿宋_GB2312"/>
        </w:rPr>
        <w:t>人员稳定性保障方案</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中标人须制定行之有效的人员稳定性保障方案，确保半年人员流失率不高于 10%。方案包含但不限于人员稳定性保障思路，具体的保障措施（如职业规划，提升培训等），确保团队稳定高效。</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（十）信息安全要求</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数据信息安全保障要求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从信息防丢失（灾备）、防入侵、防泄漏、防篡改等方面，建立信息安全保障方案，确保数据信息安全、完整，不外泄。</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人员保密要求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中标人应严格遵循采购人各项信息安全及信息保密规定。包括但不仅限于以下内容：</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hint="default" w:ascii="仿宋_GB2312" w:hAnsi="仿宋_GB2312" w:eastAsia="仿宋_GB2312" w:cs="仿宋_GB2312"/>
        </w:rPr>
        <w:tab/>
      </w:r>
      <w:r>
        <w:rPr>
          <w:rFonts w:ascii="仿宋_GB2312" w:hAnsi="仿宋_GB2312" w:eastAsia="仿宋_GB2312" w:cs="仿宋_GB2312"/>
        </w:rPr>
        <w:t>中标人及其咨询外包人员须与采购人签订保密协议，本项目有关人员须遵循采购人的各项规章制度。所接触的广东税务专有信息仅限于本人在本项目中使用。</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rPr>
        <w:tab/>
      </w:r>
      <w:r>
        <w:rPr>
          <w:rFonts w:ascii="仿宋_GB2312" w:hAnsi="仿宋_GB2312" w:eastAsia="仿宋_GB2312" w:cs="仿宋_GB2312"/>
        </w:rPr>
        <w:t>中标人需对纳税人缴费人资料采取严格的保密措施，不得将纳税人缴费人资料泄露给任何第三人，更不得用于演示或宣传。</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hint="default" w:ascii="仿宋_GB2312" w:hAnsi="仿宋_GB2312" w:eastAsia="仿宋_GB2312" w:cs="仿宋_GB2312"/>
        </w:rPr>
        <w:tab/>
      </w:r>
      <w:r>
        <w:rPr>
          <w:rFonts w:ascii="仿宋_GB2312" w:hAnsi="仿宋_GB2312" w:eastAsia="仿宋_GB2312" w:cs="仿宋_GB2312"/>
        </w:rPr>
        <w:t>人员安全管理按照采购人网络安全管理有关规定执行。人员签订安全保密协议，提高人员安全保密意识，定期开展安全意识培训，养成良好的信息安全习惯；第三方人员符合安全保密工作要求。对人员录用、调动、离岗、考核、培训教育等几个方面的具体管理要求如下:</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①录用前</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应明确被录用人员的安全技能要求，在录用过程中依据技能要求进行考察，并对技能考核结果进行记录；对涉及访问关键信息，或者访问处理这些信息系统的工作人员应进行严格的安全背景审核和权限审查；关键岗位人员应当进行特殊的安全审核、权限管理和保密管理，签署安全协议；人员相关的安全事项须包括在工作描述或合同中。</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②工作期间</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所有工作人员须在开始工作前，亲自签订安全保密协议；须对全体工作人员就税务系统信息安全策略和相关管理规定进行培训，使他们熟悉信息安全的实施并加强安全意识；在对工作人员授权对某项信息技术服务进行访问前，须对他们进行培训，确保他们正确使用相关的信息工具和设备；应根据岗位职责的不同，定期对各个岗位的人员进行不同层面的安全认知和安全技能进行培训；对安全责任和惩戒措施进行书面规定并告知相关人员，对违反违背安全策略和规定的人员进行惩戒。</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③调离岗</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应严格规范人员调离岗过程，及时调整调离岗人员的所有访问权限；确保指定的继任者能够从该工作人员处获得与该岗位相关的资料和信息；收回所有系统文档、各种分发物件（身份证件、钥匙、徽章、USB 令牌等）以及借走的 IT 设备（笔记本、U 盘等）。</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④转岗</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应严格规范人员转岗过程，应分配临时员工的所有访问权限，并定期检查人员变动及权限匹配关系；关键岗位人员应在转岗期间签署保密承诺书。</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（十一）关于报价</w:t>
      </w:r>
    </w:p>
    <w:p>
      <w:pPr>
        <w:pStyle w:val="12"/>
        <w:ind w:firstLine="480"/>
        <w:jc w:val="both"/>
        <w:rPr>
          <w:rFonts w:hint="default" w:ascii="仿宋_GB2312" w:hAnsi="仿宋_GB2312" w:eastAsia="仿宋_GB2312" w:cs="仿宋_GB2312"/>
          <w:b/>
        </w:rPr>
      </w:pPr>
      <w:r>
        <w:rPr>
          <w:rFonts w:ascii="仿宋_GB2312" w:hAnsi="仿宋_GB2312" w:eastAsia="仿宋_GB2312" w:cs="仿宋_GB2312"/>
          <w:b/>
        </w:rPr>
        <w:t>★1.为了提高本项目的服务质量，投标人须承诺项目的资金用到实处，</w:t>
      </w:r>
      <w:r>
        <w:rPr>
          <w:rFonts w:hint="eastAsia" w:ascii="仿宋_GB2312" w:hAnsi="仿宋_GB2312" w:eastAsia="仿宋_GB2312" w:cs="仿宋_GB2312"/>
          <w:b/>
        </w:rPr>
        <w:t>满足项目运行期间所发生的人工成本等支出，确保咨询外包人员队伍稳定，</w:t>
      </w:r>
      <w:r>
        <w:rPr>
          <w:rFonts w:hint="eastAsia" w:ascii="仿宋_GB2312" w:hAnsi="仿宋_GB2312" w:eastAsia="仿宋_GB2312" w:cs="仿宋_GB2312"/>
          <w:b/>
          <w:lang w:eastAsia="zh-CN"/>
        </w:rPr>
        <w:t>咨询服务平稳有序</w:t>
      </w:r>
      <w:r>
        <w:rPr>
          <w:rFonts w:ascii="仿宋_GB2312" w:hAnsi="仿宋_GB2312" w:eastAsia="仿宋_GB2312" w:cs="仿宋_GB2312"/>
          <w:b/>
        </w:rPr>
        <w:t>。</w:t>
      </w:r>
      <w:r>
        <w:rPr>
          <w:rFonts w:hint="eastAsia" w:ascii="仿宋_GB2312" w:hAnsi="仿宋_GB2312" w:eastAsia="仿宋_GB2312" w:cs="仿宋_GB2312"/>
          <w:b/>
          <w:lang w:eastAsia="zh-CN"/>
        </w:rPr>
        <w:t>中标人支付人员薪酬必须</w:t>
      </w:r>
      <w:r>
        <w:rPr>
          <w:rFonts w:hint="eastAsia" w:ascii="仿宋_GB2312" w:hAnsi="仿宋_GB2312" w:eastAsia="仿宋_GB2312" w:cs="仿宋_GB2312"/>
          <w:b/>
        </w:rPr>
        <w:t>严格遵守《中华人民共和国劳动法》、《中华人民共和国社会保险法》和《住房公积金管理条例》的相关规定</w:t>
      </w:r>
      <w:r>
        <w:rPr>
          <w:rFonts w:ascii="仿宋_GB2312" w:hAnsi="仿宋_GB2312" w:eastAsia="仿宋_GB2312" w:cs="仿宋_GB2312"/>
          <w:b/>
        </w:rPr>
        <w:t>，并如实进行投标报价（投标时需提供承诺函，可参照“投标文件格式”中《承诺函》格式）。</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2.根据工作要求需为员工制作统一的工作服装，由中标人负责提供，采购人不另外支付费用。</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（十二）项目需分摊的办公费用</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采购人据实将需分摊的办公费用提供给中标人，并根据实际，采用在合同款项中进行直接扣除和中标人自行向第三方公司支付的方式执行（投标时需提供承诺函认可该分摊方式，可参照“投标文件格式”中《承诺函》格式）。</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（十三）服务质量监督</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项目要求中标人具备呼入客户服务项目运营管理经验，2023年（含）以来应承担过同类项目案例，中标人在项目实施过程中根据本项目的实际情况给出可能采取的措施和方法等。</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中标人应指派负责人，负责落实好服务过程中的人员管理，并由该负责人与采购人进行对接。</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（十四）服务报告</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中标人应密切监控咨询服务情况，做好质量跟踪、绩效反馈、数据分析、质量提升、沟通协调等工作。</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根据采购人需要配合提供本项目相关数据，服务工作结束后需提交总结报告，由采购人进行评估验收。</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（十五）服务质量考核</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采购人制定考核体系评估中标人项目执行效果，保证咨询外包服务项目整体服务水平持续稳定、提高项目服务质量。</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考核内容：</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hint="default" w:ascii="仿宋_GB2312" w:hAnsi="仿宋_GB2312" w:eastAsia="仿宋_GB2312" w:cs="仿宋_GB2312"/>
        </w:rPr>
        <w:tab/>
      </w:r>
      <w:r>
        <w:rPr>
          <w:rFonts w:ascii="仿宋_GB2312" w:hAnsi="仿宋_GB2312" w:eastAsia="仿宋_GB2312" w:cs="仿宋_GB2312"/>
        </w:rPr>
        <w:t>是否按照约定的条款提供了相关服务内容；</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rPr>
        <w:tab/>
      </w:r>
      <w:r>
        <w:rPr>
          <w:rFonts w:ascii="仿宋_GB2312" w:hAnsi="仿宋_GB2312" w:eastAsia="仿宋_GB2312" w:cs="仿宋_GB2312"/>
        </w:rPr>
        <w:t>是否按采购人要求执行项目运营管理机制，保证咨询服务水平稳步提高。</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考核应达到的指标：</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hint="default" w:ascii="仿宋_GB2312" w:hAnsi="仿宋_GB2312" w:eastAsia="仿宋_GB2312" w:cs="仿宋_GB2312"/>
        </w:rPr>
        <w:tab/>
      </w:r>
      <w:r>
        <w:rPr>
          <w:rFonts w:ascii="仿宋_GB2312" w:hAnsi="仿宋_GB2312" w:eastAsia="仿宋_GB2312" w:cs="仿宋_GB2312"/>
        </w:rPr>
        <w:t>接通率：12366 热线</w:t>
      </w:r>
      <w:r>
        <w:rPr>
          <w:rFonts w:hint="eastAsia" w:ascii="仿宋_GB2312" w:hAnsi="仿宋_GB2312" w:eastAsia="仿宋_GB2312" w:cs="仿宋_GB2312"/>
          <w:lang w:eastAsia="zh-CN"/>
        </w:rPr>
        <w:t>接通率不低于</w:t>
      </w:r>
      <w:r>
        <w:rPr>
          <w:rFonts w:hint="eastAsia" w:ascii="仿宋_GB2312" w:hAnsi="仿宋_GB2312" w:eastAsia="仿宋_GB2312" w:cs="仿宋_GB2312"/>
          <w:lang w:val="en-US" w:eastAsia="zh-CN"/>
        </w:rPr>
        <w:t>95%</w:t>
      </w:r>
      <w:r>
        <w:rPr>
          <w:rFonts w:ascii="仿宋_GB2312" w:hAnsi="仿宋_GB2312" w:eastAsia="仿宋_GB2312" w:cs="仿宋_GB2312"/>
        </w:rPr>
        <w:t>。</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rPr>
        <w:tab/>
      </w:r>
      <w:r>
        <w:rPr>
          <w:rFonts w:ascii="仿宋_GB2312" w:hAnsi="仿宋_GB2312" w:eastAsia="仿宋_GB2312" w:cs="仿宋_GB2312"/>
        </w:rPr>
        <w:t>平均等待时长：月度每通电话的平均等待时长不高于 30 秒。</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hint="default" w:ascii="仿宋_GB2312" w:hAnsi="仿宋_GB2312" w:eastAsia="仿宋_GB2312" w:cs="仿宋_GB2312"/>
        </w:rPr>
        <w:tab/>
      </w:r>
      <w:r>
        <w:rPr>
          <w:rFonts w:ascii="仿宋_GB2312" w:hAnsi="仿宋_GB2312" w:eastAsia="仿宋_GB2312" w:cs="仿宋_GB2312"/>
        </w:rPr>
        <w:t>坐席在岗率：每月坐席在岗率不低于 90%，话务高峰期采购人可根据情况动态调整。</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(4)</w:t>
      </w:r>
      <w:r>
        <w:rPr>
          <w:rFonts w:hint="default" w:ascii="仿宋_GB2312" w:hAnsi="仿宋_GB2312" w:eastAsia="仿宋_GB2312" w:cs="仿宋_GB2312"/>
        </w:rPr>
        <w:tab/>
      </w:r>
      <w:r>
        <w:rPr>
          <w:rFonts w:ascii="仿宋_GB2312" w:hAnsi="仿宋_GB2312" w:eastAsia="仿宋_GB2312" w:cs="仿宋_GB2312"/>
        </w:rPr>
        <w:t>服务质量：接受采购人的质检监督，每月质检答复准确率不低于 90%，服务规范率不低于 90%，质检评分不出现零分电话，以采购人审核通过的质检准确率为准。</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(5)</w:t>
      </w:r>
      <w:r>
        <w:rPr>
          <w:rFonts w:hint="default" w:ascii="仿宋_GB2312" w:hAnsi="仿宋_GB2312" w:eastAsia="仿宋_GB2312" w:cs="仿宋_GB2312"/>
        </w:rPr>
        <w:tab/>
      </w:r>
      <w:r>
        <w:rPr>
          <w:rFonts w:ascii="仿宋_GB2312" w:hAnsi="仿宋_GB2312" w:eastAsia="仿宋_GB2312" w:cs="仿宋_GB2312"/>
        </w:rPr>
        <w:t>话后满意率：每月话后满意率不低于 95%，该项目标值将结合 12366 热线管理要求进行动态调整。</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(6)</w:t>
      </w:r>
      <w:r>
        <w:rPr>
          <w:rFonts w:hint="default" w:ascii="仿宋_GB2312" w:hAnsi="仿宋_GB2312" w:eastAsia="仿宋_GB2312" w:cs="仿宋_GB2312"/>
        </w:rPr>
        <w:tab/>
      </w:r>
      <w:r>
        <w:rPr>
          <w:rFonts w:ascii="仿宋_GB2312" w:hAnsi="仿宋_GB2312" w:eastAsia="仿宋_GB2312" w:cs="仿宋_GB2312"/>
        </w:rPr>
        <w:t>话后满意度邀评率：每月话后满意度邀评率不低于 80%，该项目标值将结合 12366热线管理要求进行动态调整。</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(7)</w:t>
      </w:r>
      <w:r>
        <w:rPr>
          <w:rFonts w:hint="default" w:ascii="仿宋_GB2312" w:hAnsi="仿宋_GB2312" w:eastAsia="仿宋_GB2312" w:cs="仿宋_GB2312"/>
        </w:rPr>
        <w:tab/>
      </w:r>
      <w:r>
        <w:rPr>
          <w:rFonts w:ascii="仿宋_GB2312" w:hAnsi="仿宋_GB2312" w:eastAsia="仿宋_GB2312" w:cs="仿宋_GB2312"/>
        </w:rPr>
        <w:t>平均通话时长：每通电话的通话时长月度平均值不高于</w:t>
      </w:r>
      <w:r>
        <w:rPr>
          <w:rFonts w:hint="eastAsia" w:ascii="仿宋_GB2312" w:hAnsi="仿宋_GB2312" w:eastAsia="仿宋_GB2312" w:cs="仿宋_GB2312"/>
          <w:lang w:val="en-US" w:eastAsia="zh-CN"/>
        </w:rPr>
        <w:t>190</w:t>
      </w:r>
      <w:r>
        <w:rPr>
          <w:rFonts w:ascii="仿宋_GB2312" w:hAnsi="仿宋_GB2312" w:eastAsia="仿宋_GB2312" w:cs="仿宋_GB2312"/>
        </w:rPr>
        <w:t>秒。</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(8)</w:t>
      </w:r>
      <w:r>
        <w:rPr>
          <w:rFonts w:hint="default" w:ascii="仿宋_GB2312" w:hAnsi="仿宋_GB2312" w:eastAsia="仿宋_GB2312" w:cs="仿宋_GB2312"/>
        </w:rPr>
        <w:tab/>
      </w:r>
      <w:r>
        <w:rPr>
          <w:rFonts w:ascii="仿宋_GB2312" w:hAnsi="仿宋_GB2312" w:eastAsia="仿宋_GB2312" w:cs="仿宋_GB2312"/>
        </w:rPr>
        <w:t>配合工作情况：按采购人要求完成相关工作。</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三、项目验收</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（一）验收方式</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采购人组织对中标人服务质量等进行考核和验收。</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采购人可不定期组织实施考核。由中标人根据项目运营情况或采购人要求制作相关报表数据，以书面方式提交给采购人。如采购人对报表数据有疑义，中标人应对报表数据核实后再度提交。</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ascii="仿宋_GB2312" w:hAnsi="仿宋_GB2312" w:eastAsia="仿宋_GB2312" w:cs="仿宋_GB2312"/>
        </w:rPr>
        <w:t>在服务期结束后进行项目汇总验收。</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（二）服务期结束时验收合格的基本要求</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按照采购人要求提供了本项目所有的服务功能与内容；</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中标人保证各月考核分值≥80 分，且单项指标不能出现不得分的情形；</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验收报告应由采购人、中标人经办人签字，并加盖双方公章，以此作为支付凭据。如以上验收均不合格，采购人有权扣除中标人合同总价的 10%，并要求中标人承担因此对采购人造成的实际损失。具体验收标准如下：</w:t>
      </w:r>
    </w:p>
    <w:tbl>
      <w:tblPr>
        <w:tblStyle w:val="6"/>
        <w:tblW w:w="5037"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3"/>
        <w:gridCol w:w="1019"/>
        <w:gridCol w:w="743"/>
        <w:gridCol w:w="1058"/>
        <w:gridCol w:w="1838"/>
        <w:gridCol w:w="3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36" w:type="pct"/>
            <w:shd w:val="clear" w:color="auto" w:fill="D9E0F1"/>
            <w:noWrap w:val="0"/>
            <w:vAlign w:val="top"/>
          </w:tcPr>
          <w:p>
            <w:pPr>
              <w:pStyle w:val="12"/>
              <w:jc w:val="center"/>
              <w:rPr>
                <w:rFonts w:hint="default" w:ascii="仿宋_GB2312" w:hAnsi="仿宋_GB2312" w:eastAsia="仿宋_GB2312" w:cs="仿宋_GB2312"/>
              </w:rPr>
            </w:pPr>
            <w:r>
              <w:rPr>
                <w:rFonts w:ascii="仿宋_GB2312" w:hAnsi="仿宋_GB2312" w:eastAsia="仿宋_GB2312" w:cs="仿宋_GB2312"/>
              </w:rPr>
              <w:t>序号</w:t>
            </w:r>
          </w:p>
        </w:tc>
        <w:tc>
          <w:tcPr>
            <w:tcW w:w="608" w:type="pct"/>
            <w:shd w:val="clear" w:color="auto" w:fill="D9E0F1"/>
            <w:noWrap w:val="0"/>
            <w:vAlign w:val="top"/>
          </w:tcPr>
          <w:p>
            <w:pPr>
              <w:pStyle w:val="12"/>
              <w:jc w:val="center"/>
              <w:rPr>
                <w:rFonts w:hint="default" w:ascii="仿宋_GB2312" w:hAnsi="仿宋_GB2312" w:eastAsia="仿宋_GB2312" w:cs="仿宋_GB2312"/>
              </w:rPr>
            </w:pPr>
            <w:r>
              <w:rPr>
                <w:rFonts w:ascii="仿宋_GB2312" w:hAnsi="仿宋_GB2312" w:eastAsia="仿宋_GB2312" w:cs="仿宋_GB2312"/>
              </w:rPr>
              <w:t>指标项目</w:t>
            </w:r>
          </w:p>
        </w:tc>
        <w:tc>
          <w:tcPr>
            <w:tcW w:w="443" w:type="pct"/>
            <w:shd w:val="clear" w:color="auto" w:fill="D9E0F1"/>
            <w:noWrap w:val="0"/>
            <w:vAlign w:val="top"/>
          </w:tcPr>
          <w:p>
            <w:pPr>
              <w:pStyle w:val="12"/>
              <w:jc w:val="center"/>
              <w:rPr>
                <w:rFonts w:hint="default" w:ascii="仿宋_GB2312" w:hAnsi="仿宋_GB2312" w:eastAsia="仿宋_GB2312" w:cs="仿宋_GB2312"/>
              </w:rPr>
            </w:pPr>
            <w:r>
              <w:rPr>
                <w:rFonts w:ascii="仿宋_GB2312" w:hAnsi="仿宋_GB2312" w:eastAsia="仿宋_GB2312" w:cs="仿宋_GB2312"/>
              </w:rPr>
              <w:t>分值</w:t>
            </w:r>
          </w:p>
        </w:tc>
        <w:tc>
          <w:tcPr>
            <w:tcW w:w="631" w:type="pct"/>
            <w:shd w:val="clear" w:color="auto" w:fill="D9E0F1"/>
            <w:noWrap w:val="0"/>
            <w:vAlign w:val="top"/>
          </w:tcPr>
          <w:p>
            <w:pPr>
              <w:pStyle w:val="12"/>
              <w:jc w:val="center"/>
              <w:rPr>
                <w:rFonts w:hint="default" w:ascii="仿宋_GB2312" w:hAnsi="仿宋_GB2312" w:eastAsia="仿宋_GB2312" w:cs="仿宋_GB2312"/>
              </w:rPr>
            </w:pPr>
            <w:r>
              <w:rPr>
                <w:rFonts w:ascii="仿宋_GB2312" w:hAnsi="仿宋_GB2312" w:eastAsia="仿宋_GB2312" w:cs="仿宋_GB2312"/>
              </w:rPr>
              <w:t>目标值</w:t>
            </w:r>
          </w:p>
        </w:tc>
        <w:tc>
          <w:tcPr>
            <w:tcW w:w="1096" w:type="pct"/>
            <w:shd w:val="clear" w:color="auto" w:fill="D9E0F1"/>
            <w:noWrap w:val="0"/>
            <w:vAlign w:val="top"/>
          </w:tcPr>
          <w:p>
            <w:pPr>
              <w:pStyle w:val="12"/>
              <w:jc w:val="center"/>
              <w:rPr>
                <w:rFonts w:hint="default" w:ascii="仿宋_GB2312" w:hAnsi="仿宋_GB2312" w:eastAsia="仿宋_GB2312" w:cs="仿宋_GB2312"/>
              </w:rPr>
            </w:pPr>
            <w:r>
              <w:rPr>
                <w:rFonts w:ascii="仿宋_GB2312" w:hAnsi="仿宋_GB2312" w:eastAsia="仿宋_GB2312" w:cs="仿宋_GB2312"/>
              </w:rPr>
              <w:t>计算公式</w:t>
            </w:r>
          </w:p>
        </w:tc>
        <w:tc>
          <w:tcPr>
            <w:tcW w:w="1883" w:type="pct"/>
            <w:shd w:val="clear" w:color="auto" w:fill="D9E0F1"/>
            <w:noWrap w:val="0"/>
            <w:vAlign w:val="top"/>
          </w:tcPr>
          <w:p>
            <w:pPr>
              <w:pStyle w:val="12"/>
              <w:jc w:val="center"/>
              <w:rPr>
                <w:rFonts w:hint="default" w:ascii="仿宋_GB2312" w:hAnsi="仿宋_GB2312" w:eastAsia="仿宋_GB2312" w:cs="仿宋_GB2312"/>
              </w:rPr>
            </w:pPr>
            <w:r>
              <w:rPr>
                <w:rFonts w:ascii="仿宋_GB2312" w:hAnsi="仿宋_GB2312" w:eastAsia="仿宋_GB2312" w:cs="仿宋_GB2312"/>
              </w:rPr>
              <w:t>计分办法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36"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1</w:t>
            </w:r>
          </w:p>
        </w:tc>
        <w:tc>
          <w:tcPr>
            <w:tcW w:w="608"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接通率</w:t>
            </w:r>
          </w:p>
        </w:tc>
        <w:tc>
          <w:tcPr>
            <w:tcW w:w="443"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15</w:t>
            </w:r>
          </w:p>
        </w:tc>
        <w:tc>
          <w:tcPr>
            <w:tcW w:w="631" w:type="pct"/>
            <w:noWrap w:val="0"/>
            <w:vAlign w:val="center"/>
          </w:tcPr>
          <w:p>
            <w:pPr>
              <w:pStyle w:val="12"/>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95%</w:t>
            </w:r>
          </w:p>
        </w:tc>
        <w:tc>
          <w:tcPr>
            <w:tcW w:w="1096"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接通率=（人工接听量/转接人工 量）×100%</w:t>
            </w:r>
          </w:p>
        </w:tc>
        <w:tc>
          <w:tcPr>
            <w:tcW w:w="1883"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（1）接通率较目标值每下降 0.1%扣0.</w:t>
            </w:r>
            <w:r>
              <w:rPr>
                <w:rFonts w:hint="eastAsia" w:ascii="仿宋_GB2312" w:hAnsi="仿宋_GB2312" w:eastAsia="仿宋_GB2312" w:cs="仿宋_GB2312"/>
                <w:lang w:val="en-US" w:eastAsia="zh-CN"/>
              </w:rPr>
              <w:t>3</w:t>
            </w:r>
            <w:r>
              <w:rPr>
                <w:rFonts w:ascii="仿宋_GB2312" w:hAnsi="仿宋_GB2312" w:eastAsia="仿宋_GB2312" w:cs="仿宋_GB2312"/>
              </w:rPr>
              <w:t xml:space="preserve"> 分。</w:t>
            </w:r>
          </w:p>
          <w:p>
            <w:pPr>
              <w:pStyle w:val="12"/>
              <w:jc w:val="both"/>
              <w:rPr>
                <w:rFonts w:hint="default" w:ascii="仿宋_GB2312" w:hAnsi="仿宋_GB2312" w:eastAsia="仿宋_GB2312" w:cs="仿宋_GB2312"/>
              </w:rPr>
            </w:pPr>
            <w:r>
              <w:rPr>
                <w:rFonts w:ascii="仿宋_GB2312" w:hAnsi="仿宋_GB2312" w:eastAsia="仿宋_GB2312" w:cs="仿宋_GB2312"/>
              </w:rPr>
              <w:t>备注：当日人工接听量可根据总局考核要求调整而调整。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336"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2</w:t>
            </w:r>
          </w:p>
        </w:tc>
        <w:tc>
          <w:tcPr>
            <w:tcW w:w="608"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平均等待时长</w:t>
            </w:r>
          </w:p>
        </w:tc>
        <w:tc>
          <w:tcPr>
            <w:tcW w:w="443"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10</w:t>
            </w:r>
          </w:p>
        </w:tc>
        <w:tc>
          <w:tcPr>
            <w:tcW w:w="631"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30 秒</w:t>
            </w:r>
          </w:p>
        </w:tc>
        <w:tc>
          <w:tcPr>
            <w:tcW w:w="1096"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平均等待时长=12366 热线人工语音总等待时长/12366 热线人工接听量</w:t>
            </w:r>
          </w:p>
        </w:tc>
        <w:tc>
          <w:tcPr>
            <w:tcW w:w="1883" w:type="pct"/>
            <w:noWrap w:val="0"/>
            <w:vAlign w:val="center"/>
          </w:tcPr>
          <w:p>
            <w:pPr>
              <w:pStyle w:val="12"/>
              <w:jc w:val="both"/>
              <w:rPr>
                <w:rFonts w:hint="default" w:ascii="仿宋_GB2312" w:hAnsi="仿宋_GB2312" w:eastAsia="仿宋_GB2312" w:cs="仿宋_GB2312"/>
              </w:rPr>
            </w:pPr>
          </w:p>
          <w:p>
            <w:pPr>
              <w:pStyle w:val="12"/>
              <w:jc w:val="both"/>
              <w:rPr>
                <w:rFonts w:hint="default" w:ascii="仿宋_GB2312" w:hAnsi="仿宋_GB2312" w:eastAsia="仿宋_GB2312" w:cs="仿宋_GB2312"/>
              </w:rPr>
            </w:pPr>
            <w:r>
              <w:rPr>
                <w:rFonts w:ascii="仿宋_GB2312" w:hAnsi="仿宋_GB2312" w:eastAsia="仿宋_GB2312" w:cs="仿宋_GB2312"/>
              </w:rPr>
              <w:t xml:space="preserve">月度平均等待时长每增加 5 秒扣 </w:t>
            </w:r>
            <w:r>
              <w:rPr>
                <w:rFonts w:hint="eastAsia" w:ascii="仿宋_GB2312" w:hAnsi="仿宋_GB2312" w:eastAsia="仿宋_GB2312" w:cs="仿宋_GB2312"/>
                <w:lang w:val="en-US" w:eastAsia="zh-CN"/>
              </w:rPr>
              <w:t>1</w:t>
            </w:r>
            <w:r>
              <w:rPr>
                <w:rFonts w:ascii="仿宋_GB2312" w:hAnsi="仿宋_GB2312" w:eastAsia="仿宋_GB2312" w:cs="仿宋_GB231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36"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3</w:t>
            </w:r>
          </w:p>
        </w:tc>
        <w:tc>
          <w:tcPr>
            <w:tcW w:w="608"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坐席在岗率</w:t>
            </w:r>
          </w:p>
        </w:tc>
        <w:tc>
          <w:tcPr>
            <w:tcW w:w="443"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10</w:t>
            </w:r>
          </w:p>
        </w:tc>
        <w:tc>
          <w:tcPr>
            <w:tcW w:w="631"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90%</w:t>
            </w:r>
          </w:p>
        </w:tc>
        <w:tc>
          <w:tcPr>
            <w:tcW w:w="1096"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坐席在岗率=在岗坐席数量/项目规定人数×100%</w:t>
            </w:r>
          </w:p>
        </w:tc>
        <w:tc>
          <w:tcPr>
            <w:tcW w:w="1883"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月度坐席在岗率较目标值每下降 1%扣 1 分，话务高峰期采购人可根据情况动态调整。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36" w:type="pct"/>
            <w:vMerge w:val="restar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4</w:t>
            </w:r>
          </w:p>
        </w:tc>
        <w:tc>
          <w:tcPr>
            <w:tcW w:w="608" w:type="pct"/>
            <w:vMerge w:val="restar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服务质量</w:t>
            </w:r>
          </w:p>
        </w:tc>
        <w:tc>
          <w:tcPr>
            <w:tcW w:w="443"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15</w:t>
            </w:r>
          </w:p>
        </w:tc>
        <w:tc>
          <w:tcPr>
            <w:tcW w:w="631"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答复准确率： 90%</w:t>
            </w:r>
          </w:p>
        </w:tc>
        <w:tc>
          <w:tcPr>
            <w:tcW w:w="1096"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答复准确率=质检正确数量/质检总量×100%</w:t>
            </w:r>
          </w:p>
        </w:tc>
        <w:tc>
          <w:tcPr>
            <w:tcW w:w="1883" w:type="pct"/>
            <w:vMerge w:val="restar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（1）月度答复准确率较目标值每低 0.5%扣 1 分。</w:t>
            </w:r>
          </w:p>
          <w:p>
            <w:pPr>
              <w:pStyle w:val="12"/>
              <w:jc w:val="both"/>
              <w:rPr>
                <w:rFonts w:hint="default" w:ascii="仿宋_GB2312" w:hAnsi="仿宋_GB2312" w:eastAsia="仿宋_GB2312" w:cs="仿宋_GB2312"/>
              </w:rPr>
            </w:pPr>
            <w:r>
              <w:rPr>
                <w:rFonts w:ascii="仿宋_GB2312" w:hAnsi="仿宋_GB2312" w:eastAsia="仿宋_GB2312" w:cs="仿宋_GB2312"/>
              </w:rPr>
              <w:t>（2）月度服务规范率较目标值每低 1%扣 0.5 分。</w:t>
            </w:r>
          </w:p>
          <w:p>
            <w:pPr>
              <w:pStyle w:val="12"/>
              <w:jc w:val="both"/>
              <w:rPr>
                <w:rFonts w:hint="default" w:ascii="仿宋_GB2312" w:hAnsi="仿宋_GB2312" w:eastAsia="仿宋_GB2312" w:cs="仿宋_GB2312"/>
              </w:rPr>
            </w:pPr>
            <w:r>
              <w:rPr>
                <w:rFonts w:ascii="仿宋_GB2312" w:hAnsi="仿宋_GB2312" w:eastAsia="仿宋_GB2312" w:cs="仿宋_GB2312"/>
              </w:rPr>
              <w:t>（3）月度每发生 1 条质检评价分数为0 分的电话，每 1 条扣 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336" w:type="pct"/>
            <w:vMerge w:val="continue"/>
            <w:tcBorders>
              <w:top w:val="nil"/>
            </w:tcBorders>
            <w:noWrap w:val="0"/>
            <w:vAlign w:val="center"/>
          </w:tcPr>
          <w:p>
            <w:pPr>
              <w:pStyle w:val="12"/>
              <w:jc w:val="center"/>
              <w:rPr>
                <w:rFonts w:hint="default" w:ascii="仿宋_GB2312" w:hAnsi="仿宋_GB2312" w:eastAsia="仿宋_GB2312" w:cs="仿宋_GB2312"/>
              </w:rPr>
            </w:pPr>
          </w:p>
        </w:tc>
        <w:tc>
          <w:tcPr>
            <w:tcW w:w="608" w:type="pct"/>
            <w:vMerge w:val="continue"/>
            <w:tcBorders>
              <w:top w:val="nil"/>
            </w:tcBorders>
            <w:noWrap w:val="0"/>
            <w:vAlign w:val="center"/>
          </w:tcPr>
          <w:p>
            <w:pPr>
              <w:pStyle w:val="12"/>
              <w:jc w:val="center"/>
              <w:rPr>
                <w:rFonts w:hint="default" w:ascii="仿宋_GB2312" w:hAnsi="仿宋_GB2312" w:eastAsia="仿宋_GB2312" w:cs="仿宋_GB2312"/>
              </w:rPr>
            </w:pPr>
          </w:p>
        </w:tc>
        <w:tc>
          <w:tcPr>
            <w:tcW w:w="443"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5</w:t>
            </w:r>
          </w:p>
        </w:tc>
        <w:tc>
          <w:tcPr>
            <w:tcW w:w="631"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服务规范率： 90%</w:t>
            </w:r>
          </w:p>
        </w:tc>
        <w:tc>
          <w:tcPr>
            <w:tcW w:w="1096"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服务规范率=服务规范性满分数量/质检总量×100%</w:t>
            </w:r>
          </w:p>
        </w:tc>
        <w:tc>
          <w:tcPr>
            <w:tcW w:w="1883" w:type="pct"/>
            <w:vMerge w:val="continue"/>
            <w:tcBorders>
              <w:top w:val="nil"/>
            </w:tcBorders>
            <w:noWrap w:val="0"/>
            <w:vAlign w:val="center"/>
          </w:tcPr>
          <w:p>
            <w:pPr>
              <w:pStyle w:val="12"/>
              <w:jc w:val="both"/>
              <w:rPr>
                <w:rFonts w:hint="default"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336"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5</w:t>
            </w:r>
          </w:p>
        </w:tc>
        <w:tc>
          <w:tcPr>
            <w:tcW w:w="608"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话后满意率</w:t>
            </w:r>
          </w:p>
        </w:tc>
        <w:tc>
          <w:tcPr>
            <w:tcW w:w="443"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10</w:t>
            </w:r>
          </w:p>
        </w:tc>
        <w:tc>
          <w:tcPr>
            <w:tcW w:w="631"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95%</w:t>
            </w:r>
          </w:p>
        </w:tc>
        <w:tc>
          <w:tcPr>
            <w:tcW w:w="1096"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话后满意率=满意数量/推送评价数量×100%</w:t>
            </w:r>
          </w:p>
          <w:p>
            <w:pPr>
              <w:pStyle w:val="12"/>
              <w:jc w:val="both"/>
              <w:rPr>
                <w:rFonts w:hint="default" w:ascii="仿宋_GB2312" w:hAnsi="仿宋_GB2312" w:eastAsia="仿宋_GB2312" w:cs="仿宋_GB2312"/>
              </w:rPr>
            </w:pPr>
            <w:r>
              <w:rPr>
                <w:rFonts w:ascii="仿宋_GB2312" w:hAnsi="仿宋_GB2312" w:eastAsia="仿宋_GB2312" w:cs="仿宋_GB2312"/>
              </w:rPr>
              <w:t>满意数量=推送评价数量-不满意和非常不满意数量</w:t>
            </w:r>
          </w:p>
        </w:tc>
        <w:tc>
          <w:tcPr>
            <w:tcW w:w="1883"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月度话后满意度较目标值每下降 1%扣 1分，该项目标值将结合 12366 热线管理要求进行动态调整。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336"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6</w:t>
            </w:r>
          </w:p>
        </w:tc>
        <w:tc>
          <w:tcPr>
            <w:tcW w:w="608"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话后满意度邀评率</w:t>
            </w:r>
          </w:p>
        </w:tc>
        <w:tc>
          <w:tcPr>
            <w:tcW w:w="443"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10</w:t>
            </w:r>
          </w:p>
        </w:tc>
        <w:tc>
          <w:tcPr>
            <w:tcW w:w="631"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80%</w:t>
            </w:r>
          </w:p>
        </w:tc>
        <w:tc>
          <w:tcPr>
            <w:tcW w:w="1096"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话后满意度邀评率=已邀请调查数量/应邀请调查数量×100%</w:t>
            </w:r>
          </w:p>
        </w:tc>
        <w:tc>
          <w:tcPr>
            <w:tcW w:w="1883"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月度话后满意度邀评率较目标值每下降 1%扣 1 分，该项目标值将结合 12366热线管理要求进行动态调整。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336"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7</w:t>
            </w:r>
          </w:p>
        </w:tc>
        <w:tc>
          <w:tcPr>
            <w:tcW w:w="608"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平均通话时长</w:t>
            </w:r>
          </w:p>
        </w:tc>
        <w:tc>
          <w:tcPr>
            <w:tcW w:w="443" w:type="pct"/>
            <w:noWrap w:val="0"/>
            <w:vAlign w:val="center"/>
          </w:tcPr>
          <w:p>
            <w:pPr>
              <w:pStyle w:val="12"/>
              <w:jc w:val="center"/>
              <w:rPr>
                <w:rFonts w:hint="eastAsia" w:ascii="仿宋_GB2312" w:hAnsi="仿宋_GB2312" w:eastAsia="仿宋_GB2312" w:cs="仿宋_GB2312"/>
                <w:lang w:eastAsia="zh-CN"/>
              </w:rPr>
            </w:pPr>
            <w:r>
              <w:rPr>
                <w:rFonts w:ascii="仿宋_GB2312" w:hAnsi="仿宋_GB2312" w:eastAsia="仿宋_GB2312" w:cs="仿宋_GB2312"/>
              </w:rPr>
              <w:t>1</w:t>
            </w:r>
            <w:r>
              <w:rPr>
                <w:rFonts w:hint="eastAsia" w:ascii="仿宋_GB2312" w:hAnsi="仿宋_GB2312" w:eastAsia="仿宋_GB2312" w:cs="仿宋_GB2312"/>
                <w:lang w:val="en-US" w:eastAsia="zh-CN"/>
              </w:rPr>
              <w:t>5</w:t>
            </w:r>
          </w:p>
        </w:tc>
        <w:tc>
          <w:tcPr>
            <w:tcW w:w="631" w:type="pct"/>
            <w:noWrap w:val="0"/>
            <w:vAlign w:val="center"/>
          </w:tcPr>
          <w:p>
            <w:pPr>
              <w:pStyle w:val="12"/>
              <w:jc w:val="center"/>
              <w:rPr>
                <w:rFonts w:hint="default" w:ascii="仿宋_GB2312" w:hAnsi="仿宋_GB2312" w:eastAsia="仿宋_GB2312" w:cs="仿宋_GB2312"/>
              </w:rPr>
            </w:pPr>
            <w:r>
              <w:rPr>
                <w:rFonts w:hint="eastAsia" w:ascii="仿宋_GB2312" w:hAnsi="仿宋_GB2312" w:eastAsia="仿宋_GB2312" w:cs="仿宋_GB2312"/>
                <w:lang w:val="en-US" w:eastAsia="zh-CN"/>
              </w:rPr>
              <w:t>190</w:t>
            </w:r>
            <w:r>
              <w:rPr>
                <w:rFonts w:ascii="仿宋_GB2312" w:hAnsi="仿宋_GB2312" w:eastAsia="仿宋_GB2312" w:cs="仿宋_GB2312"/>
              </w:rPr>
              <w:t xml:space="preserve"> 秒</w:t>
            </w:r>
          </w:p>
        </w:tc>
        <w:tc>
          <w:tcPr>
            <w:tcW w:w="1096"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平均通话时长=通话总时长/话务量</w:t>
            </w:r>
          </w:p>
        </w:tc>
        <w:tc>
          <w:tcPr>
            <w:tcW w:w="1883"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月度平均通话时长较目标值每上升 10秒扣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336"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8</w:t>
            </w:r>
          </w:p>
        </w:tc>
        <w:tc>
          <w:tcPr>
            <w:tcW w:w="608"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配合工作情况</w:t>
            </w:r>
          </w:p>
        </w:tc>
        <w:tc>
          <w:tcPr>
            <w:tcW w:w="443" w:type="pct"/>
            <w:noWrap w:val="0"/>
            <w:vAlign w:val="center"/>
          </w:tcPr>
          <w:p>
            <w:pPr>
              <w:pStyle w:val="12"/>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631"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100%</w:t>
            </w:r>
          </w:p>
        </w:tc>
        <w:tc>
          <w:tcPr>
            <w:tcW w:w="1096" w:type="pct"/>
            <w:noWrap w:val="0"/>
            <w:vAlign w:val="center"/>
          </w:tcPr>
          <w:p>
            <w:pPr>
              <w:pStyle w:val="12"/>
              <w:jc w:val="center"/>
              <w:rPr>
                <w:rFonts w:hint="default" w:ascii="仿宋_GB2312" w:hAnsi="仿宋_GB2312" w:eastAsia="仿宋_GB2312" w:cs="仿宋_GB2312"/>
              </w:rPr>
            </w:pPr>
            <w:r>
              <w:rPr>
                <w:rFonts w:ascii="仿宋_GB2312" w:hAnsi="仿宋_GB2312" w:eastAsia="仿宋_GB2312" w:cs="仿宋_GB2312"/>
              </w:rPr>
              <w:t>——</w:t>
            </w:r>
          </w:p>
        </w:tc>
        <w:tc>
          <w:tcPr>
            <w:tcW w:w="1883" w:type="pct"/>
            <w:noWrap w:val="0"/>
            <w:vAlign w:val="center"/>
          </w:tcPr>
          <w:p>
            <w:pPr>
              <w:pStyle w:val="12"/>
              <w:jc w:val="both"/>
              <w:rPr>
                <w:rFonts w:hint="default" w:ascii="仿宋_GB2312" w:hAnsi="仿宋_GB2312" w:eastAsia="仿宋_GB2312" w:cs="仿宋_GB2312"/>
              </w:rPr>
            </w:pPr>
            <w:r>
              <w:rPr>
                <w:rFonts w:ascii="仿宋_GB2312" w:hAnsi="仿宋_GB2312" w:eastAsia="仿宋_GB2312" w:cs="仿宋_GB2312"/>
              </w:rPr>
              <w:t>月度考核。及时响应，按采购人要求完成相关工作得满分，未按采购人要求完成工作不得分。</w:t>
            </w:r>
          </w:p>
        </w:tc>
      </w:tr>
    </w:tbl>
    <w:p>
      <w:pPr>
        <w:pStyle w:val="12"/>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备注：如发生业务改革，将根据实际情况相应调整考核指标。</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（三）其他考核要求</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为了确保服务质量不受影响，通过以下措施加强控制，中标人对考核结果如有异议，可提供佐证材料，经双方协商一致后对考核结果进行校正并应用。</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1.在发包时，采购人向中标人释明以服务承诺的实现程度作为费用支付的依据，并在合同中明确约定。月度考核总分值达到 80 分但有单项指标出现不得分的情形，直接扣 13 万元，以 26 万为限；月度考核总分值未达到 80 分，且单项指标未出现不得分的情形，每少1分，扣5万元；月度考核总分值未达 80 分时且出现单项指标不得分的情形，直接扣 25 万元。</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2.如由于中标人原因导致采购人无法采集数据，则按单项指标不得分的情形处理。</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3.出现咨询外包人员在服务过程中以任何形式引导咨询人使用涉税第三方的收费服务的情形，经采购人核实确认后，按 20 万元/宗扣款。</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4.出现咨询外包人员在服务过程中被服务投诉的情形，经采购人核实为有效投诉，按 1万元/宗扣款；通过新闻、通报、批示、会议、电话等方式、反馈至采购人的专项检查中，因中标人坐席造成不良影响的，按 5 万元/宗扣款；在国家税务总局绩效考核中，出现因中</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5.标人坐席人员原因造成投诉或被绩效扣分的，按 15 万元/宗扣款，解释权归采购人所有。</w:t>
      </w:r>
    </w:p>
    <w:p>
      <w:pPr>
        <w:pStyle w:val="12"/>
        <w:ind w:firstLine="480"/>
        <w:jc w:val="both"/>
        <w:rPr>
          <w:rFonts w:ascii="仿宋_GB2312" w:hAnsi="仿宋_GB2312" w:eastAsia="仿宋_GB2312" w:cs="仿宋_GB2312"/>
        </w:rPr>
      </w:pPr>
      <w:r>
        <w:rPr>
          <w:rFonts w:ascii="仿宋_GB2312" w:hAnsi="仿宋_GB2312" w:eastAsia="仿宋_GB2312" w:cs="仿宋_GB2312"/>
        </w:rPr>
        <w:t>6.出现因中标人原因引起与本咨询项目相关舆情造成严重负面影响的，经采购人核实确认后，按 15 万元/宗扣款。</w:t>
      </w:r>
    </w:p>
    <w:p>
      <w:pPr>
        <w:pStyle w:val="12"/>
        <w:ind w:firstLine="480"/>
        <w:jc w:val="both"/>
        <w:rPr>
          <w:rFonts w:hint="eastAsia" w:ascii="仿宋_GB2312" w:hAnsi="仿宋_GB2312" w:eastAsia="仿宋_GB2312" w:cs="仿宋_GB2312"/>
          <w:lang w:eastAsia="zh-CN"/>
        </w:rPr>
      </w:pPr>
      <w:r>
        <w:rPr>
          <w:rFonts w:ascii="仿宋_GB2312" w:hAnsi="仿宋_GB2312" w:eastAsia="仿宋_GB2312" w:cs="仿宋_GB2312"/>
        </w:rPr>
        <w:t>7.</w:t>
      </w:r>
      <w:r>
        <w:rPr>
          <w:rFonts w:hint="eastAsia" w:ascii="仿宋_GB2312" w:hAnsi="仿宋_GB2312" w:eastAsia="仿宋_GB2312" w:cs="仿宋_GB2312"/>
          <w:lang w:eastAsia="zh-CN"/>
        </w:rPr>
        <w:t>考核员工流失率，具体如下：</w:t>
      </w:r>
    </w:p>
    <w:p>
      <w:pPr>
        <w:pStyle w:val="12"/>
        <w:ind w:firstLine="48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以半年为一个考核周期，</w:t>
      </w:r>
      <w:r>
        <w:rPr>
          <w:rFonts w:ascii="仿宋_GB2312" w:hAnsi="仿宋_GB2312" w:eastAsia="仿宋_GB2312" w:cs="仿宋_GB2312"/>
        </w:rPr>
        <w:t>员工流失率不高于 10%，每高于1%扣1万元，如此类推；员工流失率超过15%的，当期考核加扣5万元。员工流失率统计范围为已通过采购人验收的主动提出离职的咨询外包人员。</w:t>
      </w:r>
    </w:p>
    <w:p>
      <w:pPr>
        <w:pStyle w:val="12"/>
        <w:ind w:firstLine="480"/>
        <w:jc w:val="both"/>
        <w:rPr>
          <w:rFonts w:hint="eastAsia" w:ascii="仿宋_GB2312" w:hAnsi="仿宋_GB2312" w:eastAsia="仿宋_GB2312" w:cs="仿宋_GB2312"/>
          <w:b w:val="0"/>
          <w:bCs/>
          <w:color w:val="000000"/>
          <w:sz w:val="20"/>
          <w:szCs w:val="20"/>
          <w:lang w:val="zh-CN"/>
        </w:rPr>
      </w:pPr>
      <w:r>
        <w:rPr>
          <w:rFonts w:hint="eastAsia" w:ascii="仿宋_GB2312" w:hAnsi="仿宋_GB2312" w:eastAsia="仿宋_GB2312" w:cs="仿宋_GB2312"/>
          <w:lang w:val="zh-CN"/>
        </w:rPr>
        <w:t>（</w:t>
      </w:r>
      <w:r>
        <w:rPr>
          <w:rFonts w:hint="eastAsia" w:ascii="仿宋_GB2312" w:hAnsi="仿宋_GB2312" w:eastAsia="仿宋_GB2312" w:cs="仿宋_GB2312"/>
          <w:lang w:val="en-US" w:eastAsia="zh-CN"/>
        </w:rPr>
        <w:t>2）以一年为一个考核周期，</w:t>
      </w:r>
      <w:r>
        <w:rPr>
          <w:rFonts w:hint="eastAsia" w:ascii="仿宋_GB2312" w:hAnsi="仿宋_GB2312" w:eastAsia="仿宋_GB2312" w:cs="仿宋_GB2312"/>
          <w:lang w:val="zh-CN"/>
        </w:rPr>
        <w:t>同一批次验收合格的咨询外包人员12个月内流失率应不高于30%，如高于30%，按该批次离职人数进行扣款</w:t>
      </w:r>
      <w:r>
        <w:rPr>
          <w:rFonts w:hint="eastAsia" w:ascii="仿宋_GB2312" w:hAnsi="仿宋_GB2312" w:eastAsia="仿宋_GB2312" w:cs="仿宋_GB2312"/>
          <w:lang w:val="en-US" w:eastAsia="zh-CN"/>
        </w:rPr>
        <w:t>：</w:t>
      </w:r>
      <w:r>
        <w:rPr>
          <w:rFonts w:hint="eastAsia" w:ascii="仿宋_GB2312" w:hAnsi="仿宋_GB2312" w:eastAsia="仿宋_GB2312" w:cs="仿宋_GB2312"/>
          <w:b w:val="0"/>
          <w:bCs/>
          <w:color w:val="000000"/>
          <w:sz w:val="20"/>
          <w:szCs w:val="20"/>
          <w:lang w:val="zh-CN"/>
        </w:rPr>
        <w:t>3个月内离职，按1万元</w:t>
      </w:r>
      <w:r>
        <w:rPr>
          <w:rFonts w:hint="eastAsia" w:ascii="仿宋_GB2312" w:hAnsi="仿宋_GB2312" w:eastAsia="仿宋_GB2312" w:cs="仿宋_GB2312"/>
          <w:b w:val="0"/>
          <w:bCs/>
          <w:color w:val="000000"/>
          <w:sz w:val="20"/>
          <w:szCs w:val="20"/>
          <w:lang w:val="en-US" w:eastAsia="zh-CN"/>
        </w:rPr>
        <w:t>/</w:t>
      </w:r>
      <w:r>
        <w:rPr>
          <w:rFonts w:hint="eastAsia" w:ascii="仿宋_GB2312" w:hAnsi="仿宋_GB2312" w:eastAsia="仿宋_GB2312" w:cs="仿宋_GB2312"/>
          <w:b w:val="0"/>
          <w:bCs/>
          <w:color w:val="000000"/>
          <w:sz w:val="20"/>
          <w:szCs w:val="20"/>
          <w:lang w:val="zh-CN"/>
        </w:rPr>
        <w:t>人扣款；4至6个月内离职，按</w:t>
      </w:r>
      <w:r>
        <w:rPr>
          <w:rFonts w:hint="eastAsia" w:ascii="仿宋_GB2312" w:hAnsi="仿宋_GB2312" w:eastAsia="仿宋_GB2312" w:cs="仿宋_GB2312"/>
          <w:b w:val="0"/>
          <w:bCs/>
          <w:color w:val="000000"/>
          <w:sz w:val="20"/>
          <w:szCs w:val="20"/>
          <w:lang w:val="en-US" w:eastAsia="zh-CN"/>
        </w:rPr>
        <w:t>0.8万</w:t>
      </w:r>
      <w:r>
        <w:rPr>
          <w:rFonts w:hint="eastAsia" w:ascii="仿宋_GB2312" w:hAnsi="仿宋_GB2312" w:eastAsia="仿宋_GB2312" w:cs="仿宋_GB2312"/>
          <w:b w:val="0"/>
          <w:bCs/>
          <w:color w:val="000000"/>
          <w:sz w:val="20"/>
          <w:szCs w:val="20"/>
          <w:lang w:val="zh-CN"/>
        </w:rPr>
        <w:t>元</w:t>
      </w:r>
      <w:r>
        <w:rPr>
          <w:rFonts w:hint="eastAsia" w:ascii="仿宋_GB2312" w:hAnsi="仿宋_GB2312" w:eastAsia="仿宋_GB2312" w:cs="仿宋_GB2312"/>
          <w:b w:val="0"/>
          <w:bCs/>
          <w:color w:val="000000"/>
          <w:sz w:val="20"/>
          <w:szCs w:val="20"/>
          <w:lang w:val="en-US" w:eastAsia="zh-CN"/>
        </w:rPr>
        <w:t>/</w:t>
      </w:r>
      <w:r>
        <w:rPr>
          <w:rFonts w:hint="eastAsia" w:ascii="仿宋_GB2312" w:hAnsi="仿宋_GB2312" w:eastAsia="仿宋_GB2312" w:cs="仿宋_GB2312"/>
          <w:b w:val="0"/>
          <w:bCs/>
          <w:color w:val="000000"/>
          <w:sz w:val="20"/>
          <w:szCs w:val="20"/>
          <w:lang w:val="zh-CN"/>
        </w:rPr>
        <w:t>人扣款；7至12个月内离职，按</w:t>
      </w:r>
      <w:r>
        <w:rPr>
          <w:rFonts w:hint="eastAsia" w:ascii="仿宋_GB2312" w:hAnsi="仿宋_GB2312" w:eastAsia="仿宋_GB2312" w:cs="仿宋_GB2312"/>
          <w:b w:val="0"/>
          <w:bCs/>
          <w:color w:val="000000"/>
          <w:sz w:val="20"/>
          <w:szCs w:val="20"/>
          <w:lang w:val="en-US" w:eastAsia="zh-CN"/>
        </w:rPr>
        <w:t>0.5万</w:t>
      </w:r>
      <w:r>
        <w:rPr>
          <w:rFonts w:hint="eastAsia" w:ascii="仿宋_GB2312" w:hAnsi="仿宋_GB2312" w:eastAsia="仿宋_GB2312" w:cs="仿宋_GB2312"/>
          <w:b w:val="0"/>
          <w:bCs/>
          <w:color w:val="000000"/>
          <w:sz w:val="20"/>
          <w:szCs w:val="20"/>
          <w:lang w:val="zh-CN"/>
        </w:rPr>
        <w:t>元</w:t>
      </w:r>
      <w:r>
        <w:rPr>
          <w:rFonts w:hint="eastAsia" w:ascii="仿宋_GB2312" w:hAnsi="仿宋_GB2312" w:eastAsia="仿宋_GB2312" w:cs="仿宋_GB2312"/>
          <w:b w:val="0"/>
          <w:bCs/>
          <w:color w:val="000000"/>
          <w:sz w:val="20"/>
          <w:szCs w:val="20"/>
          <w:lang w:val="en-US" w:eastAsia="zh-CN"/>
        </w:rPr>
        <w:t>/</w:t>
      </w:r>
      <w:r>
        <w:rPr>
          <w:rFonts w:hint="eastAsia" w:ascii="仿宋_GB2312" w:hAnsi="仿宋_GB2312" w:eastAsia="仿宋_GB2312" w:cs="仿宋_GB2312"/>
          <w:b w:val="0"/>
          <w:bCs/>
          <w:color w:val="000000"/>
          <w:sz w:val="20"/>
          <w:szCs w:val="20"/>
          <w:lang w:val="zh-CN"/>
        </w:rPr>
        <w:t>人扣款。</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8.咨询外包人员总数未达合同要求的，按照缺少人员数量以及项目人员单价进行扣款，具体数据以采购人确认为准。</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9.中标人对项目运营期间所有数据、资料的真实性、完整性负责，如因中标人提供的数据、资料有误，造成采购人在各类检查中出现问题，每个问题点按5万元进行扣款，最高不超过20万元，解释权归采购人所有。</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10.服务执行期间所发生的考核扣款于合同验收结算阶段执行，考核扣款总额不得超过合同总价的 10%。</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（四）付款方式</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本项目一个服务年度的具体付款方式如下：</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ascii="仿宋_GB2312" w:hAnsi="仿宋_GB2312" w:eastAsia="仿宋_GB2312" w:cs="仿宋_GB2312"/>
        </w:rPr>
        <w:t>由采购人根据合同执行情况付款，并按下列程序分七次进行，付款进度及付款条件如下：</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(1)</w:t>
      </w:r>
      <w:r>
        <w:rPr>
          <w:rFonts w:hint="default" w:ascii="仿宋_GB2312" w:hAnsi="仿宋_GB2312" w:eastAsia="仿宋_GB2312" w:cs="仿宋_GB2312"/>
        </w:rPr>
        <w:tab/>
      </w:r>
      <w:r>
        <w:rPr>
          <w:rFonts w:ascii="仿宋_GB2312" w:hAnsi="仿宋_GB2312" w:eastAsia="仿宋_GB2312" w:cs="仿宋_GB2312"/>
        </w:rPr>
        <w:t>第一次付款：在签订合同后，收到中标人发票的 10 个工作日内，支付合同总价的 15%；</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rPr>
        <w:tab/>
      </w:r>
      <w:r>
        <w:rPr>
          <w:rFonts w:ascii="仿宋_GB2312" w:hAnsi="仿宋_GB2312" w:eastAsia="仿宋_GB2312" w:cs="仿宋_GB2312"/>
        </w:rPr>
        <w:t>第二次付款：合同签订后服务期满 1 个月，自收到中标人发票的 10 个工作日内，支付合同总价的 15%；</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hint="default" w:ascii="仿宋_GB2312" w:hAnsi="仿宋_GB2312" w:eastAsia="仿宋_GB2312" w:cs="仿宋_GB2312"/>
        </w:rPr>
        <w:tab/>
      </w:r>
      <w:r>
        <w:rPr>
          <w:rFonts w:ascii="仿宋_GB2312" w:hAnsi="仿宋_GB2312" w:eastAsia="仿宋_GB2312" w:cs="仿宋_GB2312"/>
        </w:rPr>
        <w:t>第三次付款：合同签订后服务期满 2 个月，自收到中标人发票的 10 个工作日内，支付合同总价的 15%；</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(4)</w:t>
      </w:r>
      <w:r>
        <w:rPr>
          <w:rFonts w:hint="default" w:ascii="仿宋_GB2312" w:hAnsi="仿宋_GB2312" w:eastAsia="仿宋_GB2312" w:cs="仿宋_GB2312"/>
        </w:rPr>
        <w:tab/>
      </w:r>
      <w:r>
        <w:rPr>
          <w:rFonts w:ascii="仿宋_GB2312" w:hAnsi="仿宋_GB2312" w:eastAsia="仿宋_GB2312" w:cs="仿宋_GB2312"/>
        </w:rPr>
        <w:t>第四次付款：合同签订后服务期满 3 个月，自收到中标人发票的 10 个工作日内，支付合同总价的 15%；</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(5)</w:t>
      </w:r>
      <w:r>
        <w:rPr>
          <w:rFonts w:hint="default" w:ascii="仿宋_GB2312" w:hAnsi="仿宋_GB2312" w:eastAsia="仿宋_GB2312" w:cs="仿宋_GB2312"/>
        </w:rPr>
        <w:tab/>
      </w:r>
      <w:r>
        <w:rPr>
          <w:rFonts w:ascii="仿宋_GB2312" w:hAnsi="仿宋_GB2312" w:eastAsia="仿宋_GB2312" w:cs="仿宋_GB2312"/>
        </w:rPr>
        <w:t>第五次付款：合同签订后服务期满 7 个月，自收到中标人发票的 10 个工作日内，支付合同总价的 12.5%；</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(6)</w:t>
      </w:r>
      <w:r>
        <w:rPr>
          <w:rFonts w:hint="default" w:ascii="仿宋_GB2312" w:hAnsi="仿宋_GB2312" w:eastAsia="仿宋_GB2312" w:cs="仿宋_GB2312"/>
        </w:rPr>
        <w:tab/>
      </w:r>
      <w:r>
        <w:rPr>
          <w:rFonts w:ascii="仿宋_GB2312" w:hAnsi="仿宋_GB2312" w:eastAsia="仿宋_GB2312" w:cs="仿宋_GB2312"/>
        </w:rPr>
        <w:t>第六次付款：合同签订后服务期满 10 个月，自收到中标人发票的 10 个工作日内，支付合同总价的 12.5%；</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(7)</w:t>
      </w:r>
      <w:r>
        <w:rPr>
          <w:rFonts w:hint="default" w:ascii="仿宋_GB2312" w:hAnsi="仿宋_GB2312" w:eastAsia="仿宋_GB2312" w:cs="仿宋_GB2312"/>
        </w:rPr>
        <w:tab/>
      </w:r>
      <w:r>
        <w:rPr>
          <w:rFonts w:ascii="仿宋_GB2312" w:hAnsi="仿宋_GB2312" w:eastAsia="仿宋_GB2312" w:cs="仿宋_GB2312"/>
        </w:rPr>
        <w:t>第七次付款：服务期结束并经考核通过后自收到中标人发票的 10 个工作日内，采购人应将合同余款扣除考核扣款（考核扣款不得超过合同总价的 10%），以及合同履行期间实际发生的办公分摊费用后的总余额付给中标人，即：总余额=合同余款-考核扣款-合同履行期间实际发生办公分摊费用。</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2．</w:t>
      </w:r>
      <w:r>
        <w:rPr>
          <w:rFonts w:ascii="仿宋_GB2312" w:hAnsi="仿宋_GB2312" w:eastAsia="仿宋_GB2312" w:cs="仿宋_GB2312"/>
        </w:rPr>
        <w:t>付款方式：采用支票、银行汇付（含电汇）等形式。</w:t>
      </w:r>
    </w:p>
    <w:p>
      <w:pPr>
        <w:pStyle w:val="12"/>
        <w:ind w:firstLine="480"/>
        <w:jc w:val="both"/>
        <w:rPr>
          <w:rFonts w:hint="default" w:ascii="仿宋_GB2312" w:hAnsi="仿宋_GB2312" w:eastAsia="仿宋_GB2312" w:cs="仿宋_GB2312"/>
        </w:rPr>
      </w:pPr>
      <w:r>
        <w:rPr>
          <w:rFonts w:hint="default" w:ascii="仿宋_GB2312" w:hAnsi="仿宋_GB2312" w:eastAsia="仿宋_GB2312" w:cs="仿宋_GB2312"/>
        </w:rPr>
        <w:t>3．</w:t>
      </w:r>
      <w:r>
        <w:rPr>
          <w:rFonts w:ascii="仿宋_GB2312" w:hAnsi="仿宋_GB2312" w:eastAsia="仿宋_GB2312" w:cs="仿宋_GB2312"/>
        </w:rPr>
        <w:t>每笔款项支付时，中标人同时向采购人提供与应付款项等额的合法有效的发票（含货物款发票、货物安装费发票及有关服务发票）。若中标人迟延交付发票的，采购人相应顺延付款时间。</w:t>
      </w:r>
    </w:p>
    <w:p>
      <w:pPr>
        <w:pStyle w:val="12"/>
        <w:ind w:firstLine="480"/>
        <w:jc w:val="both"/>
        <w:rPr>
          <w:rFonts w:hint="default" w:ascii="仿宋_GB2312" w:hAnsi="仿宋_GB2312" w:eastAsia="仿宋_GB2312" w:cs="仿宋_GB2312"/>
          <w:b w:val="0"/>
          <w:bCs/>
        </w:rPr>
      </w:pPr>
      <w:r>
        <w:rPr>
          <w:rFonts w:hint="default" w:ascii="仿宋_GB2312" w:hAnsi="仿宋_GB2312" w:eastAsia="仿宋_GB2312" w:cs="仿宋_GB2312"/>
          <w:b w:val="0"/>
          <w:bCs/>
        </w:rPr>
        <w:t>4．</w:t>
      </w:r>
      <w:r>
        <w:rPr>
          <w:rFonts w:ascii="仿宋_GB2312" w:hAnsi="仿宋_GB2312" w:eastAsia="仿宋_GB2312" w:cs="仿宋_GB2312"/>
          <w:b w:val="0"/>
          <w:bCs/>
        </w:rPr>
        <w:t>若因国家政策或业务实际需求发生变化，导致需要停止本项目，则将按实际工作量比例扣减支付款项或将剩余工作量结转用于其他工作内容，并相应地由双方书面确认终止合同或变更合同。</w:t>
      </w:r>
    </w:p>
    <w:p>
      <w:pPr>
        <w:pStyle w:val="12"/>
        <w:ind w:firstLine="480"/>
        <w:jc w:val="both"/>
        <w:rPr>
          <w:rFonts w:hint="default" w:ascii="仿宋_GB2312" w:hAnsi="仿宋_GB2312" w:eastAsia="仿宋_GB2312" w:cs="仿宋_GB2312"/>
          <w:b w:val="0"/>
          <w:bCs/>
        </w:rPr>
      </w:pPr>
      <w:r>
        <w:rPr>
          <w:rFonts w:hint="default" w:ascii="仿宋_GB2312" w:hAnsi="仿宋_GB2312" w:eastAsia="仿宋_GB2312" w:cs="仿宋_GB2312"/>
          <w:b w:val="0"/>
          <w:bCs/>
        </w:rPr>
        <w:t>5．</w:t>
      </w:r>
      <w:r>
        <w:rPr>
          <w:rFonts w:ascii="仿宋_GB2312" w:hAnsi="仿宋_GB2312" w:eastAsia="仿宋_GB2312" w:cs="仿宋_GB2312"/>
          <w:b w:val="0"/>
          <w:bCs/>
        </w:rPr>
        <w:t>若因改革或实际工作的业务需求发生变化，导致需要调整所需咨询外包人员，采购人将提前 30 个工作日通知中标人，按照实际所需人数和对应金额签订补充协议。</w:t>
      </w:r>
    </w:p>
    <w:p>
      <w:pPr>
        <w:pStyle w:val="12"/>
        <w:ind w:firstLine="480"/>
        <w:jc w:val="both"/>
        <w:rPr>
          <w:rFonts w:hint="default" w:ascii="仿宋_GB2312" w:hAnsi="仿宋_GB2312" w:eastAsia="仿宋_GB2312" w:cs="仿宋_GB2312"/>
          <w:b w:val="0"/>
          <w:bCs/>
        </w:rPr>
      </w:pPr>
      <w:r>
        <w:rPr>
          <w:rFonts w:ascii="仿宋_GB2312" w:hAnsi="仿宋_GB2312" w:eastAsia="仿宋_GB2312" w:cs="仿宋_GB2312"/>
          <w:b w:val="0"/>
          <w:bCs/>
        </w:rPr>
        <w:t>（投标时需提供针对上述第 4点和第 5点的承诺函，可参照“投标文件格式”中《承诺函》格式）。</w:t>
      </w:r>
    </w:p>
    <w:p>
      <w:pPr>
        <w:pStyle w:val="12"/>
        <w:ind w:firstLine="480"/>
        <w:jc w:val="both"/>
        <w:rPr>
          <w:rFonts w:hint="default" w:ascii="仿宋_GB2312" w:hAnsi="仿宋_GB2312" w:eastAsia="仿宋_GB2312" w:cs="仿宋_GB2312"/>
        </w:rPr>
      </w:pPr>
      <w:r>
        <w:rPr>
          <w:rFonts w:ascii="仿宋_GB2312" w:hAnsi="仿宋_GB2312" w:eastAsia="仿宋_GB2312" w:cs="仿宋_GB2312"/>
        </w:rPr>
        <w:t>四、其他要求</w:t>
      </w:r>
    </w:p>
    <w:p>
      <w:pPr>
        <w:snapToGrid w:val="0"/>
        <w:spacing w:line="396" w:lineRule="auto"/>
        <w:ind w:firstLine="400" w:firstLineChars="200"/>
        <w:jc w:val="both"/>
        <w:rPr>
          <w:rFonts w:hint="eastAsia" w:ascii="仿宋_GB2312" w:hAnsi="仿宋_GB2312" w:eastAsia="仿宋_GB2312" w:cs="仿宋_GB2312"/>
          <w:bCs/>
          <w:sz w:val="20"/>
          <w:szCs w:val="20"/>
        </w:rPr>
      </w:pPr>
      <w:r>
        <w:rPr>
          <w:rFonts w:hint="eastAsia" w:ascii="仿宋_GB2312" w:hAnsi="仿宋_GB2312" w:eastAsia="仿宋_GB2312" w:cs="仿宋_GB2312"/>
          <w:bCs/>
          <w:sz w:val="20"/>
        </w:rPr>
        <w:t>中标人提供不实承诺的，采购人将上报财政部门，如认定为提供虚假材料谋求中标、成交，追究中标人法律责任。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716"/>
    <w:rsid w:val="000C5681"/>
    <w:rsid w:val="00266C41"/>
    <w:rsid w:val="002D0C0A"/>
    <w:rsid w:val="002D280E"/>
    <w:rsid w:val="002F5E5C"/>
    <w:rsid w:val="003834EE"/>
    <w:rsid w:val="00475FA6"/>
    <w:rsid w:val="00520A31"/>
    <w:rsid w:val="005C4BB2"/>
    <w:rsid w:val="00734623"/>
    <w:rsid w:val="0079019B"/>
    <w:rsid w:val="007D1651"/>
    <w:rsid w:val="00AD176C"/>
    <w:rsid w:val="00B25C26"/>
    <w:rsid w:val="00B40C57"/>
    <w:rsid w:val="00B55960"/>
    <w:rsid w:val="00BD307B"/>
    <w:rsid w:val="00C16A57"/>
    <w:rsid w:val="00C253BB"/>
    <w:rsid w:val="00DD7237"/>
    <w:rsid w:val="00F96816"/>
    <w:rsid w:val="02477B6F"/>
    <w:rsid w:val="02EE2F02"/>
    <w:rsid w:val="09A90B77"/>
    <w:rsid w:val="0A734C55"/>
    <w:rsid w:val="0E6754F2"/>
    <w:rsid w:val="1734257C"/>
    <w:rsid w:val="1CB653B4"/>
    <w:rsid w:val="21A26100"/>
    <w:rsid w:val="234D4BB8"/>
    <w:rsid w:val="24287DFE"/>
    <w:rsid w:val="269340A8"/>
    <w:rsid w:val="27C67C87"/>
    <w:rsid w:val="36913221"/>
    <w:rsid w:val="375E65C0"/>
    <w:rsid w:val="3CB0505E"/>
    <w:rsid w:val="3EC9233A"/>
    <w:rsid w:val="3F232813"/>
    <w:rsid w:val="402E192D"/>
    <w:rsid w:val="433C591F"/>
    <w:rsid w:val="43506958"/>
    <w:rsid w:val="44EF0DAD"/>
    <w:rsid w:val="45624500"/>
    <w:rsid w:val="45BA20B0"/>
    <w:rsid w:val="473222AD"/>
    <w:rsid w:val="49C219DA"/>
    <w:rsid w:val="512B2827"/>
    <w:rsid w:val="568C3183"/>
    <w:rsid w:val="5CF4359B"/>
    <w:rsid w:val="5D5C7287"/>
    <w:rsid w:val="60005C5C"/>
    <w:rsid w:val="64EE6C25"/>
    <w:rsid w:val="66A3373A"/>
    <w:rsid w:val="66FE1097"/>
    <w:rsid w:val="67F15C8E"/>
    <w:rsid w:val="6A06201C"/>
    <w:rsid w:val="6AED2E43"/>
    <w:rsid w:val="75584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kinsoku w:val="0"/>
      <w:overflowPunct/>
      <w:autoSpaceDE/>
      <w:autoSpaceDN/>
      <w:snapToGrid w:val="0"/>
      <w:spacing w:line="360" w:lineRule="auto"/>
      <w:ind w:firstLine="560" w:firstLineChars="200"/>
      <w:jc w:val="left"/>
    </w:pPr>
    <w:rPr>
      <w:rFonts w:ascii="Arial" w:hAnsi="Arial" w:cs="Arial"/>
      <w:snapToGrid w:val="0"/>
      <w:color w:val="000000"/>
      <w:szCs w:val="21"/>
      <w:lang w:eastAsia="en-US"/>
    </w:rPr>
  </w:style>
  <w:style w:type="paragraph" w:styleId="3">
    <w:name w:val="Balloon Text"/>
    <w:basedOn w:val="1"/>
    <w:link w:val="13"/>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qFormat/>
    <w:uiPriority w:val="0"/>
    <w:rPr>
      <w:rFonts w:ascii="Times New Roman" w:hAnsi="Times New Roman" w:eastAsia="宋体" w:cs="Times New Roman"/>
      <w:sz w:val="18"/>
      <w:szCs w:val="18"/>
    </w:rPr>
  </w:style>
  <w:style w:type="character" w:customStyle="1" w:styleId="11">
    <w:name w:val="批注文字 Char"/>
    <w:basedOn w:val="7"/>
    <w:link w:val="2"/>
    <w:qFormat/>
    <w:uiPriority w:val="0"/>
    <w:rPr>
      <w:rFonts w:ascii="Arial" w:hAnsi="Arial" w:eastAsia="宋体" w:cs="Arial"/>
      <w:snapToGrid w:val="0"/>
      <w:color w:val="000000"/>
      <w:sz w:val="21"/>
      <w:szCs w:val="21"/>
      <w:lang w:eastAsia="en-US"/>
    </w:rPr>
  </w:style>
  <w:style w:type="paragraph" w:customStyle="1" w:styleId="12">
    <w:name w:val="null3"/>
    <w:hidden/>
    <w:qFormat/>
    <w:uiPriority w:val="0"/>
    <w:rPr>
      <w:rFonts w:hint="eastAsia" w:ascii="Calibri" w:hAnsi="Calibri" w:eastAsia="宋体" w:cs="Times New Roman"/>
      <w:lang w:val="en-US" w:eastAsia="zh-CN" w:bidi="ar-SA"/>
    </w:rPr>
  </w:style>
  <w:style w:type="character" w:customStyle="1" w:styleId="13">
    <w:name w:val="批注框文本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2018</Words>
  <Characters>11503</Characters>
  <Lines>95</Lines>
  <Paragraphs>26</Paragraphs>
  <TotalTime>88</TotalTime>
  <ScaleCrop>false</ScaleCrop>
  <LinksUpToDate>false</LinksUpToDate>
  <CharactersWithSpaces>13495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2024-06-14T00:52:00Z</dcterms:created>
  <dc:creator>Z8000</dc:creator>
  <cp:lastModifiedBy>李昊</cp:lastModifiedBy>
  <dcterms:modified xsi:type="dcterms:W3CDTF">2026-04-13T08:53:51Z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