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BEB" w:rsidRDefault="00B34BEB" w:rsidP="00A20F47">
      <w:pPr>
        <w:spacing w:line="360" w:lineRule="auto"/>
        <w:ind w:firstLineChars="0" w:firstLine="0"/>
        <w:rPr>
          <w:b/>
          <w:bCs/>
          <w:sz w:val="30"/>
          <w:szCs w:val="30"/>
        </w:rPr>
      </w:pPr>
    </w:p>
    <w:p w:rsidR="00B34BEB" w:rsidRDefault="00EA315E" w:rsidP="00A20F47">
      <w:pPr>
        <w:spacing w:line="360" w:lineRule="auto"/>
        <w:ind w:firstLine="964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广东省电子税务局</w:t>
      </w:r>
    </w:p>
    <w:p w:rsidR="00B34BEB" w:rsidRDefault="00B34BEB" w:rsidP="00A20F47">
      <w:pPr>
        <w:spacing w:line="360" w:lineRule="auto"/>
        <w:ind w:firstLine="723"/>
        <w:jc w:val="center"/>
        <w:rPr>
          <w:b/>
          <w:bCs/>
          <w:sz w:val="36"/>
          <w:szCs w:val="36"/>
        </w:rPr>
      </w:pPr>
    </w:p>
    <w:p w:rsidR="00B34BEB" w:rsidRPr="00A20F47" w:rsidRDefault="00EA315E" w:rsidP="00A20F47">
      <w:pPr>
        <w:spacing w:line="360" w:lineRule="auto"/>
        <w:ind w:firstLine="883"/>
        <w:jc w:val="center"/>
        <w:rPr>
          <w:b/>
          <w:bCs/>
          <w:sz w:val="44"/>
          <w:szCs w:val="44"/>
        </w:rPr>
      </w:pPr>
      <w:r w:rsidRPr="00A20F47">
        <w:rPr>
          <w:rFonts w:hint="eastAsia"/>
          <w:b/>
          <w:bCs/>
          <w:sz w:val="44"/>
          <w:szCs w:val="44"/>
        </w:rPr>
        <w:t xml:space="preserve"> </w:t>
      </w:r>
      <w:r w:rsidRPr="00A20F47">
        <w:rPr>
          <w:rFonts w:hint="eastAsia"/>
          <w:b/>
          <w:bCs/>
          <w:sz w:val="44"/>
          <w:szCs w:val="44"/>
        </w:rPr>
        <w:t>汇算清缴结算多缴退抵税</w:t>
      </w:r>
      <w:r w:rsidR="00A20F47" w:rsidRPr="00A20F47">
        <w:rPr>
          <w:rFonts w:asciiTheme="majorEastAsia" w:eastAsiaTheme="majorEastAsia" w:hAnsiTheme="majorEastAsia" w:hint="eastAsia"/>
          <w:b/>
          <w:sz w:val="44"/>
          <w:szCs w:val="44"/>
        </w:rPr>
        <w:t>操作手册</w:t>
      </w:r>
    </w:p>
    <w:p w:rsidR="00B34BEB" w:rsidRDefault="00B34BEB" w:rsidP="00A20F47">
      <w:pPr>
        <w:ind w:firstLine="480"/>
      </w:pPr>
    </w:p>
    <w:p w:rsidR="00B34BEB" w:rsidRDefault="00B34BEB">
      <w:pPr>
        <w:ind w:firstLineChars="0" w:firstLine="0"/>
      </w:pPr>
    </w:p>
    <w:p w:rsidR="00B34BEB" w:rsidRDefault="00EA315E">
      <w:pPr>
        <w:pStyle w:val="1"/>
        <w:numPr>
          <w:ilvl w:val="0"/>
          <w:numId w:val="1"/>
        </w:numPr>
      </w:pPr>
      <w:r>
        <w:rPr>
          <w:rFonts w:hint="eastAsia"/>
        </w:rPr>
        <w:t>功能概述</w:t>
      </w:r>
    </w:p>
    <w:p w:rsidR="00A20F47" w:rsidRDefault="00EA315E" w:rsidP="00A20F47">
      <w:pPr>
        <w:ind w:firstLine="480"/>
        <w:rPr>
          <w:rFonts w:hint="eastAsia"/>
        </w:rPr>
      </w:pPr>
      <w:r>
        <w:rPr>
          <w:rFonts w:hint="eastAsia"/>
        </w:rPr>
        <w:t>纳税人可通过该模块办理汇算清缴退抵税申请。</w:t>
      </w:r>
    </w:p>
    <w:p w:rsidR="00A20F47" w:rsidRDefault="00A20F47" w:rsidP="00A20F47">
      <w:pPr>
        <w:ind w:firstLine="480"/>
        <w:rPr>
          <w:rFonts w:hint="eastAsia"/>
        </w:rPr>
      </w:pPr>
      <w:r>
        <w:rPr>
          <w:rFonts w:hint="eastAsia"/>
        </w:rPr>
        <w:t>汇算清缴结算多缴退抵税，指按照分期预缴、按期汇算结算的征管方式，对纳税人应清算形成的多缴税</w:t>
      </w:r>
      <w:proofErr w:type="gramStart"/>
      <w:r>
        <w:rPr>
          <w:rFonts w:hint="eastAsia"/>
        </w:rPr>
        <w:t>款办理</w:t>
      </w:r>
      <w:proofErr w:type="gramEnd"/>
      <w:r>
        <w:rPr>
          <w:rFonts w:hint="eastAsia"/>
        </w:rPr>
        <w:t>退抵税费。</w:t>
      </w:r>
      <w:r>
        <w:rPr>
          <w:rFonts w:hint="eastAsia"/>
        </w:rPr>
        <w:t xml:space="preserve"> </w:t>
      </w:r>
    </w:p>
    <w:p w:rsidR="00A20F47" w:rsidRDefault="00A20F47" w:rsidP="00A20F47">
      <w:pPr>
        <w:ind w:firstLine="480"/>
        <w:rPr>
          <w:rFonts w:hint="eastAsia"/>
        </w:rPr>
      </w:pPr>
      <w:r>
        <w:rPr>
          <w:rFonts w:hint="eastAsia"/>
        </w:rPr>
        <w:t>以下业务也属于汇算清缴结算多缴退抵税：</w:t>
      </w:r>
      <w:r>
        <w:rPr>
          <w:rFonts w:hint="eastAsia"/>
        </w:rPr>
        <w:t xml:space="preserve"> </w:t>
      </w:r>
    </w:p>
    <w:p w:rsidR="00A20F47" w:rsidRDefault="00A20F47" w:rsidP="00A20F47">
      <w:pPr>
        <w:ind w:firstLine="480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“营改增”试点纳税人提供应税服务，按照国家有关营业税政策规定差额征收营业税的，因取得的全部价款和价外费用不足以抵减允许扣除项目金额，截至本地区试点实施之日尚未扣除的部分，不得在计算试点纳税人本地区试点实施之日后的销售额时予以抵减，应当向原主管税务机关申请退还营业税。</w:t>
      </w:r>
      <w:r>
        <w:rPr>
          <w:rFonts w:hint="eastAsia"/>
        </w:rPr>
        <w:t xml:space="preserve"> </w:t>
      </w:r>
    </w:p>
    <w:p w:rsidR="00A20F47" w:rsidRDefault="00A20F47" w:rsidP="00A20F47">
      <w:pPr>
        <w:ind w:firstLine="480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纳税人在批准临时占用耕地的期限内恢复所占耕地原状的，全额退还已缴纳的耕地占用税业务应通过“汇算清缴结算退税”办理。</w:t>
      </w:r>
      <w:r>
        <w:rPr>
          <w:rFonts w:hint="eastAsia"/>
        </w:rPr>
        <w:t xml:space="preserve"> </w:t>
      </w:r>
    </w:p>
    <w:p w:rsidR="00B34BEB" w:rsidRDefault="00A20F47" w:rsidP="00A20F47">
      <w:pPr>
        <w:ind w:firstLine="480"/>
      </w:pPr>
      <w:r>
        <w:rPr>
          <w:rFonts w:hint="eastAsia"/>
        </w:rPr>
        <w:t>3.</w:t>
      </w:r>
      <w:r>
        <w:rPr>
          <w:rFonts w:hint="eastAsia"/>
        </w:rPr>
        <w:t>对房产税、城镇土地税税源信息修改，以及增值税、消费税申报税款小于预缴税款，导致发生多缴税款业务场景，均属于对申报税款的结算，提</w:t>
      </w:r>
      <w:proofErr w:type="gramStart"/>
      <w:r>
        <w:rPr>
          <w:rFonts w:hint="eastAsia"/>
        </w:rPr>
        <w:t>退类型应</w:t>
      </w:r>
      <w:proofErr w:type="gramEnd"/>
      <w:r>
        <w:rPr>
          <w:rFonts w:hint="eastAsia"/>
        </w:rPr>
        <w:t>是“汇算清缴结算退税”。</w:t>
      </w:r>
    </w:p>
    <w:p w:rsidR="00B34BEB" w:rsidRDefault="00B34BEB">
      <w:pPr>
        <w:ind w:firstLineChars="0" w:firstLine="0"/>
      </w:pPr>
    </w:p>
    <w:p w:rsidR="00B34BEB" w:rsidRDefault="00EA315E">
      <w:pPr>
        <w:pStyle w:val="1"/>
        <w:numPr>
          <w:ilvl w:val="0"/>
          <w:numId w:val="1"/>
        </w:numPr>
      </w:pPr>
      <w:r>
        <w:rPr>
          <w:rFonts w:hint="eastAsia"/>
        </w:rPr>
        <w:t>操作说明</w:t>
      </w:r>
    </w:p>
    <w:p w:rsidR="00B34BEB" w:rsidRDefault="00A20F47" w:rsidP="00A20F47">
      <w:pPr>
        <w:ind w:left="480" w:firstLineChars="0" w:firstLine="0"/>
      </w:pPr>
      <w:r>
        <w:rPr>
          <w:rFonts w:hint="eastAsia"/>
        </w:rPr>
        <w:t>1.</w:t>
      </w:r>
      <w:r w:rsidR="00EA315E">
        <w:rPr>
          <w:rFonts w:hint="eastAsia"/>
        </w:rPr>
        <w:t>操作路径</w:t>
      </w:r>
      <w:proofErr w:type="gramStart"/>
      <w:r w:rsidR="00EA315E">
        <w:rPr>
          <w:rFonts w:hint="eastAsia"/>
        </w:rPr>
        <w:t>一</w:t>
      </w:r>
      <w:proofErr w:type="gramEnd"/>
      <w:r w:rsidR="00EA315E">
        <w:rPr>
          <w:rFonts w:hint="eastAsia"/>
        </w:rPr>
        <w:t>：办税桌面</w:t>
      </w:r>
      <w:r w:rsidR="00EA315E">
        <w:rPr>
          <w:rFonts w:hint="eastAsia"/>
        </w:rPr>
        <w:t>--</w:t>
      </w:r>
      <w:r w:rsidR="00EA315E">
        <w:rPr>
          <w:rFonts w:hint="eastAsia"/>
        </w:rPr>
        <w:t>我要办税</w:t>
      </w:r>
      <w:r w:rsidR="00EA315E">
        <w:rPr>
          <w:rFonts w:hint="eastAsia"/>
        </w:rPr>
        <w:t>--</w:t>
      </w:r>
      <w:r w:rsidR="00EA315E">
        <w:rPr>
          <w:rFonts w:hint="eastAsia"/>
        </w:rPr>
        <w:t>事项办理</w:t>
      </w:r>
      <w:r w:rsidR="00EA315E">
        <w:rPr>
          <w:rFonts w:hint="eastAsia"/>
        </w:rPr>
        <w:t>--</w:t>
      </w:r>
      <w:r w:rsidR="00EA315E">
        <w:rPr>
          <w:rFonts w:hint="eastAsia"/>
        </w:rPr>
        <w:t>涉税事项办理</w:t>
      </w:r>
      <w:r w:rsidR="00EA315E">
        <w:rPr>
          <w:rFonts w:hint="eastAsia"/>
        </w:rPr>
        <w:t>--</w:t>
      </w:r>
      <w:r w:rsidR="00EA315E">
        <w:rPr>
          <w:rFonts w:hint="eastAsia"/>
        </w:rPr>
        <w:t>征收</w:t>
      </w:r>
      <w:r w:rsidR="00EA315E">
        <w:rPr>
          <w:rFonts w:hint="eastAsia"/>
        </w:rPr>
        <w:t>--</w:t>
      </w:r>
      <w:r w:rsidR="00EA315E">
        <w:rPr>
          <w:rFonts w:hint="eastAsia"/>
        </w:rPr>
        <w:t>汇算清缴结算多缴退抵税。如图所示：</w:t>
      </w:r>
    </w:p>
    <w:p w:rsidR="00B34BEB" w:rsidRDefault="00EA315E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01612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EB" w:rsidRDefault="00A20F47" w:rsidP="00A20F47">
      <w:pPr>
        <w:ind w:left="480" w:firstLineChars="0" w:firstLine="0"/>
      </w:pPr>
      <w:r>
        <w:rPr>
          <w:rFonts w:hint="eastAsia"/>
        </w:rPr>
        <w:t>2.</w:t>
      </w:r>
      <w:r w:rsidR="00EA315E">
        <w:rPr>
          <w:rFonts w:hint="eastAsia"/>
        </w:rPr>
        <w:t>操作路径二：办税桌面</w:t>
      </w:r>
      <w:r>
        <w:t>—</w:t>
      </w:r>
      <w:r w:rsidR="00EA315E">
        <w:rPr>
          <w:rFonts w:hint="eastAsia"/>
        </w:rPr>
        <w:t>我要办税</w:t>
      </w:r>
      <w:proofErr w:type="gramStart"/>
      <w:r>
        <w:t>—</w:t>
      </w:r>
      <w:r w:rsidR="00EA315E">
        <w:rPr>
          <w:rFonts w:hint="eastAsia"/>
        </w:rPr>
        <w:t>一般退</w:t>
      </w:r>
      <w:proofErr w:type="gramEnd"/>
      <w:r w:rsidR="00EA315E">
        <w:rPr>
          <w:rFonts w:hint="eastAsia"/>
        </w:rPr>
        <w:t>（抵）税管理</w:t>
      </w:r>
      <w:r w:rsidR="00EA315E">
        <w:rPr>
          <w:rFonts w:hint="eastAsia"/>
        </w:rPr>
        <w:t>----</w:t>
      </w:r>
      <w:r w:rsidR="00EA315E">
        <w:rPr>
          <w:rFonts w:hint="eastAsia"/>
        </w:rPr>
        <w:t>汇算清缴结算多缴退抵税。如图所示：</w:t>
      </w:r>
    </w:p>
    <w:p w:rsidR="00B34BEB" w:rsidRDefault="00EA315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290445"/>
            <wp:effectExtent l="0" t="0" r="1016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2301240"/>
            <wp:effectExtent l="0" t="0" r="1016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EB" w:rsidRDefault="00A20F47" w:rsidP="00A20F47">
      <w:pPr>
        <w:ind w:left="480" w:firstLineChars="0" w:firstLine="0"/>
      </w:pPr>
      <w:r>
        <w:rPr>
          <w:rFonts w:hint="eastAsia"/>
        </w:rPr>
        <w:t>3.</w:t>
      </w:r>
      <w:r w:rsidR="00EA315E">
        <w:rPr>
          <w:rFonts w:hint="eastAsia"/>
        </w:rPr>
        <w:t>点击【办理】按钮</w:t>
      </w:r>
      <w:r w:rsidR="00EA315E">
        <w:rPr>
          <w:rFonts w:hint="eastAsia"/>
        </w:rPr>
        <w:t>进入退（抵）税申请表界面</w:t>
      </w:r>
      <w:r w:rsidR="00EA315E">
        <w:rPr>
          <w:rFonts w:hint="eastAsia"/>
        </w:rPr>
        <w:t>。填写相关信息，点击【附送资料】按钮，上</w:t>
      </w:r>
      <w:proofErr w:type="gramStart"/>
      <w:r w:rsidR="00EA315E">
        <w:rPr>
          <w:rFonts w:hint="eastAsia"/>
        </w:rPr>
        <w:t>传相关</w:t>
      </w:r>
      <w:proofErr w:type="gramEnd"/>
      <w:r w:rsidR="00EA315E">
        <w:rPr>
          <w:rFonts w:hint="eastAsia"/>
        </w:rPr>
        <w:t>资料，再点击【保存】按钮可保存已填写数据。如图所示：</w:t>
      </w:r>
    </w:p>
    <w:p w:rsidR="00B34BEB" w:rsidRDefault="00EA315E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1752600"/>
            <wp:effectExtent l="0" t="0" r="1016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6690" cy="1870710"/>
            <wp:effectExtent l="0" t="0" r="10160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EB" w:rsidRDefault="00A20F47" w:rsidP="00A20F47">
      <w:pPr>
        <w:ind w:left="480" w:firstLineChars="0" w:firstLine="0"/>
      </w:pPr>
      <w:r>
        <w:rPr>
          <w:rFonts w:hint="eastAsia"/>
        </w:rPr>
        <w:t>4.</w:t>
      </w:r>
      <w:r w:rsidR="00EA315E">
        <w:rPr>
          <w:rFonts w:hint="eastAsia"/>
        </w:rPr>
        <w:t>填好数据，检查无误后，点击【下一步】</w:t>
      </w:r>
      <w:r w:rsidR="00EA315E">
        <w:rPr>
          <w:rFonts w:hint="eastAsia"/>
        </w:rPr>
        <w:t>按钮进行</w:t>
      </w:r>
      <w:r w:rsidR="00EA315E">
        <w:rPr>
          <w:rFonts w:hint="eastAsia"/>
        </w:rPr>
        <w:t>提交</w:t>
      </w:r>
      <w:r w:rsidR="00EA315E">
        <w:rPr>
          <w:rFonts w:hint="eastAsia"/>
        </w:rPr>
        <w:t>。</w:t>
      </w:r>
    </w:p>
    <w:p w:rsidR="00B34BEB" w:rsidRDefault="00A20F47" w:rsidP="00A20F47">
      <w:pPr>
        <w:ind w:left="480" w:firstLineChars="0" w:firstLine="0"/>
      </w:pPr>
      <w:r>
        <w:rPr>
          <w:rFonts w:hint="eastAsia"/>
        </w:rPr>
        <w:t>5.</w:t>
      </w:r>
      <w:r w:rsidR="00EA315E">
        <w:rPr>
          <w:rFonts w:hint="eastAsia"/>
        </w:rPr>
        <w:t>提交成功后，可在事项进度查询</w:t>
      </w:r>
      <w:r w:rsidR="00EA315E">
        <w:rPr>
          <w:rFonts w:hint="eastAsia"/>
        </w:rPr>
        <w:t xml:space="preserve"> </w:t>
      </w:r>
      <w:r w:rsidR="00EA315E">
        <w:rPr>
          <w:rFonts w:hint="eastAsia"/>
        </w:rPr>
        <w:t>那里查看事项办理进度。</w:t>
      </w:r>
      <w:bookmarkStart w:id="0" w:name="_GoBack"/>
      <w:bookmarkEnd w:id="0"/>
    </w:p>
    <w:p w:rsidR="00B34BEB" w:rsidRDefault="00A20F47" w:rsidP="00A20F47">
      <w:pPr>
        <w:ind w:firstLine="480"/>
        <w:rPr>
          <w:rFonts w:hint="eastAsia"/>
        </w:rPr>
      </w:pPr>
      <w:r w:rsidRPr="00A20F47">
        <w:drawing>
          <wp:inline distT="0" distB="0" distL="0" distR="0">
            <wp:extent cx="5171440" cy="2535555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47" w:rsidRPr="0075785F" w:rsidRDefault="00A20F47" w:rsidP="00A20F47">
      <w:pPr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仿宋_GB2312" w:hint="eastAsia"/>
        </w:rPr>
        <w:t>6.</w:t>
      </w:r>
      <w:r w:rsidRPr="0075785F">
        <w:rPr>
          <w:rFonts w:asciiTheme="minorEastAsia" w:eastAsiaTheme="minorEastAsia" w:hAnsiTheme="minorEastAsia" w:cs="仿宋_GB2312" w:hint="eastAsia"/>
        </w:rPr>
        <w:t>点击【预览】可查看申请表单</w:t>
      </w:r>
      <w:r>
        <w:rPr>
          <w:rFonts w:asciiTheme="minorEastAsia" w:eastAsiaTheme="minorEastAsia" w:hAnsiTheme="minorEastAsia" w:hint="eastAsia"/>
        </w:rPr>
        <w:t>；</w:t>
      </w:r>
      <w:proofErr w:type="gramStart"/>
      <w:r w:rsidRPr="0075785F">
        <w:rPr>
          <w:rFonts w:asciiTheme="minorEastAsia" w:eastAsiaTheme="minorEastAsia" w:hAnsiTheme="minorEastAsia" w:cs="仿宋_GB2312" w:hint="eastAsia"/>
        </w:rPr>
        <w:t>若办理</w:t>
      </w:r>
      <w:proofErr w:type="gramEnd"/>
      <w:r w:rsidRPr="0075785F">
        <w:rPr>
          <w:rFonts w:asciiTheme="minorEastAsia" w:eastAsiaTheme="minorEastAsia" w:hAnsiTheme="minorEastAsia" w:cs="仿宋_GB2312" w:hint="eastAsia"/>
        </w:rPr>
        <w:t>状态为“待受理”，可点击【撤销】按钮撤销当前申请。</w:t>
      </w:r>
    </w:p>
    <w:p w:rsidR="00A20F47" w:rsidRPr="0075785F" w:rsidRDefault="00A20F47" w:rsidP="00A20F47">
      <w:pPr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仿宋_GB2312" w:hint="eastAsia"/>
        </w:rPr>
        <w:t>7.</w:t>
      </w:r>
      <w:r w:rsidRPr="0075785F">
        <w:rPr>
          <w:rFonts w:asciiTheme="minorEastAsia" w:eastAsiaTheme="minorEastAsia" w:hAnsiTheme="minorEastAsia" w:cs="仿宋_GB2312" w:hint="eastAsia"/>
        </w:rPr>
        <w:t>若税务机关完成终审，系统返回批复通知书，纳税人在点击【签收】按钮签收该文件，确认是否终审通过，终审通过返回的文书为准予退还通知书，终审不通过返回的文书为不予退还通知书。</w:t>
      </w:r>
    </w:p>
    <w:p w:rsidR="00A20F47" w:rsidRPr="002131AB" w:rsidRDefault="00A20F47" w:rsidP="00A20F47">
      <w:pPr>
        <w:ind w:firstLine="480"/>
      </w:pPr>
      <w:r>
        <w:rPr>
          <w:rFonts w:ascii="仿宋_GB2312" w:eastAsia="仿宋_GB2312"/>
          <w:noProof/>
        </w:rPr>
        <w:drawing>
          <wp:inline distT="0" distB="0" distL="0" distR="0">
            <wp:extent cx="5181600" cy="253365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47" w:rsidRDefault="00A20F47" w:rsidP="00A20F47">
      <w:pPr>
        <w:ind w:firstLineChars="0" w:firstLine="0"/>
      </w:pPr>
    </w:p>
    <w:p w:rsidR="00B34BEB" w:rsidRDefault="00B34BEB" w:rsidP="00B34BEB">
      <w:pPr>
        <w:ind w:firstLine="480"/>
      </w:pPr>
    </w:p>
    <w:sectPr w:rsidR="00B34BEB" w:rsidSect="00B34BE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15E" w:rsidRPr="006E3882" w:rsidRDefault="00EA315E" w:rsidP="00A20F47">
      <w:pPr>
        <w:ind w:firstLine="480"/>
      </w:pPr>
      <w:r>
        <w:separator/>
      </w:r>
    </w:p>
  </w:endnote>
  <w:endnote w:type="continuationSeparator" w:id="0">
    <w:p w:rsidR="00EA315E" w:rsidRPr="006E3882" w:rsidRDefault="00EA315E" w:rsidP="00A20F47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F47" w:rsidRDefault="00A20F47" w:rsidP="00A20F47">
    <w:pPr>
      <w:pStyle w:val="a9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F47" w:rsidRDefault="00A20F47" w:rsidP="00A20F47">
    <w:pPr>
      <w:pStyle w:val="a9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F47" w:rsidRDefault="00A20F47" w:rsidP="00A20F47">
    <w:pPr>
      <w:pStyle w:val="a9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15E" w:rsidRPr="006E3882" w:rsidRDefault="00EA315E" w:rsidP="00A20F47">
      <w:pPr>
        <w:ind w:firstLine="480"/>
      </w:pPr>
      <w:r>
        <w:separator/>
      </w:r>
    </w:p>
  </w:footnote>
  <w:footnote w:type="continuationSeparator" w:id="0">
    <w:p w:rsidR="00EA315E" w:rsidRPr="006E3882" w:rsidRDefault="00EA315E" w:rsidP="00A20F47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F47" w:rsidRDefault="00A20F47" w:rsidP="00A20F47">
    <w:pPr>
      <w:pStyle w:val="a8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F47" w:rsidRDefault="00A20F47" w:rsidP="00A20F47">
    <w:pPr>
      <w:pStyle w:val="a8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F47" w:rsidRDefault="00A20F47" w:rsidP="00A20F47">
    <w:pPr>
      <w:pStyle w:val="a8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F8A200"/>
    <w:multiLevelType w:val="singleLevel"/>
    <w:tmpl w:val="BDF8A20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2B24A75"/>
    <w:multiLevelType w:val="singleLevel"/>
    <w:tmpl w:val="22B24A7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7612EF3"/>
    <w:rsid w:val="00A20F47"/>
    <w:rsid w:val="00B34BEB"/>
    <w:rsid w:val="00EA315E"/>
    <w:rsid w:val="0FCE0D48"/>
    <w:rsid w:val="1EE40AC8"/>
    <w:rsid w:val="22116B4F"/>
    <w:rsid w:val="2A397D48"/>
    <w:rsid w:val="3F5A1F91"/>
    <w:rsid w:val="47612EF3"/>
    <w:rsid w:val="49FB172C"/>
    <w:rsid w:val="4C7A71B8"/>
    <w:rsid w:val="4E0C3990"/>
    <w:rsid w:val="608D3067"/>
    <w:rsid w:val="611D7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4BEB"/>
    <w:pPr>
      <w:widowControl w:val="0"/>
      <w:ind w:firstLineChars="200" w:firstLine="602"/>
      <w:jc w:val="both"/>
    </w:pPr>
    <w:rPr>
      <w:rFonts w:ascii="Calibri" w:hAnsi="Calibri"/>
      <w:kern w:val="2"/>
      <w:sz w:val="24"/>
      <w:szCs w:val="24"/>
    </w:rPr>
  </w:style>
  <w:style w:type="paragraph" w:styleId="1">
    <w:name w:val="heading 1"/>
    <w:basedOn w:val="a"/>
    <w:next w:val="a"/>
    <w:qFormat/>
    <w:rsid w:val="00B34BEB"/>
    <w:pPr>
      <w:keepNext/>
      <w:keepLines/>
      <w:spacing w:line="576" w:lineRule="auto"/>
      <w:ind w:firstLineChars="0" w:firstLine="0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B34BEB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B34BEB"/>
    <w:rPr>
      <w:color w:val="008EC9"/>
      <w:u w:val="none"/>
    </w:rPr>
  </w:style>
  <w:style w:type="character" w:styleId="a4">
    <w:name w:val="Hyperlink"/>
    <w:basedOn w:val="a0"/>
    <w:uiPriority w:val="99"/>
    <w:unhideWhenUsed/>
    <w:qFormat/>
    <w:rsid w:val="00B34BEB"/>
    <w:rPr>
      <w:color w:val="008EC9"/>
      <w:u w:val="none"/>
    </w:rPr>
  </w:style>
  <w:style w:type="paragraph" w:customStyle="1" w:styleId="a5">
    <w:name w:val="封面标题"/>
    <w:next w:val="a"/>
    <w:qFormat/>
    <w:rsid w:val="00B34BEB"/>
    <w:pPr>
      <w:spacing w:before="163" w:after="163"/>
      <w:jc w:val="center"/>
    </w:pPr>
    <w:rPr>
      <w:rFonts w:eastAsia="黑体"/>
      <w:b/>
      <w:kern w:val="2"/>
      <w:sz w:val="30"/>
      <w:szCs w:val="22"/>
    </w:rPr>
  </w:style>
  <w:style w:type="paragraph" w:customStyle="1" w:styleId="a6">
    <w:name w:val="正文加粗无缩进"/>
    <w:next w:val="a"/>
    <w:qFormat/>
    <w:rsid w:val="00B34BEB"/>
    <w:pPr>
      <w:spacing w:beforeLines="50" w:afterLines="50" w:line="360" w:lineRule="auto"/>
    </w:pPr>
    <w:rPr>
      <w:rFonts w:eastAsiaTheme="minorEastAsia" w:cstheme="minorBidi"/>
      <w:b/>
      <w:kern w:val="2"/>
      <w:sz w:val="24"/>
      <w:szCs w:val="22"/>
    </w:rPr>
  </w:style>
  <w:style w:type="paragraph" w:customStyle="1" w:styleId="a7">
    <w:name w:val="表格标题栏"/>
    <w:qFormat/>
    <w:rsid w:val="00B34BEB"/>
    <w:pPr>
      <w:jc w:val="center"/>
    </w:pPr>
    <w:rPr>
      <w:rFonts w:cs="宋体"/>
      <w:b/>
      <w:bCs/>
      <w:kern w:val="2"/>
      <w:sz w:val="21"/>
      <w:szCs w:val="22"/>
    </w:rPr>
  </w:style>
  <w:style w:type="paragraph" w:customStyle="1" w:styleId="-">
    <w:name w:val="表格正文-中间对齐"/>
    <w:qFormat/>
    <w:rsid w:val="00B34BEB"/>
    <w:pPr>
      <w:jc w:val="center"/>
    </w:pPr>
    <w:rPr>
      <w:rFonts w:cs="宋体"/>
      <w:sz w:val="21"/>
      <w:szCs w:val="22"/>
    </w:rPr>
  </w:style>
  <w:style w:type="paragraph" w:customStyle="1" w:styleId="-0">
    <w:name w:val="表格正文-左对齐"/>
    <w:qFormat/>
    <w:rsid w:val="00B34BEB"/>
    <w:pPr>
      <w:widowControl w:val="0"/>
      <w:jc w:val="both"/>
    </w:pPr>
    <w:rPr>
      <w:rFonts w:cs="宋体"/>
      <w:bCs/>
      <w:kern w:val="2"/>
      <w:sz w:val="21"/>
      <w:szCs w:val="22"/>
    </w:rPr>
  </w:style>
  <w:style w:type="character" w:customStyle="1" w:styleId="hover24">
    <w:name w:val="hover24"/>
    <w:basedOn w:val="a0"/>
    <w:rsid w:val="00B34BEB"/>
    <w:rPr>
      <w:shd w:val="clear" w:color="auto" w:fill="EBEBEB"/>
    </w:rPr>
  </w:style>
  <w:style w:type="character" w:customStyle="1" w:styleId="bg3">
    <w:name w:val="bg3"/>
    <w:basedOn w:val="a0"/>
    <w:rsid w:val="00B34BEB"/>
    <w:rPr>
      <w:shd w:val="clear" w:color="auto" w:fill="60C560"/>
    </w:rPr>
  </w:style>
  <w:style w:type="character" w:customStyle="1" w:styleId="cor">
    <w:name w:val="cor"/>
    <w:basedOn w:val="a0"/>
    <w:rsid w:val="00B34BEB"/>
    <w:rPr>
      <w:color w:val="0085D8"/>
    </w:rPr>
  </w:style>
  <w:style w:type="character" w:customStyle="1" w:styleId="bg2">
    <w:name w:val="bg2"/>
    <w:basedOn w:val="a0"/>
    <w:rsid w:val="00B34BEB"/>
    <w:rPr>
      <w:shd w:val="clear" w:color="auto" w:fill="F59B3B"/>
    </w:rPr>
  </w:style>
  <w:style w:type="character" w:customStyle="1" w:styleId="layui-layer-tabnow">
    <w:name w:val="layui-layer-tabnow"/>
    <w:basedOn w:val="a0"/>
    <w:rsid w:val="00B34BEB"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a0"/>
    <w:rsid w:val="00B34BEB"/>
    <w:rPr>
      <w:bdr w:val="none" w:sz="0" w:space="0" w:color="auto"/>
    </w:rPr>
  </w:style>
  <w:style w:type="paragraph" w:styleId="a8">
    <w:name w:val="header"/>
    <w:basedOn w:val="a"/>
    <w:link w:val="Char"/>
    <w:rsid w:val="00A20F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rsid w:val="00A20F47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Char0"/>
    <w:rsid w:val="00A20F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9"/>
    <w:rsid w:val="00A20F47"/>
    <w:rPr>
      <w:rFonts w:ascii="Calibri" w:hAnsi="Calibri"/>
      <w:kern w:val="2"/>
      <w:sz w:val="18"/>
      <w:szCs w:val="18"/>
    </w:rPr>
  </w:style>
  <w:style w:type="paragraph" w:styleId="aa">
    <w:name w:val="Balloon Text"/>
    <w:basedOn w:val="a"/>
    <w:link w:val="Char1"/>
    <w:rsid w:val="00A20F47"/>
    <w:rPr>
      <w:sz w:val="18"/>
      <w:szCs w:val="18"/>
    </w:rPr>
  </w:style>
  <w:style w:type="character" w:customStyle="1" w:styleId="Char1">
    <w:name w:val="批注框文本 Char"/>
    <w:basedOn w:val="a0"/>
    <w:link w:val="aa"/>
    <w:rsid w:val="00A20F47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119</Words>
  <Characters>680</Characters>
  <Application>Microsoft Office Word</Application>
  <DocSecurity>0</DocSecurity>
  <Lines>5</Lines>
  <Paragraphs>1</Paragraphs>
  <ScaleCrop>false</ScaleCrop>
  <Company>Microsoft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GinGǎ</dc:creator>
  <cp:lastModifiedBy>林国强</cp:lastModifiedBy>
  <cp:revision>2</cp:revision>
  <dcterms:created xsi:type="dcterms:W3CDTF">2019-07-18T05:51:00Z</dcterms:created>
  <dcterms:modified xsi:type="dcterms:W3CDTF">2021-06-07T07:38:00Z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