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32"/>
          <w:szCs w:val="32"/>
        </w:rPr>
      </w:pPr>
    </w:p>
    <w:p>
      <w:pPr>
        <w:spacing w:line="360" w:lineRule="auto"/>
        <w:rPr>
          <w:szCs w:val="21"/>
        </w:rPr>
      </w:pPr>
    </w:p>
    <w:p>
      <w:pPr>
        <w:spacing w:line="360" w:lineRule="auto"/>
        <w:rPr>
          <w:szCs w:val="21"/>
        </w:rPr>
      </w:pPr>
    </w:p>
    <w:p>
      <w:pPr>
        <w:spacing w:line="360" w:lineRule="auto"/>
        <w:rPr>
          <w:szCs w:val="21"/>
        </w:rPr>
      </w:pPr>
    </w:p>
    <w:p>
      <w:pPr>
        <w:spacing w:line="360" w:lineRule="auto"/>
        <w:rPr>
          <w:b/>
          <w:sz w:val="44"/>
          <w:szCs w:val="44"/>
        </w:rPr>
      </w:pPr>
    </w:p>
    <w:p>
      <w:pPr>
        <w:spacing w:line="360" w:lineRule="auto"/>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《中华人民共和国企业所得税年度纳税申报表（A类，2017年版）》表单及填报说明</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年修订）</w:t>
      </w:r>
    </w:p>
    <w:p>
      <w:pPr>
        <w:jc w:val="center"/>
        <w:rPr>
          <w:b/>
          <w:sz w:val="32"/>
          <w:szCs w:val="32"/>
        </w:rPr>
      </w:pPr>
    </w:p>
    <w:p>
      <w:pPr>
        <w:jc w:val="center"/>
        <w:rPr>
          <w:sz w:val="32"/>
          <w:szCs w:val="32"/>
        </w:rPr>
      </w:pPr>
    </w:p>
    <w:p>
      <w:pPr>
        <w:spacing w:line="360" w:lineRule="auto"/>
        <w:rPr>
          <w:szCs w:val="21"/>
        </w:rPr>
      </w:pPr>
    </w:p>
    <w:p>
      <w:pPr>
        <w:spacing w:line="360" w:lineRule="auto"/>
        <w:jc w:val="center"/>
        <w:rPr>
          <w:b/>
          <w:sz w:val="32"/>
          <w:szCs w:val="32"/>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rFonts w:ascii="仿宋_GB2312" w:eastAsia="仿宋_GB2312"/>
          <w:sz w:val="28"/>
          <w:szCs w:val="28"/>
        </w:rPr>
      </w:pPr>
    </w:p>
    <w:p>
      <w:pPr>
        <w:spacing w:line="360" w:lineRule="auto"/>
        <w:jc w:val="both"/>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国家税务总局</w:t>
      </w:r>
    </w:p>
    <w:p>
      <w:pPr>
        <w:spacing w:line="360" w:lineRule="auto"/>
        <w:jc w:val="center"/>
        <w:rPr>
          <w:rFonts w:hint="eastAsia" w:ascii="仿宋_GB2312" w:hAnsi="仿宋_GB2312" w:eastAsia="仿宋_GB2312" w:cs="仿宋_GB2312"/>
        </w:rPr>
        <w:sectPr>
          <w:headerReference r:id="rId3" w:type="default"/>
          <w:pgSz w:w="11906" w:h="16838"/>
          <w:pgMar w:top="1928" w:right="1418" w:bottom="1985" w:left="1418" w:header="851" w:footer="992" w:gutter="113"/>
          <w:pgNumType w:fmt="decimal"/>
          <w:cols w:space="720" w:num="1"/>
          <w:docGrid w:linePitch="312" w:charSpace="0"/>
        </w:sectPr>
      </w:pPr>
      <w:r>
        <w:rPr>
          <w:rFonts w:hint="eastAsia" w:ascii="仿宋_GB2312" w:hAnsi="仿宋_GB2312" w:eastAsia="仿宋_GB2312" w:cs="仿宋_GB2312"/>
          <w:sz w:val="28"/>
          <w:szCs w:val="32"/>
        </w:rPr>
        <w:t>202</w:t>
      </w: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rPr>
        <w:t>年12月</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国家税务总局关于企业所得税年度纳税申报</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有关事项的公告</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1"/>
          <w:rFonts w:ascii="楷体" w:hAnsi="楷体" w:eastAsia="楷体"/>
          <w:szCs w:val="21"/>
          <w:shd w:val="clear" w:color="auto" w:fill="FFFFFF"/>
        </w:rPr>
      </w:pPr>
      <w:r>
        <w:rPr>
          <w:rStyle w:val="91"/>
          <w:rFonts w:hint="eastAsia" w:ascii="楷体" w:hAnsi="楷体" w:eastAsia="楷体"/>
          <w:szCs w:val="21"/>
          <w:shd w:val="clear" w:color="auto" w:fill="FFFFFF"/>
        </w:rPr>
        <w:t>国家税务总局公告202</w:t>
      </w:r>
      <w:r>
        <w:rPr>
          <w:rStyle w:val="91"/>
          <w:rFonts w:hint="eastAsia" w:ascii="楷体" w:hAnsi="楷体" w:eastAsia="楷体"/>
          <w:szCs w:val="21"/>
          <w:shd w:val="clear" w:color="auto" w:fill="FFFFFF"/>
          <w:lang w:val="en-US" w:eastAsia="zh-CN"/>
        </w:rPr>
        <w:t>2</w:t>
      </w:r>
      <w:r>
        <w:rPr>
          <w:rStyle w:val="91"/>
          <w:rFonts w:hint="eastAsia" w:ascii="楷体" w:hAnsi="楷体" w:eastAsia="楷体"/>
          <w:szCs w:val="21"/>
          <w:shd w:val="clear" w:color="auto" w:fill="FFFFFF"/>
        </w:rPr>
        <w:t>年第</w:t>
      </w:r>
      <w:r>
        <w:rPr>
          <w:rStyle w:val="91"/>
          <w:rFonts w:hint="eastAsia" w:ascii="楷体" w:hAnsi="楷体" w:eastAsia="楷体"/>
          <w:szCs w:val="21"/>
          <w:shd w:val="clear" w:color="auto" w:fill="FFFFFF"/>
          <w:lang w:val="en-US" w:eastAsia="zh-CN"/>
        </w:rPr>
        <w:t>27</w:t>
      </w:r>
      <w:r>
        <w:rPr>
          <w:rStyle w:val="91"/>
          <w:rFonts w:hint="eastAsia" w:ascii="楷体" w:hAnsi="楷体" w:eastAsia="楷体"/>
          <w:szCs w:val="21"/>
          <w:shd w:val="clear" w:color="auto" w:fill="FFFFFF"/>
        </w:rPr>
        <w:t>号</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为贯彻落实《中华人民共和国企业所得税法》及有关税收政策，进一步减轻纳税人办税负担，现就企业所得税年度纳税申报有关事项公告如下：</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一、对《中华人民共和国企业所得税年度纳税申报表(A类，2017年版)》部分表单和填报说明进行修订，具体如下：对《资产折旧、摊销及纳税调整明细表》(A105080)、《企业重组及递延纳税事项纳税调整明细表》(A105100)、《免税、减计收入及加计扣除优惠明细表》(A107010)、《研发费用加计扣除优惠明细表》(A107012)、《减免所得税优惠明细表》(A107040)的表单样式及填报说明进行修订;对《纳税调整项目明细表》(A105000)的填报说明进行修订。</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二、企业搬迁完成当年，向主管税务机关报送企业所得税年度纳税申报表时，不再报送《企业政策性搬迁清算损益表》。</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三、本公告适用于2022年度及以后年度企业所得税汇算清缴申报。《国家税务总局关于发布 〈中华人民共和国企业所得税年度纳税申报表(A类，2017年版)〉的公告》 (2017年第54号)、《国家税务总局关于修订〈中华人民共和国企业所得税年度纳税申报表(A类，2017年版)〉部分表单样式及填报说明的公告》(2018年第57号)、《国家税务总局关于修订企业所得税年度纳税申报表的公告》(2020年第24号)、《国家税务总局关于企业所得税年度汇算清缴有关事项的公告》(2021年第34号)中的上述表单和填报说明同时废止。《国家税务总局关于发布〈企业政策性搬迁所得税管理办法〉的公告》(2012年第40号)第二十五条关于“应同时报送《企业政策性搬迁清算损益表》(表样附后)”的规定和附件《企业政策性搬迁清算损益表》同时废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特此公告。</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附件：《中华人民共和国企业所得税年度纳税申报表（A类， 2017年版）》部分表单及填报说明（202</w:t>
      </w:r>
      <w:r>
        <w:rPr>
          <w:rFonts w:hint="eastAsia" w:ascii="仿宋" w:hAnsi="仿宋" w:eastAsia="仿宋"/>
          <w:lang w:val="en-US" w:eastAsia="zh-CN"/>
        </w:rPr>
        <w:t>2</w:t>
      </w:r>
      <w:r>
        <w:rPr>
          <w:rFonts w:hint="eastAsia" w:ascii="仿宋" w:hAnsi="仿宋" w:eastAsia="仿宋"/>
        </w:rPr>
        <w:t>年修订）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国家税务总局</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202</w:t>
      </w:r>
      <w:r>
        <w:rPr>
          <w:rFonts w:hint="eastAsia" w:ascii="仿宋" w:hAnsi="仿宋" w:eastAsia="仿宋"/>
          <w:lang w:val="en-US" w:eastAsia="zh-CN"/>
        </w:rPr>
        <w:t>2</w:t>
      </w:r>
      <w:r>
        <w:rPr>
          <w:rFonts w:hint="eastAsia" w:ascii="仿宋" w:hAnsi="仿宋" w:eastAsia="仿宋"/>
        </w:rPr>
        <w:t>年12月3</w:t>
      </w:r>
      <w:r>
        <w:rPr>
          <w:rFonts w:hint="eastAsia" w:ascii="仿宋" w:hAnsi="仿宋" w:eastAsia="仿宋"/>
          <w:lang w:val="en-US" w:eastAsia="zh-CN"/>
        </w:rPr>
        <w:t>0</w:t>
      </w:r>
      <w:r>
        <w:rPr>
          <w:rFonts w:hint="eastAsia" w:ascii="仿宋" w:hAnsi="仿宋" w:eastAsia="仿宋"/>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br w:type="page"/>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关于《国家税务总局关于企业所得税年度纳税申报有关事项的公告》的解读</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91"/>
          <w:rFonts w:hint="eastAsia" w:ascii="楷体" w:hAnsi="楷体" w:eastAsia="楷体"/>
          <w:shd w:val="clear" w:color="auto" w:fill="FFFFFF"/>
        </w:rPr>
      </w:pPr>
      <w:r>
        <w:rPr>
          <w:rStyle w:val="91"/>
          <w:rFonts w:hint="eastAsia" w:ascii="楷体" w:hAnsi="楷体" w:eastAsia="楷体"/>
          <w:shd w:val="clear" w:color="auto" w:fill="FFFFFF"/>
        </w:rPr>
        <w:t>202</w:t>
      </w:r>
      <w:r>
        <w:rPr>
          <w:rStyle w:val="91"/>
          <w:rFonts w:hint="eastAsia" w:ascii="楷体" w:hAnsi="楷体" w:eastAsia="楷体"/>
          <w:shd w:val="clear" w:color="auto" w:fill="FFFFFF"/>
          <w:lang w:val="en-US" w:eastAsia="zh-CN"/>
        </w:rPr>
        <w:t>3</w:t>
      </w:r>
      <w:r>
        <w:rPr>
          <w:rStyle w:val="91"/>
          <w:rFonts w:hint="eastAsia" w:ascii="楷体" w:hAnsi="楷体" w:eastAsia="楷体"/>
          <w:shd w:val="clear" w:color="auto" w:fill="FFFFFF"/>
        </w:rPr>
        <w:t>年</w:t>
      </w:r>
      <w:r>
        <w:rPr>
          <w:rStyle w:val="91"/>
          <w:rFonts w:hint="eastAsia" w:ascii="楷体" w:hAnsi="楷体" w:eastAsia="楷体"/>
          <w:shd w:val="clear" w:color="auto" w:fill="FFFFFF"/>
          <w:lang w:val="en-US" w:eastAsia="zh-CN"/>
        </w:rPr>
        <w:t>1</w:t>
      </w:r>
      <w:r>
        <w:rPr>
          <w:rStyle w:val="91"/>
          <w:rFonts w:hint="eastAsia" w:ascii="楷体" w:hAnsi="楷体" w:eastAsia="楷体"/>
          <w:shd w:val="clear" w:color="auto" w:fill="FFFFFF"/>
        </w:rPr>
        <w:t>月</w:t>
      </w:r>
      <w:r>
        <w:rPr>
          <w:rStyle w:val="91"/>
          <w:rFonts w:hint="eastAsia" w:ascii="楷体" w:hAnsi="楷体" w:eastAsia="楷体"/>
          <w:shd w:val="clear" w:color="auto" w:fill="FFFFFF"/>
          <w:lang w:val="en-US" w:eastAsia="zh-CN"/>
        </w:rPr>
        <w:t>13</w:t>
      </w:r>
      <w:r>
        <w:rPr>
          <w:rStyle w:val="91"/>
          <w:rFonts w:hint="eastAsia" w:ascii="楷体" w:hAnsi="楷体" w:eastAsia="楷体"/>
          <w:shd w:val="clear" w:color="auto" w:fill="FFFFFF"/>
        </w:rPr>
        <w:t>日 来源：国家税务总局办公厅</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为贯彻落实《中华人民共和国企业所得税法》及有关税收政策，进一步精简办税资料，减轻办税负担，税务总局发布《国家税务总局关于企业所得税年度纳税申报有关事项的公告》（以下简称《公告》）。现解读如下：</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一、有关背景</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2022年以来，财政部联合我局及相关部门出台了支持小型微利企业发展、激励企业加大研发投入、推动企业创新发展等多项企业所得税优惠政策。主要如下：</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（一）支持小型微利企业发展</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税务总局关于进一步实施小微企业所得税优惠政策的公告》（2022年第13号），延续小型微利企业判定标准，并对年应纳税所得额100-300万元的部分，再减半征收企业所得税。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（二）激励企业加大研发投入</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一是发布《财政部 税务总局 科技部关于进一步提高科技型中小企业研发费用税前加计扣除比例的公告》（2022年第16号），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二是发布《财政部 税务总局 科技部关于加大支持科技创新税前扣除力度的公告》（2022年第28号），现行适用研发费用税前加计扣除比例75%的企业，在2022年10月1日至2022年12月31日期间，税前加计扣除比例提高至100%。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（三）促进中小微企业和高新技术企业设备更新和技术升级</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一是发布《财政部 税务总局关于中小微企业设备器具所得税税前扣除有关政策的公告》（2022年第12号），中小微企业在2022年1月1日至2022年12月31日期间新购置的设备、器具，单位价值在500万元以上的，按照单位价值的一定比例自愿选择在企业所得税税前扣除。二是发布《财政部 税务总局 科技部关于加大支持科技创新税前扣除力度的公告》（2022年第28号），高新技术企业在2022年10月1日至2022年12月31日期间新购置的设备、器具，允许当年一次性全额在计算应纳税所得额时扣除，并允许在税前实行100%加计扣除。</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（四）支持我国基础研究发展</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企业投入基础研究税收优惠政策的公告》（2022年第32号），对企业出资给非营利性科研机构、高等学校和政府性自然科学基金用于基础研究的支出，在计算应纳税所得额时可按实际发生额在税前扣除，并可按100%在税前加计扣除。对非营利性科研机构、高等学校接收企业、个人和其他组织机构基础研究资金收入，免征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（五）支持广州南沙深化粤港澳全面合作</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税务总局关于广州南沙企业所得税优惠政策的通知》（财税〔2022〕40号），对设在南沙先行启动区的符合条件的企业减按15%的税率征收企业所得税。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（六）支持基础设施领域不动产投资信托基金试点</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税务总局关于基础设施领域不动产投资信托基金（REITs）试点税收政策的公告》（2022年第3号），区分设立基础设施REITs前和基础设施REITs设立阶段，明确企业所得税试点政策。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二、企业所得税年度纳税申报表主要修订内容</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（一）《资产折旧、摊销及纳税调整明细表》（A105080）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税务总局关于中小微企业设备器具所得税税前扣除有关政策的公告》（2022年第12号）、《财政部 税务总局 科技部关于加大支持科技创新税前扣除力度的公告》（2022年第28号），新增“高新技术企业2022年第四季度(10月-12月）购置单价500万元以下设备器具一次性扣除”“高新技术企业2022年第四季度（10月-12月）购置单价500万元以上设备器具一次性扣除”“中小微企业购置单价500万元以上设备器具”等事项，供中小微企业、高新技术企业填报设备器具扣除相关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（二）《企业重组及递延纳税事项纳税调整明细表》（A105100）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基础设施领域不动产投资信托基金（REITs）试点税收政策的公告》（2022年第3号），在《企业重组及递延纳税事项纳税调整明细表》（A105100）中增加“基础设施领域不动产投资信托基金”部分，供纳税人填报基础设施领域不动产投资信托基金试点税收政策有关情况。同时，调整《企业重组及递延纳税事项纳税调整明细表》（A105100）与上级表单《纳税调整项目明细表》（A105000）的表间关系。</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（三）《免税、减计收入及加计扣除优惠明细表》（A107010）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一是根据《财政部 税务总局关于企业投入基础研究税收优惠政策的公告》（2022年第32号），增加第16.1行“取得的基础研究资金收入免征企业所得税”和第30.1行“企业投入基础研究支出加计扣除”，供纳税人填报企业投入基础研究税收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二是根据《财政部 税务总局 科技部关于加大支持科技创新税前扣除力度的公告》（2022年第28号），将第28行中的“加计扣除比例____%”调整为“加计扣除比例及计算方法：____”，并相应增加创意设计活动加计扣除比例及计算方法代码表，供纳税人根据相关政策选择填报适用的加计扣除比例和计算方法；增加第28.1行“第四季度相关费用加计扣除”和第28.2行“前三季度相关费用加计扣除”，供纳税人填报2022年第四季度和前三季度创意设计活动相关费用加计扣除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三是根据《财政部 税务总局 科技部关于加大支持科技创新税前扣除力度的公告》（2022年第28号），增加第30.2行“高新技术企业设备器具加计扣除”，供高新技术企业填报2022年第四季度（10月-12月）新购置设备器具加计扣除金额。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（四）《研发费用加计扣除优惠明细表》（A107012）</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 科技部关于加大支持科技创新税前扣除力度的公告》（2022年第28号），将第50行“加计扣除比例”调整为“加计扣除比例及计算方法”，并相应增加研发费用加计扣除比例及计算方法代码表，供纳税人根据相关政策选择填报适用的加计扣除比例和计算方法；增加第L1行“本年允许加计扣除的研发费用总额”、第L1.1行“第四季度允许加计扣除的研发费用金额”、第L1.2行“前三季度允许加计扣除的研发费用金额”，供纳税人填报2022年第四季度和前三季度研发费用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（五）《研发费用加计扣除优惠明细表》（A107012）</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根据《国家税务总局关于进一步落实研发费用加计扣除政策有关问题的公告》（2021年第28号），一是调整“其他相关费用”限额计算公式；二是依照辅助账设立的不同样式，调整表内行次计算规则。</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（六）《减免所得税优惠明细表》（A107040）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税务总局关于横琴粤澳深度合作区企业所得税优惠政策的通知》（财税〔2022〕19号）、《财政部 税务总局关于广州南沙企业所得税优惠政策的通知》（财税〔2022〕40号）等规定，在第24行下增加明细行次，对区域性优惠政策进一步细分，供纳税人分别填报横琴粤澳深度合作区、平潭综合实验区、前海深港现代服务业合作区、南沙先行启动区相关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三、企业政策性搬迁事项附报资料的处理</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为精简办税资料，减轻企业办税负担，发生政策性搬迁事宜的企业在搬迁完成当年，向主管税务机关报送企业所得税年度纳税申报表时，不再填写和报送《企业政策性搬迁清算损益表》。</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lang w:eastAsia="zh-CN"/>
        </w:rPr>
        <w:t>四</w:t>
      </w:r>
      <w:r>
        <w:rPr>
          <w:rFonts w:hint="eastAsia" w:ascii="仿宋" w:hAnsi="仿宋" w:eastAsia="仿宋"/>
          <w:b/>
          <w:bCs/>
        </w:rPr>
        <w:t>、实施时间</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公告》适用于2022年度及以后年度企业所得税汇算清缴。今后如出台新政策，按照新政策相关规定填报企业所得税年度纳税申报表。以前年度企业所得税纳税申报表相关规则与本《公告》不一致的，不追溯调整。纳税人调整以前年度涉税事项的，按照相应年度的企业所得税纳税申报表相关规则调整。</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rPr>
        <w:sectPr>
          <w:footerReference r:id="rId4" w:type="default"/>
          <w:footerReference r:id="rId5" w:type="even"/>
          <w:pgSz w:w="11906" w:h="16838"/>
          <w:pgMar w:top="1985" w:right="1418" w:bottom="1928" w:left="1418" w:header="851" w:footer="992" w:gutter="113"/>
          <w:pgNumType w:fmt="decimal" w:start="1"/>
          <w:cols w:space="720" w:num="1"/>
          <w:titlePg/>
          <w:docGrid w:linePitch="312" w:charSpace="0"/>
        </w:sectPr>
      </w:pPr>
    </w:p>
    <w:p>
      <w:pPr>
        <w:pStyle w:val="88"/>
        <w:spacing w:before="240" w:after="360"/>
        <w:rPr>
          <w:rFonts w:ascii="黑体" w:hAnsi="黑体" w:eastAsia="黑体"/>
        </w:rPr>
      </w:pPr>
      <w:bookmarkStart w:id="0" w:name="_Toc2006"/>
      <w:bookmarkStart w:id="1" w:name="_Toc499456548"/>
      <w:bookmarkStart w:id="2" w:name="_Toc499188429"/>
      <w:bookmarkStart w:id="3" w:name="_Toc499211477"/>
      <w:bookmarkStart w:id="4" w:name="_Toc30831"/>
      <w:bookmarkStart w:id="5" w:name="_Toc60824531"/>
      <w:r>
        <w:rPr>
          <w:rFonts w:hint="eastAsia" w:ascii="黑体" w:hAnsi="黑体" w:eastAsia="黑体"/>
        </w:rPr>
        <w:t>目    录</w:t>
      </w:r>
      <w:bookmarkEnd w:id="0"/>
      <w:bookmarkEnd w:id="1"/>
      <w:bookmarkEnd w:id="2"/>
      <w:bookmarkEnd w:id="3"/>
      <w:bookmarkEnd w:id="4"/>
      <w:bookmarkEnd w:id="5"/>
    </w:p>
    <w:p>
      <w:pPr>
        <w:pStyle w:val="17"/>
        <w:tabs>
          <w:tab w:val="right" w:leader="dot" w:pos="8957"/>
        </w:tabs>
      </w:pPr>
      <w:r>
        <w:rPr>
          <w:rFonts w:hint="eastAsia" w:ascii="宋体" w:hAnsi="宋体" w:cs="宋体"/>
          <w:b w:val="0"/>
          <w:bCs w:val="0"/>
          <w:caps w:val="0"/>
          <w:sz w:val="24"/>
          <w:szCs w:val="24"/>
          <w:lang w:val="en-US" w:eastAsia="zh-CN"/>
        </w:rPr>
        <w:fldChar w:fldCharType="begin"/>
      </w:r>
      <w:r>
        <w:rPr>
          <w:rFonts w:hint="eastAsia" w:ascii="宋体" w:hAnsi="宋体" w:cs="宋体"/>
          <w:b w:val="0"/>
          <w:bCs w:val="0"/>
          <w:caps w:val="0"/>
          <w:sz w:val="24"/>
          <w:szCs w:val="24"/>
          <w:lang w:val="en-US" w:eastAsia="zh-CN"/>
        </w:rPr>
        <w:instrText xml:space="preserve"> TOC \o "1-1" \h \z \u </w:instrText>
      </w:r>
      <w:r>
        <w:rPr>
          <w:rFonts w:hint="eastAsia" w:ascii="宋体" w:hAnsi="宋体" w:cs="宋体"/>
          <w:b w:val="0"/>
          <w:bCs w:val="0"/>
          <w:caps w:val="0"/>
          <w:sz w:val="24"/>
          <w:szCs w:val="24"/>
          <w:lang w:val="en-US" w:eastAsia="zh-CN"/>
        </w:rPr>
        <w:fldChar w:fldCharType="separate"/>
      </w: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_Toc8190 </w:instrText>
      </w:r>
      <w:r>
        <w:rPr>
          <w:rFonts w:hint="eastAsia" w:ascii="宋体" w:hAnsi="宋体" w:cs="宋体"/>
          <w:bCs/>
          <w:caps/>
          <w:lang w:val="en-US" w:eastAsia="zh-CN"/>
        </w:rPr>
        <w:fldChar w:fldCharType="separate"/>
      </w:r>
      <w:r>
        <w:rPr>
          <w:rFonts w:hint="eastAsia" w:ascii="宋体" w:hAnsi="宋体" w:eastAsia="宋体" w:cs="宋体"/>
          <w:kern w:val="44"/>
          <w:szCs w:val="36"/>
        </w:rPr>
        <w:t>中华人民共和国企业所得税年度纳税申报表</w:t>
      </w:r>
      <w:r>
        <w:rPr>
          <w:rFonts w:hint="eastAsia" w:ascii="宋体" w:hAnsi="宋体" w:eastAsia="宋体" w:cs="宋体"/>
          <w:kern w:val="44"/>
          <w:szCs w:val="2"/>
        </w:rPr>
        <w:t>封面</w:t>
      </w:r>
      <w:r>
        <w:tab/>
      </w:r>
      <w:r>
        <w:fldChar w:fldCharType="begin"/>
      </w:r>
      <w:r>
        <w:instrText xml:space="preserve"> PAGEREF _Toc8190 \h </w:instrText>
      </w:r>
      <w:r>
        <w:fldChar w:fldCharType="separate"/>
      </w:r>
      <w:r>
        <w:t>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_Toc20520 </w:instrText>
      </w:r>
      <w:r>
        <w:rPr>
          <w:rFonts w:hint="eastAsia" w:ascii="宋体" w:hAnsi="宋体" w:cs="宋体"/>
          <w:bCs/>
          <w:caps/>
          <w:lang w:val="en-US" w:eastAsia="zh-CN"/>
        </w:rPr>
        <w:fldChar w:fldCharType="separate"/>
      </w:r>
      <w:r>
        <w:rPr>
          <w:rFonts w:hint="eastAsia" w:ascii="宋体" w:hAnsi="宋体" w:cs="方正小标宋简体"/>
          <w:kern w:val="44"/>
          <w:szCs w:val="28"/>
        </w:rPr>
        <w:t>《中华人民共和国企业所得税年度纳税申报表（</w:t>
      </w:r>
      <w:r>
        <w:rPr>
          <w:rFonts w:ascii="宋体" w:hAnsi="宋体" w:cs="方正小标宋简体"/>
          <w:kern w:val="44"/>
          <w:szCs w:val="28"/>
        </w:rPr>
        <w:t>A</w:t>
      </w:r>
      <w:r>
        <w:rPr>
          <w:rFonts w:hint="eastAsia" w:ascii="宋体" w:hAnsi="宋体" w:cs="方正小标宋简体"/>
          <w:kern w:val="44"/>
          <w:szCs w:val="28"/>
        </w:rPr>
        <w:t>类，</w:t>
      </w:r>
      <w:r>
        <w:rPr>
          <w:rFonts w:ascii="宋体" w:hAnsi="宋体" w:cs="方正小标宋简体"/>
          <w:kern w:val="44"/>
          <w:szCs w:val="28"/>
        </w:rPr>
        <w:t>2017</w:t>
      </w:r>
      <w:r>
        <w:rPr>
          <w:rFonts w:hint="eastAsia" w:ascii="宋体" w:hAnsi="宋体" w:cs="方正小标宋简体"/>
          <w:kern w:val="44"/>
          <w:szCs w:val="28"/>
        </w:rPr>
        <w:t>年版）》封面填报说明</w:t>
      </w:r>
      <w:r>
        <w:tab/>
      </w:r>
      <w:r>
        <w:fldChar w:fldCharType="begin"/>
      </w:r>
      <w:r>
        <w:instrText xml:space="preserve"> PAGEREF _Toc20520 \h </w:instrText>
      </w:r>
      <w:r>
        <w:fldChar w:fldCharType="separate"/>
      </w:r>
      <w:r>
        <w:t>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_Toc340 </w:instrText>
      </w:r>
      <w:r>
        <w:rPr>
          <w:rFonts w:hint="eastAsia" w:ascii="宋体" w:hAnsi="宋体" w:cs="宋体"/>
          <w:bCs/>
          <w:caps/>
          <w:lang w:val="en-US" w:eastAsia="zh-CN"/>
        </w:rPr>
        <w:fldChar w:fldCharType="separate"/>
      </w:r>
      <w:r>
        <w:rPr>
          <w:rFonts w:hint="eastAsia"/>
        </w:rPr>
        <w:t>企业所得税年度纳税申报表填报表单</w:t>
      </w:r>
      <w:r>
        <w:tab/>
      </w:r>
      <w:r>
        <w:fldChar w:fldCharType="begin"/>
      </w:r>
      <w:r>
        <w:instrText xml:space="preserve"> PAGEREF _Toc340 \h </w:instrText>
      </w:r>
      <w:r>
        <w:fldChar w:fldCharType="separate"/>
      </w:r>
      <w:r>
        <w:t>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_Toc17992 </w:instrText>
      </w:r>
      <w:r>
        <w:rPr>
          <w:rFonts w:hint="eastAsia" w:ascii="宋体" w:hAnsi="宋体" w:cs="宋体"/>
          <w:bCs/>
          <w:caps/>
          <w:lang w:val="en-US" w:eastAsia="zh-CN"/>
        </w:rPr>
        <w:fldChar w:fldCharType="separate"/>
      </w:r>
      <w:r>
        <w:rPr>
          <w:rFonts w:hint="eastAsia"/>
        </w:rPr>
        <w:t>《企业所得税年度纳税申报表填报表单》填报说明</w:t>
      </w:r>
      <w:r>
        <w:tab/>
      </w:r>
      <w:r>
        <w:fldChar w:fldCharType="begin"/>
      </w:r>
      <w:r>
        <w:instrText xml:space="preserve"> PAGEREF _Toc17992 \h </w:instrText>
      </w:r>
      <w:r>
        <w:fldChar w:fldCharType="separate"/>
      </w:r>
      <w:r>
        <w:t>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_Toc21945 </w:instrText>
      </w:r>
      <w:r>
        <w:rPr>
          <w:rFonts w:hint="eastAsia" w:ascii="宋体" w:hAnsi="宋体" w:cs="宋体"/>
          <w:bCs/>
          <w:caps/>
          <w:lang w:val="en-US" w:eastAsia="zh-CN"/>
        </w:rPr>
        <w:fldChar w:fldCharType="separate"/>
      </w:r>
      <w:r>
        <w:t>A000000</w:t>
      </w:r>
      <w:r>
        <w:tab/>
      </w:r>
      <w:r>
        <w:rPr>
          <w:rFonts w:hint="eastAsia"/>
          <w:lang w:val="en-US" w:eastAsia="zh-CN"/>
        </w:rPr>
        <w:t xml:space="preserve">    </w:t>
      </w:r>
      <w:r>
        <w:t>企业所得税年度纳税申报基础信息表</w:t>
      </w:r>
      <w:r>
        <w:tab/>
      </w:r>
      <w:r>
        <w:fldChar w:fldCharType="begin"/>
      </w:r>
      <w:r>
        <w:instrText xml:space="preserve"> PAGEREF _Toc21945 \h </w:instrText>
      </w:r>
      <w:r>
        <w:fldChar w:fldCharType="separate"/>
      </w:r>
      <w:r>
        <w:t>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_Toc5483 </w:instrText>
      </w:r>
      <w:r>
        <w:rPr>
          <w:rFonts w:hint="eastAsia" w:ascii="宋体" w:hAnsi="宋体" w:cs="宋体"/>
          <w:bCs/>
          <w:caps/>
          <w:lang w:val="en-US" w:eastAsia="zh-CN"/>
        </w:rPr>
        <w:fldChar w:fldCharType="separate"/>
      </w:r>
      <w:r>
        <w:rPr>
          <w:rFonts w:hint="eastAsia" w:ascii="宋体" w:hAnsi="宋体" w:eastAsia="宋体" w:cs="宋体"/>
        </w:rPr>
        <w:t>A000000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《企业所得税年度纳税申报基础信息表》填报说明</w:t>
      </w:r>
      <w:r>
        <w:tab/>
      </w:r>
      <w:r>
        <w:fldChar w:fldCharType="begin"/>
      </w:r>
      <w:r>
        <w:instrText xml:space="preserve"> PAGEREF _Toc5483 \h </w:instrText>
      </w:r>
      <w:r>
        <w:fldChar w:fldCharType="separate"/>
      </w:r>
      <w:r>
        <w:t>10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_Toc12655 </w:instrText>
      </w:r>
      <w:r>
        <w:rPr>
          <w:rFonts w:hint="eastAsia" w:ascii="宋体" w:hAnsi="宋体" w:cs="宋体"/>
          <w:bCs/>
          <w:caps/>
          <w:lang w:val="en-US" w:eastAsia="zh-CN"/>
        </w:rPr>
        <w:fldChar w:fldCharType="separate"/>
      </w:r>
      <w:r>
        <w:t>A100000</w:t>
      </w:r>
      <w:r>
        <w:tab/>
      </w:r>
      <w:r>
        <w:rPr>
          <w:rFonts w:hint="eastAsia"/>
        </w:rPr>
        <w:t xml:space="preserve">  </w:t>
      </w:r>
      <w:r>
        <w:rPr>
          <w:rFonts w:hint="eastAsia"/>
          <w:lang w:val="en-US" w:eastAsia="zh-CN"/>
        </w:rPr>
        <w:t xml:space="preserve">  </w:t>
      </w:r>
      <w:r>
        <w:rPr>
          <w:rFonts w:hint="eastAsia"/>
        </w:rPr>
        <w:t>中华人民共和国企业所得税年度纳税申报表（A类）</w:t>
      </w:r>
      <w:r>
        <w:tab/>
      </w:r>
      <w:r>
        <w:fldChar w:fldCharType="begin"/>
      </w:r>
      <w:r>
        <w:instrText xml:space="preserve"> PAGEREF _Toc12655 \h </w:instrText>
      </w:r>
      <w:r>
        <w:fldChar w:fldCharType="separate"/>
      </w:r>
      <w:r>
        <w:t>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_Toc7304 </w:instrText>
      </w:r>
      <w:r>
        <w:rPr>
          <w:rFonts w:hint="eastAsia" w:ascii="宋体" w:hAnsi="宋体" w:cs="宋体"/>
          <w:bCs/>
          <w:caps/>
          <w:lang w:val="en-US" w:eastAsia="zh-CN"/>
        </w:rPr>
        <w:fldChar w:fldCharType="separate"/>
      </w:r>
      <w:r>
        <w:rPr>
          <w:rFonts w:hint="eastAsia"/>
        </w:rPr>
        <w:t>A100000</w:t>
      </w:r>
      <w:r>
        <w:rPr>
          <w:rFonts w:hint="eastAsia"/>
        </w:rPr>
        <w:tab/>
      </w:r>
      <w:r>
        <w:rPr>
          <w:rFonts w:hint="eastAsia"/>
          <w:lang w:val="en-US" w:eastAsia="zh-CN"/>
        </w:rPr>
        <w:t xml:space="preserve">   </w:t>
      </w:r>
      <w:r>
        <w:rPr>
          <w:rFonts w:hint="eastAsia"/>
        </w:rPr>
        <w:t>《中华人民共和国企业所得税年度纳税申报表（A类）》 填报说明</w:t>
      </w:r>
      <w:r>
        <w:tab/>
      </w:r>
      <w:r>
        <w:fldChar w:fldCharType="begin"/>
      </w:r>
      <w:r>
        <w:instrText xml:space="preserve"> PAGEREF _Toc7304 \h </w:instrText>
      </w:r>
      <w:r>
        <w:fldChar w:fldCharType="separate"/>
      </w:r>
      <w:r>
        <w:t>22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_Toc27778 </w:instrText>
      </w:r>
      <w:r>
        <w:rPr>
          <w:rFonts w:hint="eastAsia" w:ascii="宋体" w:hAnsi="宋体" w:cs="宋体"/>
          <w:bCs/>
          <w:caps/>
          <w:lang w:val="en-US" w:eastAsia="zh-CN"/>
        </w:rPr>
        <w:fldChar w:fldCharType="separate"/>
      </w:r>
      <w:r>
        <w:rPr>
          <w:rFonts w:hint="eastAsia"/>
        </w:rPr>
        <w:t>A101010</w:t>
      </w:r>
      <w:r>
        <w:tab/>
      </w:r>
      <w:r>
        <w:rPr>
          <w:rFonts w:hint="eastAsia"/>
          <w:lang w:val="en-US" w:eastAsia="zh-CN"/>
        </w:rPr>
        <w:t xml:space="preserve">    </w:t>
      </w:r>
      <w:r>
        <w:rPr>
          <w:rFonts w:hint="eastAsia"/>
        </w:rPr>
        <w:t>一般企业收入明细表</w:t>
      </w:r>
      <w:r>
        <w:tab/>
      </w:r>
      <w:r>
        <w:fldChar w:fldCharType="begin"/>
      </w:r>
      <w:r>
        <w:instrText xml:space="preserve"> PAGEREF _Toc27778 \h </w:instrText>
      </w:r>
      <w:r>
        <w:fldChar w:fldCharType="separate"/>
      </w:r>
      <w:r>
        <w:t>31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_Toc7351 </w:instrText>
      </w:r>
      <w:r>
        <w:rPr>
          <w:rFonts w:hint="eastAsia" w:ascii="宋体" w:hAnsi="宋体" w:cs="宋体"/>
          <w:bCs/>
          <w:caps/>
          <w:lang w:val="en-US" w:eastAsia="zh-CN"/>
        </w:rPr>
        <w:fldChar w:fldCharType="separate"/>
      </w:r>
      <w:r>
        <w:rPr>
          <w:rFonts w:ascii="宋体" w:eastAsia="宋体"/>
        </w:rPr>
        <w:t>A10101</w:t>
      </w:r>
      <w:r>
        <w:rPr>
          <w:rFonts w:hint="eastAsia" w:ascii="宋体" w:eastAsia="宋体"/>
        </w:rPr>
        <w:t>0</w:t>
      </w:r>
      <w:r>
        <w:rPr>
          <w:rFonts w:hint="eastAsia"/>
          <w:lang w:val="en-US" w:eastAsia="zh-CN"/>
        </w:rPr>
        <w:t xml:space="preserve">   </w:t>
      </w:r>
      <w:r>
        <w:rPr>
          <w:rFonts w:hint="eastAsia" w:ascii="宋体" w:eastAsia="宋体"/>
        </w:rPr>
        <w:t>《一般企业收入明细表》填报说明</w:t>
      </w:r>
      <w:r>
        <w:tab/>
      </w:r>
      <w:r>
        <w:fldChar w:fldCharType="begin"/>
      </w:r>
      <w:r>
        <w:instrText xml:space="preserve"> PAGEREF _Toc7351 \h </w:instrText>
      </w:r>
      <w:r>
        <w:fldChar w:fldCharType="separate"/>
      </w:r>
      <w:r>
        <w:t>32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_Toc28639 </w:instrText>
      </w:r>
      <w:r>
        <w:rPr>
          <w:rFonts w:hint="eastAsia" w:ascii="宋体" w:hAnsi="宋体" w:cs="宋体"/>
          <w:bCs/>
          <w:caps/>
          <w:lang w:val="en-US" w:eastAsia="zh-CN"/>
        </w:rPr>
        <w:fldChar w:fldCharType="separate"/>
      </w:r>
      <w:r>
        <w:rPr>
          <w:rFonts w:hint="eastAsia"/>
        </w:rPr>
        <w:t>A101020</w:t>
      </w:r>
      <w:r>
        <w:tab/>
      </w:r>
      <w:r>
        <w:rPr>
          <w:rFonts w:hint="eastAsia"/>
          <w:lang w:val="en-US" w:eastAsia="zh-CN"/>
        </w:rPr>
        <w:t xml:space="preserve">    </w:t>
      </w:r>
      <w:r>
        <w:rPr>
          <w:rFonts w:hint="eastAsia"/>
        </w:rPr>
        <w:t>金融企业收入明细表</w:t>
      </w:r>
      <w:r>
        <w:tab/>
      </w:r>
      <w:r>
        <w:fldChar w:fldCharType="begin"/>
      </w:r>
      <w:r>
        <w:instrText xml:space="preserve"> PAGEREF _Toc28639 \h </w:instrText>
      </w:r>
      <w:r>
        <w:fldChar w:fldCharType="separate"/>
      </w:r>
      <w:r>
        <w:t>35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_Toc16004 </w:instrText>
      </w:r>
      <w:r>
        <w:rPr>
          <w:rFonts w:hint="eastAsia" w:ascii="宋体" w:hAnsi="宋体" w:cs="宋体"/>
          <w:bCs/>
          <w:caps/>
          <w:lang w:val="en-US" w:eastAsia="zh-CN"/>
        </w:rPr>
        <w:fldChar w:fldCharType="separate"/>
      </w:r>
      <w:r>
        <w:rPr>
          <w:rFonts w:hint="eastAsia" w:ascii="宋体" w:eastAsia="宋体"/>
        </w:rPr>
        <w:t>A101020</w:t>
      </w:r>
      <w:r>
        <w:rPr>
          <w:rFonts w:hint="eastAsia"/>
          <w:lang w:val="en-US" w:eastAsia="zh-CN"/>
        </w:rPr>
        <w:t xml:space="preserve">   </w:t>
      </w:r>
      <w:r>
        <w:rPr>
          <w:rFonts w:hint="eastAsia" w:ascii="宋体" w:eastAsia="宋体"/>
        </w:rPr>
        <w:t>《金融企业收入明细表》填报说明</w:t>
      </w:r>
      <w:r>
        <w:tab/>
      </w:r>
      <w:r>
        <w:fldChar w:fldCharType="begin"/>
      </w:r>
      <w:r>
        <w:instrText xml:space="preserve"> PAGEREF _Toc16004 \h </w:instrText>
      </w:r>
      <w:r>
        <w:fldChar w:fldCharType="separate"/>
      </w:r>
      <w:r>
        <w:t>36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_Toc24556 </w:instrText>
      </w:r>
      <w:r>
        <w:rPr>
          <w:rFonts w:hint="eastAsia" w:ascii="宋体" w:hAnsi="宋体" w:cs="宋体"/>
          <w:bCs/>
          <w:caps/>
          <w:lang w:val="en-US" w:eastAsia="zh-CN"/>
        </w:rPr>
        <w:fldChar w:fldCharType="separate"/>
      </w:r>
      <w:r>
        <w:rPr>
          <w:rFonts w:hint="eastAsia"/>
        </w:rPr>
        <w:t>A102010</w:t>
      </w:r>
      <w:r>
        <w:tab/>
      </w:r>
      <w:r>
        <w:rPr>
          <w:rFonts w:hint="eastAsia"/>
          <w:lang w:val="en-US" w:eastAsia="zh-CN"/>
        </w:rPr>
        <w:t xml:space="preserve">    </w:t>
      </w:r>
      <w:r>
        <w:rPr>
          <w:rFonts w:hint="eastAsia"/>
        </w:rPr>
        <w:t>一般企业成本支出明细表</w:t>
      </w:r>
      <w:r>
        <w:tab/>
      </w:r>
      <w:r>
        <w:fldChar w:fldCharType="begin"/>
      </w:r>
      <w:r>
        <w:instrText xml:space="preserve"> PAGEREF _Toc24556 \h </w:instrText>
      </w:r>
      <w:r>
        <w:fldChar w:fldCharType="separate"/>
      </w:r>
      <w:r>
        <w:t>39</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_Toc25247 </w:instrText>
      </w:r>
      <w:r>
        <w:rPr>
          <w:rFonts w:hint="eastAsia" w:ascii="宋体" w:hAnsi="宋体" w:cs="宋体"/>
          <w:bCs/>
          <w:caps/>
          <w:lang w:val="en-US" w:eastAsia="zh-CN"/>
        </w:rPr>
        <w:fldChar w:fldCharType="separate"/>
      </w:r>
      <w:r>
        <w:rPr>
          <w:rFonts w:hint="eastAsia"/>
        </w:rPr>
        <w:t>A102010</w:t>
      </w:r>
      <w:r>
        <w:rPr>
          <w:rFonts w:hint="eastAsia"/>
          <w:lang w:val="en-US" w:eastAsia="zh-CN"/>
        </w:rPr>
        <w:t xml:space="preserve">   </w:t>
      </w:r>
      <w:r>
        <w:rPr>
          <w:rFonts w:hint="eastAsia"/>
        </w:rPr>
        <w:t>《一般企业成本支出明细表》填报说明</w:t>
      </w:r>
      <w:r>
        <w:tab/>
      </w:r>
      <w:r>
        <w:fldChar w:fldCharType="begin"/>
      </w:r>
      <w:r>
        <w:instrText xml:space="preserve"> PAGEREF _Toc25247 \h </w:instrText>
      </w:r>
      <w:r>
        <w:fldChar w:fldCharType="separate"/>
      </w:r>
      <w:r>
        <w:t>40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_Toc14579 </w:instrText>
      </w:r>
      <w:r>
        <w:rPr>
          <w:rFonts w:hint="eastAsia" w:ascii="宋体" w:hAnsi="宋体" w:cs="宋体"/>
          <w:bCs/>
          <w:caps/>
          <w:lang w:val="en-US" w:eastAsia="zh-CN"/>
        </w:rPr>
        <w:fldChar w:fldCharType="separate"/>
      </w:r>
      <w:r>
        <w:rPr>
          <w:rFonts w:hint="eastAsia"/>
        </w:rPr>
        <w:t>A102020</w:t>
      </w:r>
      <w:r>
        <w:tab/>
      </w:r>
      <w:r>
        <w:rPr>
          <w:rFonts w:hint="eastAsia"/>
          <w:lang w:val="en-US" w:eastAsia="zh-CN"/>
        </w:rPr>
        <w:t xml:space="preserve">    </w:t>
      </w:r>
      <w:r>
        <w:rPr>
          <w:rFonts w:hint="eastAsia"/>
        </w:rPr>
        <w:t>金融企业支出明细表</w:t>
      </w:r>
      <w:r>
        <w:tab/>
      </w:r>
      <w:r>
        <w:fldChar w:fldCharType="begin"/>
      </w:r>
      <w:r>
        <w:instrText xml:space="preserve"> PAGEREF _Toc14579 \h </w:instrText>
      </w:r>
      <w:r>
        <w:fldChar w:fldCharType="separate"/>
      </w:r>
      <w:r>
        <w:t>43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_Toc8475 </w:instrText>
      </w:r>
      <w:r>
        <w:rPr>
          <w:rFonts w:hint="eastAsia" w:ascii="宋体" w:hAnsi="宋体" w:cs="宋体"/>
          <w:bCs/>
          <w:caps/>
          <w:lang w:val="en-US" w:eastAsia="zh-CN"/>
        </w:rPr>
        <w:fldChar w:fldCharType="separate"/>
      </w:r>
      <w:r>
        <w:rPr>
          <w:rFonts w:hint="eastAsia" w:ascii="宋体" w:eastAsia="宋体"/>
        </w:rPr>
        <w:t>A102020</w:t>
      </w:r>
      <w:r>
        <w:rPr>
          <w:rFonts w:hint="eastAsia"/>
          <w:lang w:val="en-US" w:eastAsia="zh-CN"/>
        </w:rPr>
        <w:t xml:space="preserve">   </w:t>
      </w:r>
      <w:r>
        <w:rPr>
          <w:rFonts w:hint="eastAsia" w:ascii="宋体" w:eastAsia="宋体"/>
        </w:rPr>
        <w:t>《金融企业支出明细表》填报说明</w:t>
      </w:r>
      <w:r>
        <w:tab/>
      </w:r>
      <w:r>
        <w:fldChar w:fldCharType="begin"/>
      </w:r>
      <w:r>
        <w:instrText xml:space="preserve"> PAGEREF _Toc8475 \h </w:instrText>
      </w:r>
      <w:r>
        <w:fldChar w:fldCharType="separate"/>
      </w:r>
      <w:r>
        <w:t>44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_Toc21480 </w:instrText>
      </w:r>
      <w:r>
        <w:rPr>
          <w:rFonts w:hint="eastAsia" w:ascii="宋体" w:hAnsi="宋体" w:cs="宋体"/>
          <w:bCs/>
          <w:caps/>
          <w:lang w:val="en-US" w:eastAsia="zh-CN"/>
        </w:rPr>
        <w:fldChar w:fldCharType="separate"/>
      </w:r>
      <w:r>
        <w:rPr>
          <w:rFonts w:hint="eastAsia"/>
        </w:rPr>
        <w:t>A103000</w:t>
      </w:r>
      <w:r>
        <w:tab/>
      </w:r>
      <w:r>
        <w:rPr>
          <w:rFonts w:hint="eastAsia"/>
          <w:lang w:val="en-US" w:eastAsia="zh-CN"/>
        </w:rPr>
        <w:t xml:space="preserve">    </w:t>
      </w:r>
      <w:r>
        <w:rPr>
          <w:rFonts w:hint="eastAsia"/>
        </w:rPr>
        <w:t>事业单位、民间非营利组织收入、支出明细表</w:t>
      </w:r>
      <w:r>
        <w:tab/>
      </w:r>
      <w:r>
        <w:fldChar w:fldCharType="begin"/>
      </w:r>
      <w:r>
        <w:instrText xml:space="preserve"> PAGEREF _Toc21480 \h </w:instrText>
      </w:r>
      <w:r>
        <w:fldChar w:fldCharType="separate"/>
      </w:r>
      <w:r>
        <w:t>47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_Toc13216 </w:instrText>
      </w:r>
      <w:r>
        <w:rPr>
          <w:rFonts w:hint="eastAsia" w:ascii="宋体" w:hAnsi="宋体" w:cs="宋体"/>
          <w:bCs/>
          <w:caps/>
          <w:lang w:val="en-US" w:eastAsia="zh-CN"/>
        </w:rPr>
        <w:fldChar w:fldCharType="separate"/>
      </w:r>
      <w:r>
        <w:rPr>
          <w:rFonts w:ascii="宋体" w:eastAsia="宋体"/>
        </w:rPr>
        <w:t>A103000</w:t>
      </w:r>
      <w:r>
        <w:rPr>
          <w:rFonts w:hint="eastAsia"/>
          <w:lang w:val="en-US" w:eastAsia="zh-CN"/>
        </w:rPr>
        <w:t xml:space="preserve">   </w:t>
      </w:r>
      <w:r>
        <w:rPr>
          <w:rFonts w:hint="eastAsia" w:ascii="宋体" w:eastAsia="宋体"/>
        </w:rPr>
        <w:t>《事业单位、民间非营利组织收入、支出明细表》填报说明</w:t>
      </w:r>
      <w:r>
        <w:tab/>
      </w:r>
      <w:r>
        <w:fldChar w:fldCharType="begin"/>
      </w:r>
      <w:r>
        <w:instrText xml:space="preserve"> PAGEREF _Toc13216 \h </w:instrText>
      </w:r>
      <w:r>
        <w:fldChar w:fldCharType="separate"/>
      </w:r>
      <w:r>
        <w:t>48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_Toc15948 </w:instrText>
      </w:r>
      <w:r>
        <w:rPr>
          <w:rFonts w:hint="eastAsia" w:ascii="宋体" w:hAnsi="宋体" w:cs="宋体"/>
          <w:bCs/>
          <w:caps/>
          <w:lang w:val="en-US" w:eastAsia="zh-CN"/>
        </w:rPr>
        <w:fldChar w:fldCharType="separate"/>
      </w:r>
      <w:r>
        <w:rPr>
          <w:rFonts w:hint="eastAsia"/>
        </w:rPr>
        <w:t>A104000</w:t>
      </w:r>
      <w:r>
        <w:rPr>
          <w:rFonts w:hint="eastAsia"/>
        </w:rPr>
        <w:tab/>
      </w:r>
      <w:r>
        <w:rPr>
          <w:rFonts w:hint="eastAsia"/>
        </w:rPr>
        <w:t>期间费用明细表</w:t>
      </w:r>
      <w:r>
        <w:tab/>
      </w:r>
      <w:r>
        <w:fldChar w:fldCharType="begin"/>
      </w:r>
      <w:r>
        <w:instrText xml:space="preserve"> PAGEREF _Toc15948 \h </w:instrText>
      </w:r>
      <w:r>
        <w:fldChar w:fldCharType="separate"/>
      </w:r>
      <w:r>
        <w:t>52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_Toc10813 </w:instrText>
      </w:r>
      <w:r>
        <w:rPr>
          <w:rFonts w:hint="eastAsia" w:ascii="宋体" w:hAnsi="宋体" w:cs="宋体"/>
          <w:bCs/>
          <w:caps/>
          <w:lang w:val="en-US" w:eastAsia="zh-CN"/>
        </w:rPr>
        <w:fldChar w:fldCharType="separate"/>
      </w:r>
      <w:r>
        <w:rPr>
          <w:rFonts w:ascii="宋体" w:eastAsia="宋体"/>
        </w:rPr>
        <w:t>A10</w:t>
      </w:r>
      <w:r>
        <w:rPr>
          <w:rFonts w:hint="eastAsia" w:ascii="宋体" w:eastAsia="宋体"/>
        </w:rPr>
        <w:t>4</w:t>
      </w:r>
      <w:r>
        <w:rPr>
          <w:rFonts w:ascii="宋体" w:eastAsia="宋体"/>
        </w:rPr>
        <w:t>000</w:t>
      </w:r>
      <w:r>
        <w:rPr>
          <w:rFonts w:hint="eastAsia"/>
          <w:lang w:val="en-US" w:eastAsia="zh-CN"/>
        </w:rPr>
        <w:t xml:space="preserve">   </w:t>
      </w:r>
      <w:r>
        <w:rPr>
          <w:rFonts w:hint="eastAsia" w:ascii="宋体" w:eastAsia="宋体"/>
        </w:rPr>
        <w:t>《期间费用明细表》填报说明</w:t>
      </w:r>
      <w:r>
        <w:tab/>
      </w:r>
      <w:r>
        <w:fldChar w:fldCharType="begin"/>
      </w:r>
      <w:r>
        <w:instrText xml:space="preserve"> PAGEREF _Toc10813 \h </w:instrText>
      </w:r>
      <w:r>
        <w:fldChar w:fldCharType="separate"/>
      </w:r>
      <w:r>
        <w:t>53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_Toc26172 </w:instrText>
      </w:r>
      <w:r>
        <w:rPr>
          <w:rFonts w:hint="eastAsia" w:ascii="宋体" w:hAnsi="宋体" w:cs="宋体"/>
          <w:bCs/>
          <w:caps/>
          <w:lang w:val="en-US" w:eastAsia="zh-CN"/>
        </w:rPr>
        <w:fldChar w:fldCharType="separate"/>
      </w:r>
      <w:r>
        <w:rPr>
          <w:rFonts w:hint="eastAsia"/>
        </w:rPr>
        <w:t>A105000</w:t>
      </w:r>
      <w:r>
        <w:rPr>
          <w:rFonts w:hint="eastAsia"/>
        </w:rPr>
        <w:tab/>
      </w:r>
      <w:r>
        <w:rPr>
          <w:rFonts w:hint="eastAsia"/>
          <w:lang w:val="en-US" w:eastAsia="zh-CN"/>
        </w:rPr>
        <w:t xml:space="preserve">    </w:t>
      </w:r>
      <w:r>
        <w:rPr>
          <w:rFonts w:hint="eastAsia"/>
        </w:rPr>
        <w:t>纳税调整项目明细表</w:t>
      </w:r>
      <w:r>
        <w:tab/>
      </w:r>
      <w:r>
        <w:fldChar w:fldCharType="begin"/>
      </w:r>
      <w:r>
        <w:instrText xml:space="preserve"> PAGEREF _Toc26172 \h </w:instrText>
      </w:r>
      <w:r>
        <w:fldChar w:fldCharType="separate"/>
      </w:r>
      <w:r>
        <w:t>55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_Toc1981 </w:instrText>
      </w:r>
      <w:r>
        <w:rPr>
          <w:rFonts w:hint="eastAsia" w:ascii="宋体" w:hAnsi="宋体" w:cs="宋体"/>
          <w:bCs/>
          <w:caps/>
          <w:lang w:val="en-US" w:eastAsia="zh-CN"/>
        </w:rPr>
        <w:fldChar w:fldCharType="separate"/>
      </w:r>
      <w:r>
        <w:rPr>
          <w:rFonts w:hint="eastAsia"/>
        </w:rPr>
        <w:t>A105000</w:t>
      </w:r>
      <w:r>
        <w:rPr>
          <w:rFonts w:hint="eastAsia"/>
          <w:lang w:val="en-US" w:eastAsia="zh-CN"/>
        </w:rPr>
        <w:t xml:space="preserve">   </w:t>
      </w:r>
      <w:r>
        <w:rPr>
          <w:rFonts w:hint="eastAsia"/>
        </w:rPr>
        <w:t>《纳税调整项目明细表》填报说明</w:t>
      </w:r>
      <w:r>
        <w:tab/>
      </w:r>
      <w:r>
        <w:fldChar w:fldCharType="begin"/>
      </w:r>
      <w:r>
        <w:instrText xml:space="preserve"> PAGEREF _Toc1981 \h </w:instrText>
      </w:r>
      <w:r>
        <w:fldChar w:fldCharType="separate"/>
      </w:r>
      <w:r>
        <w:t>57</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_Toc25583 </w:instrText>
      </w:r>
      <w:r>
        <w:rPr>
          <w:rFonts w:hint="eastAsia" w:ascii="宋体" w:hAnsi="宋体" w:cs="宋体"/>
          <w:bCs/>
          <w:caps/>
          <w:lang w:val="en-US" w:eastAsia="zh-CN"/>
        </w:rPr>
        <w:fldChar w:fldCharType="separate"/>
      </w:r>
      <w:r>
        <w:rPr>
          <w:rFonts w:hint="eastAsia" w:ascii="宋体" w:hAnsi="宋体" w:cs="宋体"/>
          <w:kern w:val="44"/>
          <w:szCs w:val="28"/>
          <w:lang w:val="zh-CN"/>
        </w:rPr>
        <w:t>A105010</w:t>
      </w:r>
      <w:r>
        <w:rPr>
          <w:rFonts w:hint="eastAsia" w:cs="宋体"/>
          <w:kern w:val="44"/>
          <w:szCs w:val="28"/>
          <w:lang w:val="en-US" w:eastAsia="zh-CN"/>
        </w:rPr>
        <w:t xml:space="preserve">  </w:t>
      </w:r>
      <w:r>
        <w:rPr>
          <w:rFonts w:ascii="宋体" w:hAnsi="宋体" w:cs="宋体"/>
          <w:kern w:val="44"/>
          <w:szCs w:val="28"/>
          <w:lang w:val="zh-CN"/>
        </w:rPr>
        <w:tab/>
      </w:r>
      <w:r>
        <w:rPr>
          <w:rFonts w:hint="eastAsia" w:cs="宋体"/>
          <w:kern w:val="44"/>
          <w:szCs w:val="28"/>
          <w:lang w:val="en-US" w:eastAsia="zh-CN"/>
        </w:rPr>
        <w:t xml:space="preserve">  </w:t>
      </w:r>
      <w:r>
        <w:rPr>
          <w:rFonts w:hint="eastAsia" w:ascii="宋体" w:hAnsi="宋体" w:cs="宋体"/>
          <w:kern w:val="44"/>
          <w:szCs w:val="28"/>
          <w:lang w:val="zh-CN"/>
        </w:rPr>
        <w:t>视同销售和房地产开发企业特定业务纳税调整明细表</w:t>
      </w:r>
      <w:r>
        <w:tab/>
      </w:r>
      <w:r>
        <w:fldChar w:fldCharType="begin"/>
      </w:r>
      <w:r>
        <w:instrText xml:space="preserve"> PAGEREF _Toc25583 \h </w:instrText>
      </w:r>
      <w:r>
        <w:fldChar w:fldCharType="separate"/>
      </w:r>
      <w:r>
        <w:t>67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_Toc2474 </w:instrText>
      </w:r>
      <w:r>
        <w:rPr>
          <w:rFonts w:hint="eastAsia" w:ascii="宋体" w:hAnsi="宋体" w:cs="宋体"/>
          <w:bCs/>
          <w:caps/>
          <w:lang w:val="en-US" w:eastAsia="zh-CN"/>
        </w:rPr>
        <w:fldChar w:fldCharType="separate"/>
      </w:r>
      <w:r>
        <w:rPr>
          <w:rFonts w:hint="eastAsia" w:ascii="宋体" w:eastAsia="宋体"/>
        </w:rPr>
        <w:t>A105010</w:t>
      </w:r>
      <w:r>
        <w:rPr>
          <w:rFonts w:hint="eastAsia"/>
          <w:lang w:val="en-US" w:eastAsia="zh-CN"/>
        </w:rPr>
        <w:t xml:space="preserve">   </w:t>
      </w:r>
      <w:r>
        <w:rPr>
          <w:rFonts w:hint="eastAsia" w:ascii="宋体" w:eastAsia="宋体"/>
        </w:rPr>
        <w:t>《视同销售和房地产开发企业特定业务纳税调整明细表》</w:t>
      </w:r>
      <w:r>
        <w:rPr>
          <w:rFonts w:ascii="宋体" w:eastAsia="宋体"/>
        </w:rPr>
        <w:t xml:space="preserve"> </w:t>
      </w:r>
      <w:r>
        <w:rPr>
          <w:rFonts w:hint="eastAsia" w:ascii="宋体" w:eastAsia="宋体"/>
        </w:rPr>
        <w:t>填报说明</w:t>
      </w:r>
      <w:r>
        <w:tab/>
      </w:r>
      <w:r>
        <w:fldChar w:fldCharType="begin"/>
      </w:r>
      <w:r>
        <w:instrText xml:space="preserve"> PAGEREF _Toc2474 \h </w:instrText>
      </w:r>
      <w:r>
        <w:fldChar w:fldCharType="separate"/>
      </w:r>
      <w:r>
        <w:t>68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_Toc13361 </w:instrText>
      </w:r>
      <w:r>
        <w:rPr>
          <w:rFonts w:hint="eastAsia" w:ascii="宋体" w:hAnsi="宋体" w:cs="宋体"/>
          <w:bCs/>
          <w:caps/>
          <w:lang w:val="en-US" w:eastAsia="zh-CN"/>
        </w:rPr>
        <w:fldChar w:fldCharType="separate"/>
      </w:r>
      <w:r>
        <w:rPr>
          <w:rFonts w:hint="eastAsia"/>
        </w:rPr>
        <w:t>A105020</w:t>
      </w:r>
      <w:r>
        <w:tab/>
      </w:r>
      <w:r>
        <w:rPr>
          <w:rFonts w:hint="eastAsia"/>
          <w:lang w:val="en-US" w:eastAsia="zh-CN"/>
        </w:rPr>
        <w:t xml:space="preserve">    </w:t>
      </w:r>
      <w:r>
        <w:rPr>
          <w:rFonts w:hint="eastAsia"/>
        </w:rPr>
        <w:t>未按权责发生制确认收入纳税调整明细表</w:t>
      </w:r>
      <w:r>
        <w:tab/>
      </w:r>
      <w:r>
        <w:fldChar w:fldCharType="begin"/>
      </w:r>
      <w:r>
        <w:instrText xml:space="preserve"> PAGEREF _Toc13361 \h </w:instrText>
      </w:r>
      <w:r>
        <w:fldChar w:fldCharType="separate"/>
      </w:r>
      <w:r>
        <w:t>72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_Toc16742 </w:instrText>
      </w:r>
      <w:r>
        <w:rPr>
          <w:rFonts w:hint="eastAsia" w:ascii="宋体" w:hAnsi="宋体" w:cs="宋体"/>
          <w:bCs/>
          <w:caps/>
          <w:lang w:val="en-US" w:eastAsia="zh-CN"/>
        </w:rPr>
        <w:fldChar w:fldCharType="separate"/>
      </w:r>
      <w:r>
        <w:rPr>
          <w:rFonts w:hint="eastAsia" w:ascii="宋体" w:eastAsia="宋体"/>
        </w:rPr>
        <w:t>A105020</w:t>
      </w:r>
      <w:r>
        <w:rPr>
          <w:rFonts w:hint="eastAsia"/>
          <w:lang w:val="en-US" w:eastAsia="zh-CN"/>
        </w:rPr>
        <w:t xml:space="preserve">   </w:t>
      </w:r>
      <w:r>
        <w:rPr>
          <w:rFonts w:hint="eastAsia" w:ascii="宋体" w:eastAsia="宋体"/>
        </w:rPr>
        <w:t>《未按权责发生制确认收入纳税调整明细表》填报说明</w:t>
      </w:r>
      <w:r>
        <w:tab/>
      </w:r>
      <w:r>
        <w:fldChar w:fldCharType="begin"/>
      </w:r>
      <w:r>
        <w:instrText xml:space="preserve"> PAGEREF _Toc16742 \h </w:instrText>
      </w:r>
      <w:r>
        <w:fldChar w:fldCharType="separate"/>
      </w:r>
      <w:r>
        <w:t>73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_Toc5017 </w:instrText>
      </w:r>
      <w:r>
        <w:rPr>
          <w:rFonts w:hint="eastAsia" w:ascii="宋体" w:hAnsi="宋体" w:cs="宋体"/>
          <w:bCs/>
          <w:caps/>
          <w:lang w:val="en-US" w:eastAsia="zh-CN"/>
        </w:rPr>
        <w:fldChar w:fldCharType="separate"/>
      </w:r>
      <w:r>
        <w:rPr>
          <w:rFonts w:hint="eastAsia"/>
        </w:rPr>
        <w:t>A105030</w:t>
      </w:r>
      <w:r>
        <w:rPr>
          <w:rFonts w:hint="eastAsia"/>
          <w:lang w:val="en-US" w:eastAsia="zh-CN"/>
        </w:rPr>
        <w:t xml:space="preserve">    </w:t>
      </w:r>
      <w:r>
        <w:tab/>
      </w:r>
      <w:r>
        <w:rPr>
          <w:rFonts w:hint="eastAsia"/>
        </w:rPr>
        <w:t>投资收益纳税调整明细表</w:t>
      </w:r>
      <w:r>
        <w:tab/>
      </w:r>
      <w:r>
        <w:fldChar w:fldCharType="begin"/>
      </w:r>
      <w:r>
        <w:instrText xml:space="preserve"> PAGEREF _Toc5017 \h </w:instrText>
      </w:r>
      <w:r>
        <w:fldChar w:fldCharType="separate"/>
      </w:r>
      <w:r>
        <w:t>75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_Toc3836 </w:instrText>
      </w:r>
      <w:r>
        <w:rPr>
          <w:rFonts w:hint="eastAsia" w:ascii="宋体" w:hAnsi="宋体" w:cs="宋体"/>
          <w:bCs/>
          <w:caps/>
          <w:lang w:val="en-US" w:eastAsia="zh-CN"/>
        </w:rPr>
        <w:fldChar w:fldCharType="separate"/>
      </w:r>
      <w:r>
        <w:rPr>
          <w:rFonts w:ascii="宋体" w:hAnsi="宋体" w:cs="方正小标宋简体"/>
          <w:kern w:val="44"/>
          <w:szCs w:val="28"/>
        </w:rPr>
        <w:t>A105030</w:t>
      </w:r>
      <w:r>
        <w:rPr>
          <w:rFonts w:hint="eastAsia" w:cs="方正小标宋简体"/>
          <w:kern w:val="44"/>
          <w:szCs w:val="28"/>
          <w:lang w:val="en-US" w:eastAsia="zh-CN"/>
        </w:rPr>
        <w:t xml:space="preserve">   </w:t>
      </w:r>
      <w:r>
        <w:rPr>
          <w:rFonts w:hint="eastAsia" w:ascii="宋体" w:hAnsi="宋体" w:cs="方正小标宋简体"/>
          <w:kern w:val="44"/>
          <w:szCs w:val="28"/>
        </w:rPr>
        <w:t>《投资收益纳税调整明细表》填报说明</w:t>
      </w:r>
      <w:r>
        <w:tab/>
      </w:r>
      <w:r>
        <w:fldChar w:fldCharType="begin"/>
      </w:r>
      <w:r>
        <w:instrText xml:space="preserve"> PAGEREF _Toc3836 \h </w:instrText>
      </w:r>
      <w:r>
        <w:fldChar w:fldCharType="separate"/>
      </w:r>
      <w:r>
        <w:t>76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_Toc26764 </w:instrText>
      </w:r>
      <w:r>
        <w:rPr>
          <w:rFonts w:hint="eastAsia" w:ascii="宋体" w:hAnsi="宋体" w:cs="宋体"/>
          <w:bCs/>
          <w:caps/>
          <w:lang w:val="en-US" w:eastAsia="zh-CN"/>
        </w:rPr>
        <w:fldChar w:fldCharType="separate"/>
      </w:r>
      <w:r>
        <w:rPr>
          <w:rFonts w:hint="eastAsia"/>
        </w:rPr>
        <w:t>A105040</w:t>
      </w:r>
      <w:r>
        <w:rPr>
          <w:rFonts w:hint="eastAsia"/>
          <w:lang w:val="en-US" w:eastAsia="zh-CN"/>
        </w:rPr>
        <w:t xml:space="preserve">    </w:t>
      </w:r>
      <w:r>
        <w:tab/>
      </w:r>
      <w:r>
        <w:rPr>
          <w:rFonts w:hint="eastAsia"/>
        </w:rPr>
        <w:t>专项用途财政性资金纳税调整明细表</w:t>
      </w:r>
      <w:r>
        <w:tab/>
      </w:r>
      <w:r>
        <w:fldChar w:fldCharType="begin"/>
      </w:r>
      <w:r>
        <w:instrText xml:space="preserve"> PAGEREF _Toc26764 \h </w:instrText>
      </w:r>
      <w:r>
        <w:fldChar w:fldCharType="separate"/>
      </w:r>
      <w:r>
        <w:t>78</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_Toc21406 </w:instrText>
      </w:r>
      <w:r>
        <w:rPr>
          <w:rFonts w:hint="eastAsia" w:ascii="宋体" w:hAnsi="宋体" w:cs="宋体"/>
          <w:bCs/>
          <w:caps/>
          <w:lang w:val="en-US" w:eastAsia="zh-CN"/>
        </w:rPr>
        <w:fldChar w:fldCharType="separate"/>
      </w:r>
      <w:r>
        <w:rPr>
          <w:rFonts w:hint="eastAsia" w:ascii="宋体" w:eastAsia="宋体"/>
        </w:rPr>
        <w:t>A105040</w:t>
      </w:r>
      <w:r>
        <w:rPr>
          <w:rFonts w:hint="eastAsia"/>
          <w:lang w:val="en-US" w:eastAsia="zh-CN"/>
        </w:rPr>
        <w:t xml:space="preserve">   </w:t>
      </w:r>
      <w:r>
        <w:rPr>
          <w:rFonts w:hint="eastAsia" w:ascii="宋体" w:eastAsia="宋体"/>
        </w:rPr>
        <w:t>《专项用途财政性资金纳税调整明细表》填报说明</w:t>
      </w:r>
      <w:r>
        <w:tab/>
      </w:r>
      <w:r>
        <w:fldChar w:fldCharType="begin"/>
      </w:r>
      <w:r>
        <w:instrText xml:space="preserve"> PAGEREF _Toc21406 \h </w:instrText>
      </w:r>
      <w:r>
        <w:fldChar w:fldCharType="separate"/>
      </w:r>
      <w:r>
        <w:t>79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_Toc23123 </w:instrText>
      </w:r>
      <w:r>
        <w:rPr>
          <w:rFonts w:hint="eastAsia" w:ascii="宋体" w:hAnsi="宋体" w:cs="宋体"/>
          <w:bCs/>
          <w:caps/>
          <w:lang w:val="en-US" w:eastAsia="zh-CN"/>
        </w:rPr>
        <w:fldChar w:fldCharType="separate"/>
      </w:r>
      <w:r>
        <w:rPr>
          <w:rFonts w:ascii="宋体" w:hAnsi="宋体" w:cs="宋体"/>
          <w:bCs/>
          <w:kern w:val="0"/>
          <w:szCs w:val="28"/>
        </w:rPr>
        <w:t>A105050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职工薪酬支出及纳税调整明细表</w:t>
      </w:r>
      <w:r>
        <w:tab/>
      </w:r>
      <w:r>
        <w:fldChar w:fldCharType="begin"/>
      </w:r>
      <w:r>
        <w:instrText xml:space="preserve"> PAGEREF _Toc23123 \h </w:instrText>
      </w:r>
      <w:r>
        <w:fldChar w:fldCharType="separate"/>
      </w:r>
      <w:r>
        <w:t>81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_Toc8424 </w:instrText>
      </w:r>
      <w:r>
        <w:rPr>
          <w:rFonts w:hint="eastAsia" w:ascii="宋体" w:hAnsi="宋体" w:cs="宋体"/>
          <w:bCs/>
          <w:caps/>
          <w:lang w:val="en-US" w:eastAsia="zh-CN"/>
        </w:rPr>
        <w:fldChar w:fldCharType="separate"/>
      </w:r>
      <w:r>
        <w:rPr>
          <w:rFonts w:ascii="宋体" w:hAnsi="宋体" w:cs="方正小标宋简体"/>
          <w:kern w:val="44"/>
          <w:szCs w:val="28"/>
        </w:rPr>
        <w:t>A105050</w:t>
      </w:r>
      <w:r>
        <w:rPr>
          <w:rFonts w:hint="eastAsia" w:cs="方正小标宋简体"/>
          <w:kern w:val="44"/>
          <w:szCs w:val="28"/>
          <w:lang w:val="en-US" w:eastAsia="zh-CN"/>
        </w:rPr>
        <w:t xml:space="preserve">   </w:t>
      </w:r>
      <w:r>
        <w:rPr>
          <w:rFonts w:hint="eastAsia" w:ascii="宋体" w:hAnsi="宋体" w:cs="方正小标宋简体"/>
          <w:kern w:val="44"/>
          <w:szCs w:val="28"/>
        </w:rPr>
        <w:t>《职工薪酬支出及纳税调整明细表》填报说明</w:t>
      </w:r>
      <w:r>
        <w:tab/>
      </w:r>
      <w:r>
        <w:fldChar w:fldCharType="begin"/>
      </w:r>
      <w:r>
        <w:instrText xml:space="preserve"> PAGEREF _Toc8424 \h </w:instrText>
      </w:r>
      <w:r>
        <w:fldChar w:fldCharType="separate"/>
      </w:r>
      <w:r>
        <w:t>82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_Toc26048 </w:instrText>
      </w:r>
      <w:r>
        <w:rPr>
          <w:rFonts w:hint="eastAsia" w:ascii="宋体" w:hAnsi="宋体" w:cs="宋体"/>
          <w:bCs/>
          <w:caps/>
          <w:lang w:val="en-US" w:eastAsia="zh-CN"/>
        </w:rPr>
        <w:fldChar w:fldCharType="separate"/>
      </w:r>
      <w:r>
        <w:rPr>
          <w:rFonts w:ascii="宋体" w:hAnsi="宋体" w:cs="宋体"/>
          <w:bCs/>
          <w:kern w:val="0"/>
          <w:szCs w:val="28"/>
        </w:rPr>
        <w:t>A105060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广告费和业务宣传费等跨年度纳税调整明细表</w:t>
      </w:r>
      <w:r>
        <w:tab/>
      </w:r>
      <w:r>
        <w:fldChar w:fldCharType="begin"/>
      </w:r>
      <w:r>
        <w:instrText xml:space="preserve"> PAGEREF _Toc26048 \h </w:instrText>
      </w:r>
      <w:r>
        <w:fldChar w:fldCharType="separate"/>
      </w:r>
      <w:r>
        <w:t>87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_Toc4957 </w:instrText>
      </w:r>
      <w:r>
        <w:rPr>
          <w:rFonts w:hint="eastAsia" w:ascii="宋体" w:hAnsi="宋体" w:cs="宋体"/>
          <w:bCs/>
          <w:caps/>
          <w:lang w:val="en-US" w:eastAsia="zh-CN"/>
        </w:rPr>
        <w:fldChar w:fldCharType="separate"/>
      </w:r>
      <w:r>
        <w:rPr>
          <w:rFonts w:ascii="宋体" w:hAnsi="宋体" w:cs="宋体"/>
          <w:kern w:val="44"/>
          <w:szCs w:val="28"/>
          <w:lang w:val="zh-CN"/>
        </w:rPr>
        <w:t>A105060</w:t>
      </w:r>
      <w:r>
        <w:rPr>
          <w:rFonts w:hint="eastAsia" w:cs="宋体"/>
          <w:kern w:val="44"/>
          <w:szCs w:val="28"/>
          <w:lang w:val="en-US" w:eastAsia="zh-CN"/>
        </w:rPr>
        <w:t xml:space="preserve">   </w:t>
      </w:r>
      <w:r>
        <w:rPr>
          <w:rFonts w:hint="eastAsia" w:ascii="宋体" w:hAnsi="宋体" w:cs="宋体"/>
          <w:kern w:val="44"/>
          <w:szCs w:val="28"/>
          <w:lang w:val="zh-CN"/>
        </w:rPr>
        <w:t>《广告费和业务宣传费等跨年度纳税调整明细表》</w:t>
      </w:r>
      <w:r>
        <w:rPr>
          <w:rFonts w:ascii="宋体" w:hAnsi="宋体" w:cs="宋体"/>
          <w:kern w:val="44"/>
          <w:szCs w:val="28"/>
          <w:lang w:val="zh-CN"/>
        </w:rPr>
        <w:t xml:space="preserve"> </w:t>
      </w:r>
      <w:r>
        <w:rPr>
          <w:rFonts w:hint="eastAsia" w:ascii="宋体" w:hAnsi="宋体" w:cs="宋体"/>
          <w:kern w:val="44"/>
          <w:szCs w:val="28"/>
          <w:lang w:val="zh-CN"/>
        </w:rPr>
        <w:t>填报说明</w:t>
      </w:r>
      <w:r>
        <w:tab/>
      </w:r>
      <w:r>
        <w:fldChar w:fldCharType="begin"/>
      </w:r>
      <w:r>
        <w:instrText xml:space="preserve"> PAGEREF _Toc4957 \h </w:instrText>
      </w:r>
      <w:r>
        <w:fldChar w:fldCharType="separate"/>
      </w:r>
      <w:r>
        <w:t>88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_Toc1093 </w:instrText>
      </w:r>
      <w:r>
        <w:rPr>
          <w:rFonts w:hint="eastAsia" w:ascii="宋体" w:hAnsi="宋体" w:cs="宋体"/>
          <w:bCs/>
          <w:caps/>
          <w:lang w:val="en-US" w:eastAsia="zh-CN"/>
        </w:rPr>
        <w:fldChar w:fldCharType="separate"/>
      </w:r>
      <w:r>
        <w:rPr>
          <w:rFonts w:hint="eastAsia"/>
        </w:rPr>
        <w:t>A105070</w:t>
      </w:r>
      <w:r>
        <w:rPr>
          <w:rFonts w:hint="eastAsia"/>
          <w:lang w:val="en-US" w:eastAsia="zh-CN"/>
        </w:rPr>
        <w:t xml:space="preserve">  </w:t>
      </w:r>
      <w:r>
        <w:rPr>
          <w:rFonts w:hint="eastAsia"/>
        </w:rPr>
        <w:tab/>
      </w:r>
      <w:r>
        <w:rPr>
          <w:rFonts w:hint="eastAsia"/>
          <w:lang w:val="en-US" w:eastAsia="zh-CN"/>
        </w:rPr>
        <w:t xml:space="preserve">  </w:t>
      </w:r>
      <w:r>
        <w:rPr>
          <w:rFonts w:hint="eastAsia"/>
        </w:rPr>
        <w:t>捐赠支出及纳税调整明细表</w:t>
      </w:r>
      <w:r>
        <w:tab/>
      </w:r>
      <w:r>
        <w:fldChar w:fldCharType="begin"/>
      </w:r>
      <w:r>
        <w:instrText xml:space="preserve"> PAGEREF _Toc1093 \h </w:instrText>
      </w:r>
      <w:r>
        <w:fldChar w:fldCharType="separate"/>
      </w:r>
      <w:r>
        <w:t>90</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_Toc14785 </w:instrText>
      </w:r>
      <w:r>
        <w:rPr>
          <w:rFonts w:hint="eastAsia" w:ascii="宋体" w:hAnsi="宋体" w:cs="宋体"/>
          <w:bCs/>
          <w:caps/>
          <w:lang w:val="en-US" w:eastAsia="zh-CN"/>
        </w:rPr>
        <w:fldChar w:fldCharType="separate"/>
      </w:r>
      <w:r>
        <w:rPr>
          <w:rFonts w:hint="eastAsia"/>
        </w:rPr>
        <w:t>A105070   《捐赠支出及纳税调整明细表》填报说明</w:t>
      </w:r>
      <w:r>
        <w:tab/>
      </w:r>
      <w:r>
        <w:fldChar w:fldCharType="begin"/>
      </w:r>
      <w:r>
        <w:instrText xml:space="preserve"> PAGEREF _Toc14785 \h </w:instrText>
      </w:r>
      <w:r>
        <w:fldChar w:fldCharType="separate"/>
      </w:r>
      <w:r>
        <w:t>91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_Toc24674 </w:instrText>
      </w:r>
      <w:r>
        <w:rPr>
          <w:rFonts w:hint="eastAsia" w:ascii="宋体" w:hAnsi="宋体" w:cs="宋体"/>
          <w:bCs/>
          <w:caps/>
          <w:lang w:val="en-US" w:eastAsia="zh-CN"/>
        </w:rPr>
        <w:fldChar w:fldCharType="separate"/>
      </w:r>
      <w:r>
        <w:rPr>
          <w:rFonts w:hint="eastAsia"/>
        </w:rPr>
        <w:t>A105080</w:t>
      </w:r>
      <w:r>
        <w:rPr>
          <w:rFonts w:hint="eastAsia"/>
        </w:rPr>
        <w:tab/>
      </w:r>
      <w:r>
        <w:rPr>
          <w:rFonts w:hint="eastAsia"/>
          <w:lang w:val="en-US" w:eastAsia="zh-CN"/>
        </w:rPr>
        <w:t xml:space="preserve">    </w:t>
      </w:r>
      <w:r>
        <w:rPr>
          <w:rFonts w:hint="eastAsia"/>
        </w:rPr>
        <w:t>资产折旧、摊销及纳税调整明细表</w:t>
      </w:r>
      <w:r>
        <w:tab/>
      </w:r>
      <w:r>
        <w:fldChar w:fldCharType="begin"/>
      </w:r>
      <w:r>
        <w:instrText xml:space="preserve"> PAGEREF _Toc24674 \h </w:instrText>
      </w:r>
      <w:r>
        <w:fldChar w:fldCharType="separate"/>
      </w:r>
      <w:r>
        <w:t>96</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_Toc14387 </w:instrText>
      </w:r>
      <w:r>
        <w:rPr>
          <w:rFonts w:hint="eastAsia" w:ascii="宋体" w:hAnsi="宋体" w:cs="宋体"/>
          <w:bCs/>
          <w:caps/>
          <w:lang w:val="en-US" w:eastAsia="zh-CN"/>
        </w:rPr>
        <w:fldChar w:fldCharType="separate"/>
      </w:r>
      <w:r>
        <w:rPr>
          <w:rFonts w:hint="eastAsia"/>
        </w:rPr>
        <w:t>A105080</w:t>
      </w:r>
      <w:r>
        <w:rPr>
          <w:rFonts w:hint="eastAsia"/>
          <w:lang w:val="en-US" w:eastAsia="zh-CN"/>
        </w:rPr>
        <w:t xml:space="preserve">   </w:t>
      </w:r>
      <w:r>
        <w:rPr>
          <w:rFonts w:hint="eastAsia"/>
        </w:rPr>
        <w:t>《资产折旧、摊销及纳税调整明细表》填报说明</w:t>
      </w:r>
      <w:r>
        <w:tab/>
      </w:r>
      <w:r>
        <w:fldChar w:fldCharType="begin"/>
      </w:r>
      <w:r>
        <w:instrText xml:space="preserve"> PAGEREF _Toc14387 \h </w:instrText>
      </w:r>
      <w:r>
        <w:fldChar w:fldCharType="separate"/>
      </w:r>
      <w:r>
        <w:t>100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_Toc10959 </w:instrText>
      </w:r>
      <w:r>
        <w:rPr>
          <w:rFonts w:hint="eastAsia" w:ascii="宋体" w:hAnsi="宋体" w:cs="宋体"/>
          <w:bCs/>
          <w:caps/>
          <w:lang w:val="en-US" w:eastAsia="zh-CN"/>
        </w:rPr>
        <w:fldChar w:fldCharType="separate"/>
      </w:r>
      <w:r>
        <w:rPr>
          <w:rFonts w:hint="eastAsia"/>
        </w:rPr>
        <w:t>A105090</w:t>
      </w:r>
      <w:r>
        <w:rPr>
          <w:rFonts w:hint="eastAsia"/>
          <w:lang w:val="en-US" w:eastAsia="zh-CN"/>
        </w:rPr>
        <w:t xml:space="preserve">    </w:t>
      </w:r>
      <w:r>
        <w:rPr>
          <w:rFonts w:hint="eastAsia"/>
        </w:rPr>
        <w:tab/>
      </w:r>
      <w:r>
        <w:rPr>
          <w:rFonts w:hint="eastAsia"/>
        </w:rPr>
        <w:t>资产损失税前扣除及纳税调整明细表</w:t>
      </w:r>
      <w:r>
        <w:tab/>
      </w:r>
      <w:r>
        <w:fldChar w:fldCharType="begin"/>
      </w:r>
      <w:r>
        <w:instrText xml:space="preserve"> PAGEREF _Toc10959 \h </w:instrText>
      </w:r>
      <w:r>
        <w:fldChar w:fldCharType="separate"/>
      </w:r>
      <w:r>
        <w:t>107</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_Toc3389 </w:instrText>
      </w:r>
      <w:r>
        <w:rPr>
          <w:rFonts w:hint="eastAsia" w:ascii="宋体" w:hAnsi="宋体" w:cs="宋体"/>
          <w:bCs/>
          <w:caps/>
          <w:lang w:val="en-US" w:eastAsia="zh-CN"/>
        </w:rPr>
        <w:fldChar w:fldCharType="separate"/>
      </w:r>
      <w:r>
        <w:rPr>
          <w:rFonts w:hint="eastAsia"/>
        </w:rPr>
        <w:t>A105090</w:t>
      </w:r>
      <w:r>
        <w:rPr>
          <w:rFonts w:hint="eastAsia"/>
          <w:lang w:val="en-US" w:eastAsia="zh-CN"/>
        </w:rPr>
        <w:t xml:space="preserve">   </w:t>
      </w:r>
      <w:r>
        <w:rPr>
          <w:rFonts w:hint="eastAsia"/>
        </w:rPr>
        <w:tab/>
      </w:r>
      <w:r>
        <w:rPr>
          <w:rFonts w:hint="eastAsia"/>
        </w:rPr>
        <w:t>《资产损失税前扣除及纳税调整明细表》填报说明</w:t>
      </w:r>
      <w:r>
        <w:tab/>
      </w:r>
      <w:r>
        <w:fldChar w:fldCharType="begin"/>
      </w:r>
      <w:r>
        <w:instrText xml:space="preserve"> PAGEREF _Toc3389 \h </w:instrText>
      </w:r>
      <w:r>
        <w:fldChar w:fldCharType="separate"/>
      </w:r>
      <w:r>
        <w:t>109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_Toc32221 </w:instrText>
      </w:r>
      <w:r>
        <w:rPr>
          <w:rFonts w:hint="eastAsia" w:ascii="宋体" w:hAnsi="宋体" w:cs="宋体"/>
          <w:bCs/>
          <w:caps/>
          <w:lang w:val="en-US" w:eastAsia="zh-CN"/>
        </w:rPr>
        <w:fldChar w:fldCharType="separate"/>
      </w:r>
      <w:r>
        <w:rPr>
          <w:rFonts w:hint="eastAsia"/>
        </w:rPr>
        <w:t>A105100</w:t>
      </w:r>
      <w:r>
        <w:rPr>
          <w:rFonts w:hint="eastAsia"/>
          <w:lang w:val="en-US" w:eastAsia="zh-CN"/>
        </w:rPr>
        <w:t xml:space="preserve">    </w:t>
      </w:r>
      <w:r>
        <w:tab/>
      </w:r>
      <w:r>
        <w:rPr>
          <w:rFonts w:hint="eastAsia"/>
        </w:rPr>
        <w:t>企业重组及递延纳税事项纳税调整明细表</w:t>
      </w:r>
      <w:r>
        <w:tab/>
      </w:r>
      <w:r>
        <w:fldChar w:fldCharType="begin"/>
      </w:r>
      <w:r>
        <w:instrText xml:space="preserve"> PAGEREF _Toc32221 \h </w:instrText>
      </w:r>
      <w:r>
        <w:fldChar w:fldCharType="separate"/>
      </w:r>
      <w:r>
        <w:t>115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_Toc20527 </w:instrText>
      </w:r>
      <w:r>
        <w:rPr>
          <w:rFonts w:hint="eastAsia" w:ascii="宋体" w:hAnsi="宋体" w:cs="宋体"/>
          <w:bCs/>
          <w:caps/>
          <w:lang w:val="en-US" w:eastAsia="zh-CN"/>
        </w:rPr>
        <w:fldChar w:fldCharType="separate"/>
      </w:r>
      <w:r>
        <w:rPr>
          <w:rFonts w:hint="eastAsia" w:ascii="宋体" w:eastAsia="宋体"/>
        </w:rPr>
        <w:t>A105100</w:t>
      </w:r>
      <w:r>
        <w:rPr>
          <w:rFonts w:hint="eastAsia"/>
          <w:lang w:val="en-US" w:eastAsia="zh-CN"/>
        </w:rPr>
        <w:t xml:space="preserve">   </w:t>
      </w:r>
      <w:r>
        <w:rPr>
          <w:rFonts w:ascii="宋体" w:eastAsia="宋体"/>
        </w:rPr>
        <w:tab/>
      </w:r>
      <w:r>
        <w:rPr>
          <w:rFonts w:hint="eastAsia" w:ascii="宋体" w:eastAsia="宋体"/>
        </w:rPr>
        <w:t>《企业重组及递延纳税事项纳税调整明细表》填报说明</w:t>
      </w:r>
      <w:r>
        <w:tab/>
      </w:r>
      <w:r>
        <w:fldChar w:fldCharType="begin"/>
      </w:r>
      <w:r>
        <w:instrText xml:space="preserve"> PAGEREF _Toc20527 \h </w:instrText>
      </w:r>
      <w:r>
        <w:fldChar w:fldCharType="separate"/>
      </w:r>
      <w:r>
        <w:t>116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_Toc26838 </w:instrText>
      </w:r>
      <w:r>
        <w:rPr>
          <w:rFonts w:hint="eastAsia" w:ascii="宋体" w:hAnsi="宋体" w:cs="宋体"/>
          <w:bCs/>
          <w:caps/>
          <w:lang w:val="en-US" w:eastAsia="zh-CN"/>
        </w:rPr>
        <w:fldChar w:fldCharType="separate"/>
      </w:r>
      <w:r>
        <w:rPr>
          <w:rFonts w:hint="eastAsia"/>
        </w:rPr>
        <w:t>A105110</w:t>
      </w:r>
      <w:r>
        <w:rPr>
          <w:rFonts w:hint="eastAsia"/>
        </w:rPr>
        <w:tab/>
      </w:r>
      <w:r>
        <w:rPr>
          <w:rFonts w:hint="eastAsia"/>
          <w:lang w:val="en-US" w:eastAsia="zh-CN"/>
        </w:rPr>
        <w:t xml:space="preserve">    </w:t>
      </w:r>
      <w:r>
        <w:rPr>
          <w:rFonts w:hint="eastAsia"/>
        </w:rPr>
        <w:t>政策性搬迁纳税调整明细表</w:t>
      </w:r>
      <w:r>
        <w:tab/>
      </w:r>
      <w:r>
        <w:fldChar w:fldCharType="begin"/>
      </w:r>
      <w:r>
        <w:instrText xml:space="preserve"> PAGEREF _Toc26838 \h </w:instrText>
      </w:r>
      <w:r>
        <w:fldChar w:fldCharType="separate"/>
      </w:r>
      <w:r>
        <w:t>120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_Toc15228 </w:instrText>
      </w:r>
      <w:r>
        <w:rPr>
          <w:rFonts w:hint="eastAsia" w:ascii="宋体" w:hAnsi="宋体" w:cs="宋体"/>
          <w:bCs/>
          <w:caps/>
          <w:lang w:val="en-US" w:eastAsia="zh-CN"/>
        </w:rPr>
        <w:fldChar w:fldCharType="separate"/>
      </w:r>
      <w:r>
        <w:rPr>
          <w:rFonts w:hint="eastAsia" w:ascii="宋体" w:eastAsia="宋体"/>
        </w:rPr>
        <w:t>A105110</w:t>
      </w:r>
      <w:r>
        <w:rPr>
          <w:rFonts w:ascii="宋体" w:eastAsia="宋体"/>
        </w:rPr>
        <w:tab/>
      </w:r>
      <w:r>
        <w:rPr>
          <w:rFonts w:hint="eastAsia"/>
          <w:lang w:val="en-US" w:eastAsia="zh-CN"/>
        </w:rPr>
        <w:t xml:space="preserve">   </w:t>
      </w:r>
      <w:r>
        <w:rPr>
          <w:rFonts w:hint="eastAsia" w:ascii="宋体" w:eastAsia="宋体"/>
        </w:rPr>
        <w:t>《政策性搬迁纳税调整明细表》填报说明</w:t>
      </w:r>
      <w:r>
        <w:tab/>
      </w:r>
      <w:r>
        <w:fldChar w:fldCharType="begin"/>
      </w:r>
      <w:r>
        <w:instrText xml:space="preserve"> PAGEREF _Toc15228 \h </w:instrText>
      </w:r>
      <w:r>
        <w:fldChar w:fldCharType="separate"/>
      </w:r>
      <w:r>
        <w:t>121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_Toc19303 </w:instrText>
      </w:r>
      <w:r>
        <w:rPr>
          <w:rFonts w:hint="eastAsia" w:ascii="宋体" w:hAnsi="宋体" w:cs="宋体"/>
          <w:bCs/>
          <w:caps/>
          <w:lang w:val="en-US" w:eastAsia="zh-CN"/>
        </w:rPr>
        <w:fldChar w:fldCharType="separate"/>
      </w:r>
      <w:r>
        <w:rPr>
          <w:rFonts w:hint="eastAsia"/>
        </w:rPr>
        <w:t>A105120</w:t>
      </w:r>
      <w:r>
        <w:rPr>
          <w:rFonts w:hint="eastAsia"/>
        </w:rPr>
        <w:tab/>
      </w:r>
      <w:r>
        <w:rPr>
          <w:rFonts w:hint="eastAsia"/>
          <w:lang w:val="en-US" w:eastAsia="zh-CN"/>
        </w:rPr>
        <w:t xml:space="preserve">    </w:t>
      </w:r>
      <w:r>
        <w:rPr>
          <w:rFonts w:hint="eastAsia"/>
        </w:rPr>
        <w:t>贷款损失准备金及纳税调整明细表</w:t>
      </w:r>
      <w:r>
        <w:tab/>
      </w:r>
      <w:r>
        <w:fldChar w:fldCharType="begin"/>
      </w:r>
      <w:r>
        <w:instrText xml:space="preserve"> PAGEREF _Toc19303 \h </w:instrText>
      </w:r>
      <w:r>
        <w:fldChar w:fldCharType="separate"/>
      </w:r>
      <w:r>
        <w:t>124</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_Toc11007 </w:instrText>
      </w:r>
      <w:r>
        <w:rPr>
          <w:rFonts w:hint="eastAsia" w:ascii="宋体" w:hAnsi="宋体" w:cs="宋体"/>
          <w:bCs/>
          <w:caps/>
          <w:lang w:val="en-US" w:eastAsia="zh-CN"/>
        </w:rPr>
        <w:fldChar w:fldCharType="separate"/>
      </w:r>
      <w:r>
        <w:rPr>
          <w:rFonts w:hint="eastAsia"/>
        </w:rPr>
        <w:t>A105120</w:t>
      </w:r>
      <w:r>
        <w:rPr>
          <w:rFonts w:hint="eastAsia"/>
          <w:lang w:val="en-US" w:eastAsia="zh-CN"/>
        </w:rPr>
        <w:t xml:space="preserve">   </w:t>
      </w:r>
      <w:r>
        <w:rPr>
          <w:rFonts w:hint="eastAsia"/>
        </w:rPr>
        <w:t>《贷款损失准备金及纳税调整明细表》填报说明</w:t>
      </w:r>
      <w:r>
        <w:tab/>
      </w:r>
      <w:r>
        <w:fldChar w:fldCharType="begin"/>
      </w:r>
      <w:r>
        <w:instrText xml:space="preserve"> PAGEREF _Toc11007 \h </w:instrText>
      </w:r>
      <w:r>
        <w:fldChar w:fldCharType="separate"/>
      </w:r>
      <w:r>
        <w:t>125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_Toc10588 </w:instrText>
      </w:r>
      <w:r>
        <w:rPr>
          <w:rFonts w:hint="eastAsia"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ab/>
      </w:r>
      <w:r>
        <w:rPr>
          <w:rFonts w:hint="eastAsia"/>
        </w:rPr>
        <w:t>企业所得税弥补亏损明细表</w:t>
      </w:r>
      <w:r>
        <w:tab/>
      </w:r>
      <w:r>
        <w:fldChar w:fldCharType="begin"/>
      </w:r>
      <w:r>
        <w:instrText xml:space="preserve"> PAGEREF _Toc10588 \h </w:instrText>
      </w:r>
      <w:r>
        <w:fldChar w:fldCharType="separate"/>
      </w:r>
      <w:r>
        <w:t>128</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_Toc13638 </w:instrText>
      </w:r>
      <w:r>
        <w:rPr>
          <w:rFonts w:hint="eastAsia"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《企业所得税弥补亏损明细表》填报说明</w:t>
      </w:r>
      <w:r>
        <w:tab/>
      </w:r>
      <w:r>
        <w:fldChar w:fldCharType="begin"/>
      </w:r>
      <w:r>
        <w:instrText xml:space="preserve"> PAGEREF _Toc13638 \h </w:instrText>
      </w:r>
      <w:r>
        <w:fldChar w:fldCharType="separate"/>
      </w:r>
      <w:r>
        <w:t>129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_Toc8500 </w:instrText>
      </w:r>
      <w:r>
        <w:rPr>
          <w:rFonts w:hint="eastAsia" w:ascii="宋体" w:hAnsi="宋体" w:cs="宋体"/>
          <w:bCs/>
          <w:caps/>
          <w:lang w:val="en-US" w:eastAsia="zh-CN"/>
        </w:rPr>
        <w:fldChar w:fldCharType="separate"/>
      </w:r>
      <w:r>
        <w:rPr>
          <w:rFonts w:hint="eastAsia" w:ascii="宋体" w:hAnsi="宋体" w:eastAsia="宋体" w:cs="宋体"/>
        </w:rPr>
        <w:t>A107010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免税、减计收入及加计扣除优惠明细表</w:t>
      </w:r>
      <w:r>
        <w:tab/>
      </w:r>
      <w:r>
        <w:fldChar w:fldCharType="begin"/>
      </w:r>
      <w:r>
        <w:instrText xml:space="preserve"> PAGEREF _Toc8500 \h </w:instrText>
      </w:r>
      <w:r>
        <w:fldChar w:fldCharType="separate"/>
      </w:r>
      <w:r>
        <w:t>133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_Toc88 </w:instrText>
      </w:r>
      <w:r>
        <w:rPr>
          <w:rFonts w:hint="eastAsia" w:ascii="宋体" w:hAnsi="宋体" w:cs="宋体"/>
          <w:bCs/>
          <w:caps/>
          <w:lang w:val="en-US" w:eastAsia="zh-CN"/>
        </w:rPr>
        <w:fldChar w:fldCharType="separate"/>
      </w:r>
      <w:r>
        <w:rPr>
          <w:rFonts w:hint="eastAsia" w:ascii="宋体" w:hAnsi="宋体" w:eastAsia="宋体" w:cs="宋体"/>
          <w:lang w:val="zh-CN"/>
        </w:rPr>
        <w:t>A107010</w:t>
      </w:r>
      <w:r>
        <w:rPr>
          <w:rFonts w:hint="eastAsia" w:ascii="宋体" w:hAnsi="宋体" w:eastAsia="宋体" w:cs="宋体"/>
          <w:lang w:val="zh-CN"/>
        </w:rPr>
        <w:tab/>
      </w:r>
      <w:r>
        <w:rPr>
          <w:rFonts w:hint="eastAsia" w:cs="宋体"/>
          <w:lang w:val="en-US" w:eastAsia="zh-CN"/>
        </w:rPr>
        <w:t xml:space="preserve">   </w:t>
      </w:r>
      <w:r>
        <w:rPr>
          <w:rFonts w:hint="eastAsia" w:ascii="宋体" w:hAnsi="宋体" w:eastAsia="宋体" w:cs="宋体"/>
          <w:lang w:val="zh-CN"/>
        </w:rPr>
        <w:t>《免税、减计收入及加计扣除优惠明细表》填报说明</w:t>
      </w:r>
      <w:r>
        <w:tab/>
      </w:r>
      <w:r>
        <w:fldChar w:fldCharType="begin"/>
      </w:r>
      <w:r>
        <w:instrText xml:space="preserve"> PAGEREF _Toc88 \h </w:instrText>
      </w:r>
      <w:r>
        <w:fldChar w:fldCharType="separate"/>
      </w:r>
      <w:r>
        <w:t>135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_Toc17492 </w:instrText>
      </w:r>
      <w:r>
        <w:rPr>
          <w:rFonts w:hint="eastAsia" w:ascii="宋体" w:hAnsi="宋体" w:cs="宋体"/>
          <w:bCs/>
          <w:caps/>
          <w:lang w:val="en-US" w:eastAsia="zh-CN"/>
        </w:rPr>
        <w:fldChar w:fldCharType="separate"/>
      </w:r>
      <w:r>
        <w:rPr>
          <w:rFonts w:ascii="宋体" w:hAnsi="宋体" w:cs="宋体"/>
          <w:bCs/>
          <w:kern w:val="0"/>
          <w:szCs w:val="28"/>
        </w:rPr>
        <w:t>A107011</w:t>
      </w:r>
      <w:r>
        <w:rPr>
          <w:rFonts w:hint="eastAsia" w:cs="宋体"/>
          <w:bCs/>
          <w:kern w:val="0"/>
          <w:szCs w:val="28"/>
          <w:lang w:val="en-US" w:eastAsia="zh-CN"/>
        </w:rPr>
        <w:t xml:space="preserve">    </w:t>
      </w:r>
      <w:r>
        <w:rPr>
          <w:rFonts w:hint="eastAsia" w:ascii="宋体" w:hAnsi="宋体" w:cs="宋体"/>
          <w:bCs/>
          <w:kern w:val="0"/>
          <w:szCs w:val="28"/>
        </w:rPr>
        <w:tab/>
      </w:r>
      <w:r>
        <w:rPr>
          <w:rFonts w:hint="eastAsia" w:ascii="宋体" w:hAnsi="宋体" w:cs="宋体"/>
          <w:bCs/>
          <w:kern w:val="0"/>
          <w:szCs w:val="28"/>
        </w:rPr>
        <w:t>符合条件的居民企业之间的股息、红利等权益性投资收益优惠明细表</w:t>
      </w:r>
      <w:r>
        <w:tab/>
      </w:r>
      <w:r>
        <w:fldChar w:fldCharType="begin"/>
      </w:r>
      <w:r>
        <w:instrText xml:space="preserve"> PAGEREF _Toc17492 \h </w:instrText>
      </w:r>
      <w:r>
        <w:fldChar w:fldCharType="separate"/>
      </w:r>
      <w:r>
        <w:t>142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_Toc13717 </w:instrText>
      </w:r>
      <w:r>
        <w:rPr>
          <w:rFonts w:hint="eastAsia" w:ascii="宋体" w:hAnsi="宋体" w:cs="宋体"/>
          <w:bCs/>
          <w:caps/>
          <w:lang w:val="en-US" w:eastAsia="zh-CN"/>
        </w:rPr>
        <w:fldChar w:fldCharType="separate"/>
      </w:r>
      <w:r>
        <w:rPr>
          <w:rFonts w:ascii="宋体" w:hAnsi="宋体" w:cs="宋体"/>
          <w:kern w:val="44"/>
          <w:szCs w:val="28"/>
          <w:lang w:val="zh-CN"/>
        </w:rPr>
        <w:t>A107011</w:t>
      </w:r>
      <w:r>
        <w:rPr>
          <w:rFonts w:hint="eastAsia" w:cs="宋体"/>
          <w:kern w:val="44"/>
          <w:szCs w:val="28"/>
          <w:lang w:val="en-US" w:eastAsia="zh-CN"/>
        </w:rPr>
        <w:t xml:space="preserve">   </w:t>
      </w:r>
      <w:r>
        <w:rPr>
          <w:rFonts w:hint="eastAsia" w:ascii="宋体" w:hAnsi="宋体" w:cs="宋体"/>
          <w:kern w:val="44"/>
          <w:szCs w:val="28"/>
          <w:lang w:val="zh-CN"/>
        </w:rPr>
        <w:t>《符合条件的居民企业之间的股息、红利等权益性投资收益优惠明细表》填报说明</w:t>
      </w:r>
      <w:r>
        <w:tab/>
      </w:r>
      <w:r>
        <w:fldChar w:fldCharType="begin"/>
      </w:r>
      <w:r>
        <w:instrText xml:space="preserve"> PAGEREF _Toc13717 \h </w:instrText>
      </w:r>
      <w:r>
        <w:fldChar w:fldCharType="separate"/>
      </w:r>
      <w:r>
        <w:t>143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_Toc17897 </w:instrText>
      </w:r>
      <w:r>
        <w:rPr>
          <w:rFonts w:hint="eastAsia" w:ascii="宋体" w:hAnsi="宋体" w:cs="宋体"/>
          <w:bCs/>
          <w:caps/>
          <w:lang w:val="en-US" w:eastAsia="zh-CN"/>
        </w:rPr>
        <w:fldChar w:fldCharType="separate"/>
      </w:r>
      <w:r>
        <w:rPr>
          <w:rFonts w:ascii="宋体" w:hAnsi="宋体" w:cs="宋体"/>
          <w:bCs/>
          <w:kern w:val="0"/>
          <w:szCs w:val="28"/>
        </w:rPr>
        <w:t>A107012</w:t>
      </w:r>
      <w:r>
        <w:rPr>
          <w:rFonts w:hint="eastAsia" w:cs="宋体"/>
          <w:bCs/>
          <w:kern w:val="0"/>
          <w:szCs w:val="28"/>
          <w:lang w:val="en-US" w:eastAsia="zh-CN"/>
        </w:rPr>
        <w:t xml:space="preserve">    </w:t>
      </w:r>
      <w:r>
        <w:rPr>
          <w:rFonts w:ascii="宋体" w:hAnsi="宋体" w:cs="宋体"/>
          <w:bCs/>
          <w:kern w:val="0"/>
          <w:szCs w:val="28"/>
        </w:rPr>
        <w:tab/>
      </w:r>
      <w:r>
        <w:rPr>
          <w:rFonts w:hint="eastAsia" w:ascii="宋体" w:hAnsi="宋体" w:cs="宋体"/>
          <w:bCs/>
          <w:kern w:val="0"/>
          <w:szCs w:val="28"/>
        </w:rPr>
        <w:t>研发费用加计扣除优惠明细表</w:t>
      </w:r>
      <w:r>
        <w:tab/>
      </w:r>
      <w:r>
        <w:fldChar w:fldCharType="begin"/>
      </w:r>
      <w:r>
        <w:instrText xml:space="preserve"> PAGEREF _Toc17897 \h </w:instrText>
      </w:r>
      <w:r>
        <w:fldChar w:fldCharType="separate"/>
      </w:r>
      <w:r>
        <w:t>147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_Toc21913 </w:instrText>
      </w:r>
      <w:r>
        <w:rPr>
          <w:rFonts w:hint="eastAsia" w:ascii="宋体" w:hAnsi="宋体" w:cs="宋体"/>
          <w:bCs/>
          <w:caps/>
          <w:lang w:val="en-US" w:eastAsia="zh-CN"/>
        </w:rPr>
        <w:fldChar w:fldCharType="separate"/>
      </w:r>
      <w:r>
        <w:rPr>
          <w:rFonts w:ascii="宋体" w:hAnsi="宋体" w:cs="方正小标宋简体"/>
          <w:kern w:val="44"/>
          <w:szCs w:val="28"/>
        </w:rPr>
        <w:t>A107012</w:t>
      </w:r>
      <w:r>
        <w:rPr>
          <w:rFonts w:hint="eastAsia" w:cs="方正小标宋简体"/>
          <w:kern w:val="44"/>
          <w:szCs w:val="28"/>
          <w:lang w:val="en-US" w:eastAsia="zh-CN"/>
        </w:rPr>
        <w:t xml:space="preserve">   </w:t>
      </w:r>
      <w:r>
        <w:rPr>
          <w:rFonts w:hint="eastAsia" w:ascii="宋体" w:hAnsi="宋体" w:cs="方正小标宋简体"/>
          <w:kern w:val="44"/>
          <w:szCs w:val="28"/>
        </w:rPr>
        <w:t>《研发费用加计扣除优惠明细表》填报说明</w:t>
      </w:r>
      <w:r>
        <w:tab/>
      </w:r>
      <w:r>
        <w:fldChar w:fldCharType="begin"/>
      </w:r>
      <w:r>
        <w:instrText xml:space="preserve"> PAGEREF _Toc21913 \h </w:instrText>
      </w:r>
      <w:r>
        <w:fldChar w:fldCharType="separate"/>
      </w:r>
      <w:r>
        <w:t>149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_Toc23988 </w:instrText>
      </w:r>
      <w:r>
        <w:rPr>
          <w:rFonts w:hint="eastAsia" w:ascii="宋体" w:hAnsi="宋体" w:cs="宋体"/>
          <w:bCs/>
          <w:caps/>
          <w:lang w:val="en-US" w:eastAsia="zh-CN"/>
        </w:rPr>
        <w:fldChar w:fldCharType="separate"/>
      </w:r>
      <w:r>
        <w:rPr>
          <w:rFonts w:hint="eastAsia"/>
        </w:rPr>
        <w:t>A107020</w:t>
      </w:r>
      <w:r>
        <w:rPr>
          <w:rFonts w:hint="eastAsia"/>
          <w:lang w:val="en-US" w:eastAsia="zh-CN"/>
        </w:rPr>
        <w:t xml:space="preserve">    </w:t>
      </w:r>
      <w:r>
        <w:rPr>
          <w:rFonts w:hint="eastAsia"/>
        </w:rPr>
        <w:tab/>
      </w:r>
      <w:r>
        <w:rPr>
          <w:rFonts w:hint="eastAsia"/>
        </w:rPr>
        <w:t>所得减免优惠明细表</w:t>
      </w:r>
      <w:r>
        <w:tab/>
      </w:r>
      <w:r>
        <w:fldChar w:fldCharType="begin"/>
      </w:r>
      <w:r>
        <w:instrText xml:space="preserve"> PAGEREF _Toc23988 \h </w:instrText>
      </w:r>
      <w:r>
        <w:fldChar w:fldCharType="separate"/>
      </w:r>
      <w:r>
        <w:t>156</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_Toc29779 </w:instrText>
      </w:r>
      <w:r>
        <w:rPr>
          <w:rFonts w:hint="eastAsia" w:ascii="宋体" w:hAnsi="宋体" w:cs="宋体"/>
          <w:bCs/>
          <w:caps/>
          <w:lang w:val="en-US" w:eastAsia="zh-CN"/>
        </w:rPr>
        <w:fldChar w:fldCharType="separate"/>
      </w:r>
      <w:r>
        <w:rPr>
          <w:rFonts w:hint="eastAsia"/>
        </w:rPr>
        <w:t>A107020</w:t>
      </w:r>
      <w:r>
        <w:rPr>
          <w:rFonts w:hint="eastAsia"/>
          <w:lang w:val="en-US" w:eastAsia="zh-CN"/>
        </w:rPr>
        <w:t xml:space="preserve">   </w:t>
      </w:r>
      <w:r>
        <w:rPr>
          <w:rFonts w:hint="eastAsia"/>
        </w:rPr>
        <w:t>《所得减免优惠明细表》填报说明</w:t>
      </w:r>
      <w:r>
        <w:tab/>
      </w:r>
      <w:r>
        <w:fldChar w:fldCharType="begin"/>
      </w:r>
      <w:r>
        <w:instrText xml:space="preserve"> PAGEREF _Toc29779 \h </w:instrText>
      </w:r>
      <w:r>
        <w:fldChar w:fldCharType="separate"/>
      </w:r>
      <w:r>
        <w:t>158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_Toc26195 </w:instrText>
      </w:r>
      <w:r>
        <w:rPr>
          <w:rFonts w:hint="eastAsia" w:ascii="宋体" w:hAnsi="宋体" w:cs="宋体"/>
          <w:bCs/>
          <w:caps/>
          <w:lang w:val="en-US" w:eastAsia="zh-CN"/>
        </w:rPr>
        <w:fldChar w:fldCharType="separate"/>
      </w:r>
      <w:r>
        <w:rPr>
          <w:rFonts w:hint="eastAsia"/>
        </w:rPr>
        <w:t>A107030</w:t>
      </w:r>
      <w:r>
        <w:tab/>
      </w:r>
      <w:r>
        <w:rPr>
          <w:rFonts w:hint="eastAsia"/>
          <w:lang w:val="en-US" w:eastAsia="zh-CN"/>
        </w:rPr>
        <w:t xml:space="preserve">    </w:t>
      </w:r>
      <w:r>
        <w:rPr>
          <w:rFonts w:hint="eastAsia"/>
        </w:rPr>
        <w:t>抵扣应纳税所得额明细表</w:t>
      </w:r>
      <w:r>
        <w:tab/>
      </w:r>
      <w:r>
        <w:fldChar w:fldCharType="begin"/>
      </w:r>
      <w:r>
        <w:instrText xml:space="preserve"> PAGEREF _Toc26195 \h </w:instrText>
      </w:r>
      <w:r>
        <w:fldChar w:fldCharType="separate"/>
      </w:r>
      <w:r>
        <w:t>167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_Toc26283 </w:instrText>
      </w:r>
      <w:r>
        <w:rPr>
          <w:rFonts w:hint="eastAsia" w:ascii="宋体" w:hAnsi="宋体" w:cs="宋体"/>
          <w:bCs/>
          <w:caps/>
          <w:lang w:val="en-US" w:eastAsia="zh-CN"/>
        </w:rPr>
        <w:fldChar w:fldCharType="separate"/>
      </w:r>
      <w:r>
        <w:rPr>
          <w:rFonts w:hint="eastAsia" w:ascii="宋体" w:eastAsia="宋体"/>
        </w:rPr>
        <w:t>A107030</w:t>
      </w:r>
      <w:r>
        <w:rPr>
          <w:rFonts w:hint="eastAsia"/>
          <w:lang w:val="en-US" w:eastAsia="zh-CN"/>
        </w:rPr>
        <w:t xml:space="preserve">   </w:t>
      </w:r>
      <w:r>
        <w:rPr>
          <w:rFonts w:hint="eastAsia" w:ascii="宋体" w:eastAsia="宋体"/>
        </w:rPr>
        <w:t>《抵扣应纳税所得额明细表》填报说明</w:t>
      </w:r>
      <w:r>
        <w:tab/>
      </w:r>
      <w:r>
        <w:fldChar w:fldCharType="begin"/>
      </w:r>
      <w:r>
        <w:instrText xml:space="preserve"> PAGEREF _Toc26283 \h </w:instrText>
      </w:r>
      <w:r>
        <w:fldChar w:fldCharType="separate"/>
      </w:r>
      <w:r>
        <w:t>168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_Toc15051 </w:instrText>
      </w:r>
      <w:r>
        <w:rPr>
          <w:rFonts w:hint="eastAsia" w:ascii="宋体" w:hAnsi="宋体" w:cs="宋体"/>
          <w:bCs/>
          <w:caps/>
          <w:lang w:val="en-US" w:eastAsia="zh-CN"/>
        </w:rPr>
        <w:fldChar w:fldCharType="separate"/>
      </w:r>
      <w:r>
        <w:rPr>
          <w:rFonts w:hint="eastAsia"/>
        </w:rPr>
        <w:t>A107040</w:t>
      </w:r>
      <w:r>
        <w:rPr>
          <w:rFonts w:hint="eastAsia"/>
          <w:lang w:val="en-US" w:eastAsia="zh-CN"/>
        </w:rPr>
        <w:t xml:space="preserve">    </w:t>
      </w:r>
      <w:r>
        <w:rPr>
          <w:rFonts w:hint="eastAsia"/>
        </w:rPr>
        <w:tab/>
      </w:r>
      <w:r>
        <w:rPr>
          <w:rFonts w:hint="eastAsia"/>
        </w:rPr>
        <w:t>减免所得税优惠明细表</w:t>
      </w:r>
      <w:r>
        <w:tab/>
      </w:r>
      <w:r>
        <w:fldChar w:fldCharType="begin"/>
      </w:r>
      <w:r>
        <w:instrText xml:space="preserve"> PAGEREF _Toc15051 \h </w:instrText>
      </w:r>
      <w:r>
        <w:fldChar w:fldCharType="separate"/>
      </w:r>
      <w:r>
        <w:t>172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_Toc30308 </w:instrText>
      </w:r>
      <w:r>
        <w:rPr>
          <w:rFonts w:hint="eastAsia" w:ascii="宋体" w:hAnsi="宋体" w:cs="宋体"/>
          <w:bCs/>
          <w:caps/>
          <w:lang w:val="en-US" w:eastAsia="zh-CN"/>
        </w:rPr>
        <w:fldChar w:fldCharType="separate"/>
      </w:r>
      <w:r>
        <w:rPr>
          <w:rFonts w:hint="eastAsia" w:ascii="宋体" w:hAnsi="宋体" w:eastAsia="宋体" w:cs="宋体"/>
        </w:rPr>
        <w:t>A107040</w:t>
      </w:r>
      <w:r>
        <w:rPr>
          <w:rFonts w:hint="eastAsia" w:cs="宋体"/>
          <w:lang w:val="en-US" w:eastAsia="zh-CN"/>
        </w:rPr>
        <w:t xml:space="preserve">   </w:t>
      </w:r>
      <w:r>
        <w:rPr>
          <w:rFonts w:hint="eastAsia" w:ascii="宋体" w:hAnsi="宋体" w:eastAsia="宋体" w:cs="宋体"/>
        </w:rPr>
        <w:t>《减免所得税优惠明细表》填报说明</w:t>
      </w:r>
      <w:r>
        <w:tab/>
      </w:r>
      <w:r>
        <w:fldChar w:fldCharType="begin"/>
      </w:r>
      <w:r>
        <w:instrText xml:space="preserve"> PAGEREF _Toc30308 \h </w:instrText>
      </w:r>
      <w:r>
        <w:fldChar w:fldCharType="separate"/>
      </w:r>
      <w:r>
        <w:t>174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_Toc13657 </w:instrText>
      </w:r>
      <w:r>
        <w:rPr>
          <w:rFonts w:hint="eastAsia" w:ascii="宋体" w:hAnsi="宋体" w:cs="宋体"/>
          <w:bCs/>
          <w:caps/>
          <w:lang w:val="en-US" w:eastAsia="zh-CN"/>
        </w:rPr>
        <w:fldChar w:fldCharType="separate"/>
      </w:r>
      <w:r>
        <w:rPr>
          <w:rFonts w:ascii="宋体" w:hAnsi="宋体" w:cs="宋体"/>
          <w:bCs/>
          <w:kern w:val="0"/>
          <w:szCs w:val="28"/>
        </w:rPr>
        <w:t>A107041</w:t>
      </w:r>
      <w:r>
        <w:rPr>
          <w:rFonts w:hint="eastAsia" w:cs="宋体"/>
          <w:bCs/>
          <w:kern w:val="0"/>
          <w:szCs w:val="28"/>
          <w:lang w:val="en-US" w:eastAsia="zh-CN"/>
        </w:rPr>
        <w:t xml:space="preserve">    </w:t>
      </w:r>
      <w:r>
        <w:rPr>
          <w:rFonts w:ascii="宋体" w:hAnsi="宋体" w:cs="宋体"/>
          <w:bCs/>
          <w:kern w:val="0"/>
          <w:szCs w:val="28"/>
        </w:rPr>
        <w:tab/>
      </w:r>
      <w:r>
        <w:rPr>
          <w:rFonts w:hint="eastAsia" w:ascii="宋体" w:hAnsi="宋体" w:cs="宋体"/>
          <w:bCs/>
          <w:kern w:val="0"/>
          <w:szCs w:val="28"/>
        </w:rPr>
        <w:t>高新技术企业优惠情况及明细表</w:t>
      </w:r>
      <w:r>
        <w:tab/>
      </w:r>
      <w:r>
        <w:fldChar w:fldCharType="begin"/>
      </w:r>
      <w:r>
        <w:instrText xml:space="preserve"> PAGEREF _Toc13657 \h </w:instrText>
      </w:r>
      <w:r>
        <w:fldChar w:fldCharType="separate"/>
      </w:r>
      <w:r>
        <w:t>190</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_Toc5675 </w:instrText>
      </w:r>
      <w:r>
        <w:rPr>
          <w:rFonts w:hint="eastAsia" w:ascii="宋体" w:hAnsi="宋体" w:cs="宋体"/>
          <w:bCs/>
          <w:caps/>
          <w:lang w:val="en-US" w:eastAsia="zh-CN"/>
        </w:rPr>
        <w:fldChar w:fldCharType="separate"/>
      </w:r>
      <w:r>
        <w:rPr>
          <w:rFonts w:ascii="宋体" w:hAnsi="宋体" w:cs="方正小标宋简体"/>
          <w:kern w:val="44"/>
          <w:szCs w:val="28"/>
        </w:rPr>
        <w:t>A107041</w:t>
      </w:r>
      <w:r>
        <w:rPr>
          <w:rFonts w:hint="eastAsia" w:cs="方正小标宋简体"/>
          <w:kern w:val="44"/>
          <w:szCs w:val="28"/>
          <w:lang w:val="en-US" w:eastAsia="zh-CN"/>
        </w:rPr>
        <w:t xml:space="preserve">   </w:t>
      </w:r>
      <w:r>
        <w:rPr>
          <w:rFonts w:hint="eastAsia" w:ascii="宋体" w:hAnsi="宋体" w:cs="方正小标宋简体"/>
          <w:kern w:val="44"/>
          <w:szCs w:val="28"/>
        </w:rPr>
        <w:t>《高新技术企业优惠情况及明细表》填报说明</w:t>
      </w:r>
      <w:r>
        <w:tab/>
      </w:r>
      <w:r>
        <w:fldChar w:fldCharType="begin"/>
      </w:r>
      <w:r>
        <w:instrText xml:space="preserve"> PAGEREF _Toc5675 \h </w:instrText>
      </w:r>
      <w:r>
        <w:fldChar w:fldCharType="separate"/>
      </w:r>
      <w:r>
        <w:t>191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_Toc469 </w:instrText>
      </w:r>
      <w:r>
        <w:rPr>
          <w:rFonts w:hint="eastAsia" w:ascii="宋体" w:hAnsi="宋体" w:cs="宋体"/>
          <w:bCs/>
          <w:caps/>
          <w:lang w:val="en-US" w:eastAsia="zh-CN"/>
        </w:rPr>
        <w:fldChar w:fldCharType="separate"/>
      </w:r>
      <w:r>
        <w:rPr>
          <w:rFonts w:hint="eastAsia"/>
        </w:rPr>
        <w:t>A107042</w:t>
      </w:r>
      <w:r>
        <w:rPr>
          <w:rFonts w:hint="eastAsia"/>
        </w:rPr>
        <w:tab/>
      </w:r>
      <w:r>
        <w:rPr>
          <w:rFonts w:hint="eastAsia"/>
          <w:lang w:val="en-US" w:eastAsia="zh-CN"/>
        </w:rPr>
        <w:t xml:space="preserve">    </w:t>
      </w:r>
      <w:r>
        <w:rPr>
          <w:rFonts w:hint="eastAsia"/>
        </w:rPr>
        <w:t>软件、集成电路企业优惠情况及明细表</w:t>
      </w:r>
      <w:r>
        <w:tab/>
      </w:r>
      <w:r>
        <w:fldChar w:fldCharType="begin"/>
      </w:r>
      <w:r>
        <w:instrText xml:space="preserve"> PAGEREF _Toc469 \h </w:instrText>
      </w:r>
      <w:r>
        <w:fldChar w:fldCharType="separate"/>
      </w:r>
      <w:r>
        <w:t>195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_Toc7911 </w:instrText>
      </w:r>
      <w:r>
        <w:rPr>
          <w:rFonts w:hint="eastAsia" w:ascii="宋体" w:hAnsi="宋体" w:cs="宋体"/>
          <w:bCs/>
          <w:caps/>
          <w:lang w:val="en-US" w:eastAsia="zh-CN"/>
        </w:rPr>
        <w:fldChar w:fldCharType="separate"/>
      </w:r>
      <w:r>
        <w:rPr>
          <w:rFonts w:hint="eastAsia" w:ascii="宋体" w:hAnsi="宋体" w:eastAsia="宋体" w:cs="宋体"/>
        </w:rPr>
        <w:t>A107042</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《软件、集成电路企业优惠情况及明细表》填报说明</w:t>
      </w:r>
      <w:r>
        <w:tab/>
      </w:r>
      <w:r>
        <w:fldChar w:fldCharType="begin"/>
      </w:r>
      <w:r>
        <w:instrText xml:space="preserve"> PAGEREF _Toc7911 \h </w:instrText>
      </w:r>
      <w:r>
        <w:fldChar w:fldCharType="separate"/>
      </w:r>
      <w:r>
        <w:t>196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_Toc18479 </w:instrText>
      </w:r>
      <w:r>
        <w:rPr>
          <w:rFonts w:hint="eastAsia" w:ascii="宋体" w:hAnsi="宋体" w:cs="宋体"/>
          <w:bCs/>
          <w:caps/>
          <w:lang w:val="en-US" w:eastAsia="zh-CN"/>
        </w:rPr>
        <w:fldChar w:fldCharType="separate"/>
      </w:r>
      <w:r>
        <w:rPr>
          <w:rFonts w:hint="eastAsia"/>
        </w:rPr>
        <w:t>A107050</w:t>
      </w:r>
      <w:r>
        <w:rPr>
          <w:rFonts w:hint="eastAsia"/>
          <w:lang w:val="en-US" w:eastAsia="zh-CN"/>
        </w:rPr>
        <w:t xml:space="preserve">     </w:t>
      </w:r>
      <w:r>
        <w:tab/>
      </w:r>
      <w:r>
        <w:rPr>
          <w:rFonts w:hint="eastAsia"/>
        </w:rPr>
        <w:t>税额抵免优惠明细表</w:t>
      </w:r>
      <w:r>
        <w:tab/>
      </w:r>
      <w:r>
        <w:fldChar w:fldCharType="begin"/>
      </w:r>
      <w:r>
        <w:instrText xml:space="preserve"> PAGEREF _Toc18479 \h </w:instrText>
      </w:r>
      <w:r>
        <w:fldChar w:fldCharType="separate"/>
      </w:r>
      <w:r>
        <w:t>203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_Toc10443 </w:instrText>
      </w:r>
      <w:r>
        <w:rPr>
          <w:rFonts w:hint="eastAsia" w:ascii="宋体" w:hAnsi="宋体" w:cs="宋体"/>
          <w:bCs/>
          <w:caps/>
          <w:lang w:val="en-US" w:eastAsia="zh-CN"/>
        </w:rPr>
        <w:fldChar w:fldCharType="separate"/>
      </w:r>
      <w:r>
        <w:rPr>
          <w:rFonts w:hint="eastAsia" w:ascii="宋体" w:eastAsia="宋体"/>
        </w:rPr>
        <w:t>A107050</w:t>
      </w:r>
      <w:r>
        <w:rPr>
          <w:rFonts w:hint="eastAsia"/>
          <w:lang w:val="en-US" w:eastAsia="zh-CN"/>
        </w:rPr>
        <w:t xml:space="preserve">   </w:t>
      </w:r>
      <w:r>
        <w:rPr>
          <w:rFonts w:hint="eastAsia" w:ascii="宋体" w:eastAsia="宋体"/>
        </w:rPr>
        <w:t>《税额抵免优惠明细表》填报说明</w:t>
      </w:r>
      <w:r>
        <w:tab/>
      </w:r>
      <w:r>
        <w:fldChar w:fldCharType="begin"/>
      </w:r>
      <w:r>
        <w:instrText xml:space="preserve"> PAGEREF _Toc10443 \h </w:instrText>
      </w:r>
      <w:r>
        <w:fldChar w:fldCharType="separate"/>
      </w:r>
      <w:r>
        <w:t>204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_Toc6093 </w:instrText>
      </w:r>
      <w:r>
        <w:rPr>
          <w:rFonts w:hint="eastAsia" w:ascii="宋体" w:hAnsi="宋体" w:cs="宋体"/>
          <w:bCs/>
          <w:caps/>
          <w:lang w:val="en-US" w:eastAsia="zh-CN"/>
        </w:rPr>
        <w:fldChar w:fldCharType="separate"/>
      </w:r>
      <w:r>
        <w:rPr>
          <w:rFonts w:hint="eastAsia"/>
        </w:rPr>
        <w:t>A108000</w:t>
      </w:r>
      <w:r>
        <w:tab/>
      </w:r>
      <w:r>
        <w:rPr>
          <w:rFonts w:hint="eastAsia"/>
          <w:lang w:val="en-US" w:eastAsia="zh-CN"/>
        </w:rPr>
        <w:t xml:space="preserve">    </w:t>
      </w:r>
      <w:r>
        <w:rPr>
          <w:rFonts w:hint="eastAsia"/>
        </w:rPr>
        <w:t>境外所得税收抵免明细表</w:t>
      </w:r>
      <w:r>
        <w:tab/>
      </w:r>
      <w:r>
        <w:fldChar w:fldCharType="begin"/>
      </w:r>
      <w:r>
        <w:instrText xml:space="preserve"> PAGEREF _Toc6093 \h </w:instrText>
      </w:r>
      <w:r>
        <w:fldChar w:fldCharType="separate"/>
      </w:r>
      <w:r>
        <w:t>207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_Toc26041 </w:instrText>
      </w:r>
      <w:r>
        <w:rPr>
          <w:rFonts w:hint="eastAsia" w:ascii="宋体" w:hAnsi="宋体" w:cs="宋体"/>
          <w:bCs/>
          <w:caps/>
          <w:lang w:val="en-US" w:eastAsia="zh-CN"/>
        </w:rPr>
        <w:fldChar w:fldCharType="separate"/>
      </w:r>
      <w:r>
        <w:rPr>
          <w:rFonts w:hint="eastAsia"/>
        </w:rPr>
        <w:t>A108000</w:t>
      </w:r>
      <w:r>
        <w:rPr>
          <w:rFonts w:hint="eastAsia"/>
          <w:lang w:val="en-US" w:eastAsia="zh-CN"/>
        </w:rPr>
        <w:t xml:space="preserve">   </w:t>
      </w:r>
      <w:r>
        <w:rPr>
          <w:rFonts w:hint="eastAsia"/>
        </w:rPr>
        <w:t>《境外所得税收抵免明细表》填报说明</w:t>
      </w:r>
      <w:r>
        <w:tab/>
      </w:r>
      <w:r>
        <w:fldChar w:fldCharType="begin"/>
      </w:r>
      <w:r>
        <w:instrText xml:space="preserve"> PAGEREF _Toc26041 \h </w:instrText>
      </w:r>
      <w:r>
        <w:fldChar w:fldCharType="separate"/>
      </w:r>
      <w:r>
        <w:t>208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_Toc717 </w:instrText>
      </w:r>
      <w:r>
        <w:rPr>
          <w:rFonts w:hint="eastAsia"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w:t>
      </w:r>
      <w:r>
        <w:tab/>
      </w:r>
      <w:r>
        <w:fldChar w:fldCharType="begin"/>
      </w:r>
      <w:r>
        <w:instrText xml:space="preserve"> PAGEREF _Toc717 \h </w:instrText>
      </w:r>
      <w:r>
        <w:fldChar w:fldCharType="separate"/>
      </w:r>
      <w:r>
        <w:t>212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_Toc20469 </w:instrText>
      </w:r>
      <w:r>
        <w:rPr>
          <w:rFonts w:hint="eastAsia"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《境外所得纳税调整后所得明细表》填报说明</w:t>
      </w:r>
      <w:r>
        <w:tab/>
      </w:r>
      <w:r>
        <w:fldChar w:fldCharType="begin"/>
      </w:r>
      <w:r>
        <w:instrText xml:space="preserve"> PAGEREF _Toc20469 \h </w:instrText>
      </w:r>
      <w:r>
        <w:fldChar w:fldCharType="separate"/>
      </w:r>
      <w:r>
        <w:t>213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_Toc4226 </w:instrText>
      </w:r>
      <w:r>
        <w:rPr>
          <w:rFonts w:hint="eastAsia" w:ascii="宋体" w:hAnsi="宋体" w:cs="宋体"/>
          <w:bCs/>
          <w:caps/>
          <w:lang w:val="en-US" w:eastAsia="zh-CN"/>
        </w:rPr>
        <w:fldChar w:fldCharType="separate"/>
      </w:r>
      <w:r>
        <w:rPr>
          <w:rFonts w:ascii="宋体" w:hAnsi="宋体" w:cs="宋体"/>
          <w:bCs/>
          <w:kern w:val="0"/>
          <w:szCs w:val="28"/>
        </w:rPr>
        <w:t>A108020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境外分支机构弥补亏损明细表</w:t>
      </w:r>
      <w:r>
        <w:tab/>
      </w:r>
      <w:r>
        <w:fldChar w:fldCharType="begin"/>
      </w:r>
      <w:r>
        <w:instrText xml:space="preserve"> PAGEREF _Toc4226 \h </w:instrText>
      </w:r>
      <w:r>
        <w:fldChar w:fldCharType="separate"/>
      </w:r>
      <w:r>
        <w:t>217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_Toc22331 </w:instrText>
      </w:r>
      <w:r>
        <w:rPr>
          <w:rFonts w:hint="eastAsia" w:ascii="宋体" w:hAnsi="宋体" w:cs="宋体"/>
          <w:bCs/>
          <w:caps/>
          <w:lang w:val="en-US" w:eastAsia="zh-CN"/>
        </w:rPr>
        <w:fldChar w:fldCharType="separate"/>
      </w:r>
      <w:r>
        <w:rPr>
          <w:rFonts w:ascii="宋体" w:hAnsi="宋体" w:cs="方正小标宋简体"/>
          <w:kern w:val="44"/>
          <w:szCs w:val="28"/>
        </w:rPr>
        <w:t>A108020</w:t>
      </w:r>
      <w:r>
        <w:rPr>
          <w:rFonts w:hint="eastAsia" w:cs="方正小标宋简体"/>
          <w:kern w:val="44"/>
          <w:szCs w:val="28"/>
          <w:lang w:val="en-US" w:eastAsia="zh-CN"/>
        </w:rPr>
        <w:t xml:space="preserve">   </w:t>
      </w:r>
      <w:r>
        <w:rPr>
          <w:rFonts w:hint="eastAsia" w:ascii="宋体" w:hAnsi="宋体" w:cs="方正小标宋简体"/>
          <w:kern w:val="44"/>
          <w:szCs w:val="28"/>
        </w:rPr>
        <w:t>《境外分支机构弥补亏损明细表》填报说明</w:t>
      </w:r>
      <w:r>
        <w:tab/>
      </w:r>
      <w:r>
        <w:fldChar w:fldCharType="begin"/>
      </w:r>
      <w:r>
        <w:instrText xml:space="preserve"> PAGEREF _Toc22331 \h </w:instrText>
      </w:r>
      <w:r>
        <w:fldChar w:fldCharType="separate"/>
      </w:r>
      <w:r>
        <w:t>218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_Toc10400 </w:instrText>
      </w:r>
      <w:r>
        <w:rPr>
          <w:rFonts w:hint="eastAsia" w:ascii="宋体" w:hAnsi="宋体" w:cs="宋体"/>
          <w:bCs/>
          <w:caps/>
          <w:lang w:val="en-US" w:eastAsia="zh-CN"/>
        </w:rPr>
        <w:fldChar w:fldCharType="separate"/>
      </w:r>
      <w:r>
        <w:rPr>
          <w:rFonts w:hint="eastAsia"/>
        </w:rPr>
        <w:t>A108030</w:t>
      </w:r>
      <w:r>
        <w:rPr>
          <w:rFonts w:hint="eastAsia"/>
          <w:lang w:val="en-US" w:eastAsia="zh-CN"/>
        </w:rPr>
        <w:t xml:space="preserve">    </w:t>
      </w:r>
      <w:r>
        <w:tab/>
      </w:r>
      <w:r>
        <w:rPr>
          <w:rFonts w:hint="eastAsia"/>
        </w:rPr>
        <w:t>跨年度结转抵免境外所得税明细表</w:t>
      </w:r>
      <w:r>
        <w:tab/>
      </w:r>
      <w:r>
        <w:fldChar w:fldCharType="begin"/>
      </w:r>
      <w:r>
        <w:instrText xml:space="preserve"> PAGEREF _Toc10400 \h </w:instrText>
      </w:r>
      <w:r>
        <w:fldChar w:fldCharType="separate"/>
      </w:r>
      <w:r>
        <w:t>220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_Toc18354 </w:instrText>
      </w:r>
      <w:r>
        <w:rPr>
          <w:rFonts w:hint="eastAsia" w:ascii="宋体" w:hAnsi="宋体" w:cs="宋体"/>
          <w:bCs/>
          <w:caps/>
          <w:lang w:val="en-US" w:eastAsia="zh-CN"/>
        </w:rPr>
        <w:fldChar w:fldCharType="separate"/>
      </w:r>
      <w:r>
        <w:rPr>
          <w:rFonts w:hint="eastAsia" w:ascii="宋体" w:eastAsia="宋体"/>
        </w:rPr>
        <w:t>A108030</w:t>
      </w:r>
      <w:r>
        <w:rPr>
          <w:rFonts w:ascii="宋体" w:eastAsia="宋体"/>
        </w:rPr>
        <w:tab/>
      </w:r>
      <w:r>
        <w:rPr>
          <w:rFonts w:hint="eastAsia"/>
          <w:lang w:val="en-US" w:eastAsia="zh-CN"/>
        </w:rPr>
        <w:t xml:space="preserve">   </w:t>
      </w:r>
      <w:r>
        <w:rPr>
          <w:rFonts w:hint="eastAsia" w:ascii="宋体" w:eastAsia="宋体"/>
        </w:rPr>
        <w:t>《跨年度结转抵免境外所得税明细表》填报说明</w:t>
      </w:r>
      <w:r>
        <w:tab/>
      </w:r>
      <w:r>
        <w:fldChar w:fldCharType="begin"/>
      </w:r>
      <w:r>
        <w:instrText xml:space="preserve"> PAGEREF _Toc18354 \h </w:instrText>
      </w:r>
      <w:r>
        <w:fldChar w:fldCharType="separate"/>
      </w:r>
      <w:r>
        <w:t>221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_Toc25837 </w:instrText>
      </w:r>
      <w:r>
        <w:rPr>
          <w:rFonts w:hint="eastAsia" w:ascii="宋体" w:hAnsi="宋体" w:cs="宋体"/>
          <w:bCs/>
          <w:caps/>
          <w:lang w:val="en-US" w:eastAsia="zh-CN"/>
        </w:rPr>
        <w:fldChar w:fldCharType="separate"/>
      </w:r>
      <w:r>
        <w:rPr>
          <w:rFonts w:hint="eastAsia"/>
        </w:rPr>
        <w:t>A109000</w:t>
      </w:r>
      <w:r>
        <w:tab/>
      </w:r>
      <w:r>
        <w:rPr>
          <w:rFonts w:hint="eastAsia"/>
          <w:lang w:val="en-US" w:eastAsia="zh-CN"/>
        </w:rPr>
        <w:t xml:space="preserve">    </w:t>
      </w:r>
      <w:r>
        <w:rPr>
          <w:rFonts w:hint="eastAsia"/>
        </w:rPr>
        <w:t>跨地区经营汇总纳税企业年度分摊企业所得税明细表</w:t>
      </w:r>
      <w:r>
        <w:tab/>
      </w:r>
      <w:r>
        <w:fldChar w:fldCharType="begin"/>
      </w:r>
      <w:r>
        <w:instrText xml:space="preserve"> PAGEREF _Toc25837 \h </w:instrText>
      </w:r>
      <w:r>
        <w:fldChar w:fldCharType="separate"/>
      </w:r>
      <w:r>
        <w:t>223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_Toc16726 </w:instrText>
      </w:r>
      <w:r>
        <w:rPr>
          <w:rFonts w:hint="eastAsia" w:ascii="宋体" w:hAnsi="宋体" w:cs="宋体"/>
          <w:bCs/>
          <w:caps/>
          <w:lang w:val="en-US" w:eastAsia="zh-CN"/>
        </w:rPr>
        <w:fldChar w:fldCharType="separate"/>
      </w:r>
      <w:r>
        <w:rPr>
          <w:rFonts w:hint="eastAsia" w:ascii="宋体" w:hAnsi="宋体" w:eastAsia="宋体" w:cs="宋体"/>
          <w:lang w:val="zh-CN"/>
        </w:rPr>
        <w:t>A109000</w:t>
      </w:r>
      <w:r>
        <w:rPr>
          <w:rFonts w:hint="eastAsia" w:cs="宋体"/>
          <w:lang w:val="en-US" w:eastAsia="zh-CN"/>
        </w:rPr>
        <w:t xml:space="preserve">   </w:t>
      </w:r>
      <w:r>
        <w:rPr>
          <w:rFonts w:hint="eastAsia" w:ascii="宋体" w:hAnsi="宋体" w:eastAsia="宋体" w:cs="宋体"/>
          <w:lang w:val="zh-CN"/>
        </w:rPr>
        <w:t>《跨地区经营汇总纳税企业年度分摊企业所得税明细表》 填报说明</w:t>
      </w:r>
      <w:r>
        <w:tab/>
      </w:r>
      <w:r>
        <w:fldChar w:fldCharType="begin"/>
      </w:r>
      <w:r>
        <w:instrText xml:space="preserve"> PAGEREF _Toc16726 \h </w:instrText>
      </w:r>
      <w:r>
        <w:fldChar w:fldCharType="separate"/>
      </w:r>
      <w:r>
        <w:t>224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_Toc25983 </w:instrText>
      </w:r>
      <w:r>
        <w:rPr>
          <w:rFonts w:hint="eastAsia" w:ascii="宋体" w:hAnsi="宋体" w:cs="宋体"/>
          <w:bCs/>
          <w:caps/>
          <w:lang w:val="en-US" w:eastAsia="zh-CN"/>
        </w:rPr>
        <w:fldChar w:fldCharType="separate"/>
      </w:r>
      <w:r>
        <w:rPr>
          <w:rFonts w:hint="eastAsia"/>
        </w:rPr>
        <w:t>A109010</w:t>
      </w:r>
      <w:r>
        <w:rPr>
          <w:rFonts w:hint="eastAsia"/>
          <w:lang w:val="en-US" w:eastAsia="zh-CN"/>
        </w:rPr>
        <w:t xml:space="preserve">    </w:t>
      </w:r>
      <w:r>
        <w:tab/>
      </w:r>
      <w:r>
        <w:rPr>
          <w:rFonts w:hint="eastAsia"/>
        </w:rPr>
        <w:t>企业所得税汇总纳税分支机构所得税分配表</w:t>
      </w:r>
      <w:r>
        <w:tab/>
      </w:r>
      <w:r>
        <w:fldChar w:fldCharType="begin"/>
      </w:r>
      <w:r>
        <w:instrText xml:space="preserve"> PAGEREF _Toc25983 \h </w:instrText>
      </w:r>
      <w:r>
        <w:fldChar w:fldCharType="separate"/>
      </w:r>
      <w:r>
        <w:t>227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_Toc3019 </w:instrText>
      </w:r>
      <w:r>
        <w:rPr>
          <w:rFonts w:hint="eastAsia" w:ascii="宋体" w:hAnsi="宋体" w:cs="宋体"/>
          <w:bCs/>
          <w:caps/>
          <w:lang w:val="en-US" w:eastAsia="zh-CN"/>
        </w:rPr>
        <w:fldChar w:fldCharType="separate"/>
      </w:r>
      <w:r>
        <w:rPr>
          <w:rFonts w:hint="eastAsia" w:ascii="宋体" w:eastAsia="宋体"/>
        </w:rPr>
        <w:t>A109010</w:t>
      </w:r>
      <w:r>
        <w:rPr>
          <w:rFonts w:hint="eastAsia"/>
          <w:lang w:val="en-US" w:eastAsia="zh-CN"/>
        </w:rPr>
        <w:t xml:space="preserve">   </w:t>
      </w:r>
      <w:r>
        <w:rPr>
          <w:rFonts w:hint="eastAsia" w:ascii="宋体" w:eastAsia="宋体"/>
        </w:rPr>
        <w:t>《企业所得税汇总纳税分支机构所得税分配表》填报说明</w:t>
      </w:r>
      <w:r>
        <w:tab/>
      </w:r>
      <w:r>
        <w:fldChar w:fldCharType="begin"/>
      </w:r>
      <w:r>
        <w:instrText xml:space="preserve"> PAGEREF _Toc3019 \h </w:instrText>
      </w:r>
      <w:r>
        <w:fldChar w:fldCharType="separate"/>
      </w:r>
      <w:r>
        <w:t>228</w:t>
      </w:r>
      <w:r>
        <w:fldChar w:fldCharType="end"/>
      </w:r>
      <w:r>
        <w:rPr>
          <w:rFonts w:hint="eastAsia" w:ascii="宋体" w:hAnsi="宋体" w:cs="宋体"/>
          <w:bCs/>
          <w:caps/>
          <w:lang w:val="en-US" w:eastAsia="zh-CN"/>
        </w:rPr>
        <w:fldChar w:fldCharType="end"/>
      </w:r>
    </w:p>
    <w:p>
      <w:pPr>
        <w:spacing w:line="360" w:lineRule="auto"/>
        <w:rPr>
          <w:rFonts w:ascii="宋体" w:hAnsi="宋体" w:cs="宋体"/>
          <w:bCs/>
          <w:caps/>
          <w:sz w:val="24"/>
          <w:lang w:val="en-US" w:eastAsia="zh-CN"/>
        </w:rPr>
        <w:sectPr>
          <w:footerReference r:id="rId6" w:type="first"/>
          <w:type w:val="oddPage"/>
          <w:pgSz w:w="11906" w:h="16838"/>
          <w:pgMar w:top="1985" w:right="1418" w:bottom="1928" w:left="1418" w:header="851" w:footer="992" w:gutter="113"/>
          <w:pgNumType w:fmt="decimal" w:start="1"/>
          <w:cols w:space="720" w:num="1"/>
          <w:docGrid w:linePitch="312" w:charSpace="0"/>
        </w:sectPr>
      </w:pPr>
      <w:r>
        <w:rPr>
          <w:rFonts w:hint="eastAsia" w:ascii="宋体" w:hAnsi="宋体" w:cs="宋体"/>
          <w:bCs/>
          <w:caps/>
          <w:lang w:val="en-US" w:eastAsia="zh-CN"/>
        </w:rPr>
        <w:fldChar w:fldCharType="end"/>
      </w:r>
    </w:p>
    <w:p>
      <w:pPr>
        <w:keepNext/>
        <w:keepLines/>
        <w:tabs>
          <w:tab w:val="center" w:pos="4678"/>
        </w:tabs>
        <w:spacing w:before="360" w:beforeLines="150" w:after="240" w:afterLines="100" w:line="360" w:lineRule="auto"/>
        <w:ind w:left="21" w:leftChars="10"/>
        <w:jc w:val="center"/>
        <w:outlineLvl w:val="0"/>
        <w:rPr>
          <w:rFonts w:hint="eastAsia" w:ascii="宋体" w:hAnsi="宋体" w:eastAsia="宋体" w:cs="宋体"/>
          <w:kern w:val="44"/>
          <w:sz w:val="16"/>
          <w:szCs w:val="16"/>
        </w:rPr>
      </w:pPr>
      <w:bookmarkStart w:id="6" w:name="_Toc527722730"/>
      <w:bookmarkStart w:id="7" w:name="_Toc8190"/>
      <w:bookmarkStart w:id="8" w:name="_Toc393480170"/>
      <w:r>
        <w:rPr>
          <w:rFonts w:hint="eastAsia" w:ascii="宋体" w:hAnsi="宋体" w:eastAsia="宋体" w:cs="宋体"/>
          <w:kern w:val="44"/>
          <w:sz w:val="36"/>
          <w:szCs w:val="36"/>
        </w:rPr>
        <w:t>中华人民共和国企业所得税年度纳税申报表</w:t>
      </w:r>
      <w:r>
        <w:rPr>
          <w:rFonts w:hint="eastAsia" w:ascii="宋体" w:hAnsi="宋体" w:eastAsia="宋体" w:cs="宋体"/>
          <w:kern w:val="44"/>
          <w:sz w:val="2"/>
          <w:szCs w:val="2"/>
        </w:rPr>
        <w:t>封面</w:t>
      </w:r>
      <w:bookmarkEnd w:id="6"/>
      <w:bookmarkEnd w:id="7"/>
    </w:p>
    <w:tbl>
      <w:tblPr>
        <w:tblStyle w:val="25"/>
        <w:tblW w:w="9789" w:type="dxa"/>
        <w:jc w:val="center"/>
        <w:tblLayout w:type="fixed"/>
        <w:tblCellMar>
          <w:top w:w="0" w:type="dxa"/>
          <w:left w:w="108" w:type="dxa"/>
          <w:bottom w:w="0" w:type="dxa"/>
          <w:right w:w="108" w:type="dxa"/>
        </w:tblCellMar>
      </w:tblPr>
      <w:tblGrid>
        <w:gridCol w:w="626"/>
        <w:gridCol w:w="454"/>
        <w:gridCol w:w="1079"/>
        <w:gridCol w:w="960"/>
        <w:gridCol w:w="27"/>
        <w:gridCol w:w="1053"/>
        <w:gridCol w:w="672"/>
        <w:gridCol w:w="408"/>
        <w:gridCol w:w="236"/>
        <w:gridCol w:w="2162"/>
        <w:gridCol w:w="1082"/>
        <w:gridCol w:w="372"/>
        <w:gridCol w:w="612"/>
        <w:gridCol w:w="46"/>
      </w:tblGrid>
      <w:tr>
        <w:tblPrEx>
          <w:tblCellMar>
            <w:top w:w="0" w:type="dxa"/>
            <w:left w:w="108" w:type="dxa"/>
            <w:bottom w:w="0" w:type="dxa"/>
            <w:right w:w="108" w:type="dxa"/>
          </w:tblCellMar>
        </w:tblPrEx>
        <w:trPr>
          <w:trHeight w:val="285" w:hRule="atLeast"/>
          <w:jc w:val="center"/>
        </w:trPr>
        <w:tc>
          <w:tcPr>
            <w:tcW w:w="9789" w:type="dxa"/>
            <w:gridSpan w:val="14"/>
            <w:vAlign w:val="bottom"/>
          </w:tcPr>
          <w:p>
            <w:pPr>
              <w:widowControl/>
              <w:jc w:val="center"/>
              <w:rPr>
                <w:rFonts w:ascii="宋体"/>
                <w:b/>
                <w:bCs/>
                <w:kern w:val="0"/>
                <w:sz w:val="24"/>
              </w:rPr>
            </w:pPr>
            <w:r>
              <w:rPr>
                <w:rFonts w:hint="eastAsia" w:ascii="宋体" w:hAnsi="宋体" w:cs="宋体"/>
                <w:b/>
                <w:bCs/>
                <w:kern w:val="0"/>
                <w:sz w:val="24"/>
              </w:rPr>
              <w:t>（</w:t>
            </w:r>
            <w:r>
              <w:rPr>
                <w:rFonts w:ascii="宋体" w:hAnsi="宋体" w:cs="宋体"/>
                <w:b/>
                <w:bCs/>
                <w:kern w:val="0"/>
                <w:sz w:val="24"/>
              </w:rPr>
              <w:t>A</w:t>
            </w:r>
            <w:r>
              <w:rPr>
                <w:rFonts w:hint="eastAsia" w:ascii="宋体" w:hAnsi="宋体" w:cs="宋体"/>
                <w:b/>
                <w:bCs/>
                <w:kern w:val="0"/>
                <w:sz w:val="24"/>
              </w:rPr>
              <w:t>类</w:t>
            </w:r>
            <w:r>
              <w:rPr>
                <w:rFonts w:ascii="宋体" w:hAnsi="宋体" w:cs="宋体"/>
                <w:b/>
                <w:bCs/>
                <w:kern w:val="0"/>
                <w:sz w:val="24"/>
              </w:rPr>
              <w:t xml:space="preserve"> , 2017</w:t>
            </w:r>
            <w:r>
              <w:rPr>
                <w:rFonts w:hint="eastAsia" w:ascii="宋体" w:hAnsi="宋体" w:cs="宋体"/>
                <w:b/>
                <w:bCs/>
                <w:kern w:val="0"/>
                <w:sz w:val="24"/>
              </w:rPr>
              <w:t>年版）</w:t>
            </w:r>
          </w:p>
        </w:tc>
      </w:tr>
      <w:tr>
        <w:tblPrEx>
          <w:tblCellMar>
            <w:top w:w="0" w:type="dxa"/>
            <w:left w:w="108" w:type="dxa"/>
            <w:bottom w:w="0" w:type="dxa"/>
            <w:right w:w="108" w:type="dxa"/>
          </w:tblCellMar>
        </w:tblPrEx>
        <w:trPr>
          <w:trHeight w:val="479" w:hRule="atLeast"/>
          <w:jc w:val="center"/>
        </w:trPr>
        <w:tc>
          <w:tcPr>
            <w:tcW w:w="9789" w:type="dxa"/>
            <w:gridSpan w:val="14"/>
            <w:vAlign w:val="bottom"/>
          </w:tcPr>
          <w:p>
            <w:pPr>
              <w:widowControl/>
              <w:ind w:left="630" w:leftChars="300"/>
              <w:jc w:val="left"/>
              <w:rPr>
                <w:rFonts w:ascii="宋体"/>
                <w:kern w:val="0"/>
                <w:sz w:val="24"/>
              </w:rPr>
            </w:pP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税款所属期间：    年    月    日 至        年    月    日</w:t>
            </w:r>
          </w:p>
        </w:tc>
      </w:tr>
      <w:tr>
        <w:tblPrEx>
          <w:tblCellMar>
            <w:top w:w="0" w:type="dxa"/>
            <w:left w:w="108" w:type="dxa"/>
            <w:bottom w:w="0" w:type="dxa"/>
            <w:right w:w="108" w:type="dxa"/>
          </w:tblCellMar>
        </w:tblPrEx>
        <w:trPr>
          <w:trHeight w:val="680" w:hRule="atLeast"/>
          <w:jc w:val="center"/>
        </w:trPr>
        <w:tc>
          <w:tcPr>
            <w:tcW w:w="3146" w:type="dxa"/>
            <w:gridSpan w:val="5"/>
            <w:vAlign w:val="center"/>
          </w:tcPr>
          <w:p>
            <w:pPr>
              <w:widowControl/>
              <w:rPr>
                <w:rFonts w:ascii="宋体"/>
                <w:kern w:val="0"/>
                <w:sz w:val="24"/>
              </w:rPr>
            </w:pPr>
            <w:r>
              <w:rPr>
                <w:rFonts w:hint="eastAsia" w:ascii="宋体" w:hAnsi="宋体" w:cs="宋体"/>
                <w:kern w:val="0"/>
                <w:sz w:val="24"/>
              </w:rPr>
              <w:t xml:space="preserve">        纳税人识别号</w:t>
            </w:r>
          </w:p>
          <w:p>
            <w:pPr>
              <w:widowControl/>
              <w:rPr>
                <w:rFonts w:ascii="宋体"/>
                <w:kern w:val="0"/>
                <w:sz w:val="24"/>
              </w:rPr>
            </w:pPr>
            <w:r>
              <w:rPr>
                <w:rFonts w:hint="eastAsia" w:ascii="宋体" w:hAnsi="宋体" w:cs="宋体"/>
                <w:kern w:val="0"/>
                <w:sz w:val="24"/>
              </w:rPr>
              <w:t xml:space="preserve">    （统一社会信用代码）：</w:t>
            </w:r>
          </w:p>
        </w:tc>
        <w:tc>
          <w:tcPr>
            <w:tcW w:w="6643" w:type="dxa"/>
            <w:gridSpan w:val="9"/>
            <w:vAlign w:val="center"/>
          </w:tcPr>
          <w:p>
            <w:pPr>
              <w:widowControl/>
              <w:ind w:left="-105" w:leftChars="-50" w:right="-105" w:rightChars="-50"/>
              <w:rPr>
                <w:rFonts w:ascii="宋体"/>
                <w:kern w:val="0"/>
                <w:sz w:val="28"/>
                <w:szCs w:val="28"/>
              </w:rPr>
            </w:pPr>
            <w:r>
              <w:rPr>
                <w:rFonts w:hint="eastAsia" w:ascii="宋体" w:hAnsi="宋体" w:cs="宋体"/>
                <w:kern w:val="0"/>
                <w:sz w:val="28"/>
                <w:szCs w:val="28"/>
              </w:rPr>
              <w:t>□□□□□□□□□□□□□□□□□□</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纳税人名称：</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金额单位：人民币元（列至角分）</w:t>
            </w:r>
          </w:p>
        </w:tc>
      </w:tr>
      <w:tr>
        <w:tblPrEx>
          <w:tblCellMar>
            <w:top w:w="0" w:type="dxa"/>
            <w:left w:w="108" w:type="dxa"/>
            <w:bottom w:w="0" w:type="dxa"/>
            <w:right w:w="108" w:type="dxa"/>
          </w:tblCellMar>
        </w:tblPrEx>
        <w:trPr>
          <w:trHeight w:val="375" w:hRule="atLeast"/>
          <w:jc w:val="center"/>
        </w:trPr>
        <w:tc>
          <w:tcPr>
            <w:tcW w:w="9789" w:type="dxa"/>
            <w:gridSpan w:val="14"/>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24" w:hRule="atLeast"/>
          <w:jc w:val="center"/>
        </w:trPr>
        <w:tc>
          <w:tcPr>
            <w:tcW w:w="9789" w:type="dxa"/>
            <w:gridSpan w:val="14"/>
            <w:vMerge w:val="restart"/>
            <w:vAlign w:val="center"/>
          </w:tcPr>
          <w:p>
            <w:pPr>
              <w:widowControl/>
              <w:ind w:left="420" w:leftChars="200" w:right="420" w:rightChars="200" w:firstLine="562" w:firstLineChars="200"/>
              <w:jc w:val="left"/>
              <w:rPr>
                <w:rFonts w:ascii="宋体"/>
                <w:b/>
                <w:bCs/>
                <w:kern w:val="0"/>
                <w:sz w:val="28"/>
                <w:szCs w:val="28"/>
              </w:rPr>
            </w:pPr>
            <w:r>
              <w:rPr>
                <w:rFonts w:hint="eastAsia" w:ascii="宋体" w:hAnsi="宋体" w:cs="宋体"/>
                <w:b/>
                <w:bCs/>
                <w:kern w:val="0"/>
                <w:sz w:val="28"/>
                <w:szCs w:val="28"/>
              </w:rPr>
              <w:t>谨声明：本纳税申报表是根据国家税收法律法规及相关规定填报的，是真实的、可靠的、完整的。</w:t>
            </w:r>
          </w:p>
        </w:tc>
      </w:tr>
      <w:tr>
        <w:tblPrEx>
          <w:tblCellMar>
            <w:top w:w="0" w:type="dxa"/>
            <w:left w:w="108" w:type="dxa"/>
            <w:bottom w:w="0" w:type="dxa"/>
            <w:right w:w="108" w:type="dxa"/>
          </w:tblCellMar>
        </w:tblPrEx>
        <w:trPr>
          <w:trHeight w:val="624" w:hRule="atLeast"/>
          <w:jc w:val="center"/>
        </w:trPr>
        <w:tc>
          <w:tcPr>
            <w:tcW w:w="9789" w:type="dxa"/>
            <w:gridSpan w:val="14"/>
            <w:vMerge w:val="continue"/>
            <w:vAlign w:val="center"/>
          </w:tcPr>
          <w:p>
            <w:pPr>
              <w:widowControl/>
              <w:jc w:val="left"/>
              <w:rPr>
                <w:rFonts w:ascii="宋体"/>
                <w:b/>
                <w:bCs/>
                <w:kern w:val="0"/>
                <w:sz w:val="28"/>
                <w:szCs w:val="28"/>
              </w:rPr>
            </w:pPr>
          </w:p>
        </w:tc>
      </w:tr>
      <w:tr>
        <w:tblPrEx>
          <w:tblCellMar>
            <w:top w:w="0" w:type="dxa"/>
            <w:left w:w="108" w:type="dxa"/>
            <w:bottom w:w="0" w:type="dxa"/>
            <w:right w:w="108" w:type="dxa"/>
          </w:tblCellMar>
        </w:tblPrEx>
        <w:trPr>
          <w:trHeight w:val="720" w:hRule="atLeast"/>
          <w:jc w:val="center"/>
        </w:trPr>
        <w:tc>
          <w:tcPr>
            <w:tcW w:w="9789" w:type="dxa"/>
            <w:gridSpan w:val="14"/>
            <w:vMerge w:val="continue"/>
            <w:vAlign w:val="center"/>
          </w:tcPr>
          <w:p>
            <w:pPr>
              <w:widowControl/>
              <w:jc w:val="left"/>
              <w:rPr>
                <w:rFonts w:ascii="宋体"/>
                <w:b/>
                <w:bCs/>
                <w:kern w:val="0"/>
                <w:sz w:val="28"/>
                <w:szCs w:val="28"/>
              </w:rPr>
            </w:pPr>
          </w:p>
        </w:tc>
      </w:tr>
      <w:tr>
        <w:tblPrEx>
          <w:tblCellMar>
            <w:top w:w="0" w:type="dxa"/>
            <w:left w:w="108" w:type="dxa"/>
            <w:bottom w:w="0" w:type="dxa"/>
            <w:right w:w="108" w:type="dxa"/>
          </w:tblCellMar>
        </w:tblPrEx>
        <w:trPr>
          <w:gridAfter w:val="1"/>
          <w:wAfter w:w="46" w:type="dxa"/>
          <w:trHeight w:val="375" w:hRule="atLeast"/>
          <w:jc w:val="center"/>
        </w:trPr>
        <w:tc>
          <w:tcPr>
            <w:tcW w:w="1080" w:type="dxa"/>
            <w:gridSpan w:val="2"/>
            <w:vAlign w:val="center"/>
          </w:tcPr>
          <w:p>
            <w:pPr>
              <w:widowControl/>
              <w:jc w:val="left"/>
              <w:rPr>
                <w:rFonts w:ascii="宋体"/>
                <w:b/>
                <w:bCs/>
                <w:kern w:val="0"/>
                <w:sz w:val="28"/>
                <w:szCs w:val="28"/>
              </w:rPr>
            </w:pPr>
          </w:p>
        </w:tc>
        <w:tc>
          <w:tcPr>
            <w:tcW w:w="1079" w:type="dxa"/>
            <w:vAlign w:val="center"/>
          </w:tcPr>
          <w:p>
            <w:pPr>
              <w:widowControl/>
              <w:jc w:val="left"/>
              <w:rPr>
                <w:rFonts w:eastAsia="Times New Roman"/>
                <w:kern w:val="0"/>
                <w:sz w:val="20"/>
                <w:szCs w:val="20"/>
              </w:rPr>
            </w:pPr>
          </w:p>
        </w:tc>
        <w:tc>
          <w:tcPr>
            <w:tcW w:w="960" w:type="dxa"/>
            <w:vAlign w:val="center"/>
          </w:tcPr>
          <w:p>
            <w:pPr>
              <w:widowControl/>
              <w:jc w:val="left"/>
              <w:rPr>
                <w:rFonts w:eastAsia="Times New Roman"/>
                <w:kern w:val="0"/>
                <w:sz w:val="20"/>
                <w:szCs w:val="20"/>
              </w:rPr>
            </w:pPr>
          </w:p>
        </w:tc>
        <w:tc>
          <w:tcPr>
            <w:tcW w:w="1080" w:type="dxa"/>
            <w:gridSpan w:val="2"/>
            <w:vAlign w:val="center"/>
          </w:tcPr>
          <w:p>
            <w:pPr>
              <w:widowControl/>
              <w:jc w:val="left"/>
              <w:rPr>
                <w:rFonts w:eastAsia="Times New Roman"/>
                <w:kern w:val="0"/>
                <w:sz w:val="20"/>
                <w:szCs w:val="20"/>
              </w:rPr>
            </w:pPr>
          </w:p>
        </w:tc>
        <w:tc>
          <w:tcPr>
            <w:tcW w:w="1080" w:type="dxa"/>
            <w:gridSpan w:val="2"/>
            <w:vAlign w:val="center"/>
          </w:tcPr>
          <w:p>
            <w:pPr>
              <w:widowControl/>
              <w:jc w:val="left"/>
              <w:rPr>
                <w:rFonts w:eastAsia="Times New Roman"/>
                <w:kern w:val="0"/>
                <w:sz w:val="20"/>
                <w:szCs w:val="20"/>
              </w:rPr>
            </w:pPr>
          </w:p>
        </w:tc>
        <w:tc>
          <w:tcPr>
            <w:tcW w:w="236" w:type="dxa"/>
            <w:vAlign w:val="center"/>
          </w:tcPr>
          <w:p>
            <w:pPr>
              <w:widowControl/>
              <w:jc w:val="left"/>
              <w:rPr>
                <w:rFonts w:eastAsia="Times New Roman"/>
                <w:kern w:val="0"/>
                <w:sz w:val="20"/>
                <w:szCs w:val="20"/>
              </w:rPr>
            </w:pPr>
          </w:p>
        </w:tc>
        <w:tc>
          <w:tcPr>
            <w:tcW w:w="2162" w:type="dxa"/>
            <w:vAlign w:val="center"/>
          </w:tcPr>
          <w:p>
            <w:pPr>
              <w:widowControl/>
              <w:jc w:val="left"/>
              <w:rPr>
                <w:rFonts w:eastAsia="Times New Roman"/>
                <w:kern w:val="0"/>
                <w:sz w:val="20"/>
                <w:szCs w:val="20"/>
              </w:rPr>
            </w:pPr>
          </w:p>
        </w:tc>
        <w:tc>
          <w:tcPr>
            <w:tcW w:w="1082" w:type="dxa"/>
            <w:vAlign w:val="center"/>
          </w:tcPr>
          <w:p>
            <w:pPr>
              <w:widowControl/>
              <w:jc w:val="left"/>
              <w:rPr>
                <w:rFonts w:eastAsia="Times New Roman"/>
                <w:kern w:val="0"/>
                <w:sz w:val="20"/>
                <w:szCs w:val="20"/>
              </w:rPr>
            </w:pPr>
          </w:p>
        </w:tc>
        <w:tc>
          <w:tcPr>
            <w:tcW w:w="984" w:type="dxa"/>
            <w:gridSpan w:val="2"/>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5" w:hRule="atLeast"/>
          <w:jc w:val="center"/>
        </w:trPr>
        <w:tc>
          <w:tcPr>
            <w:tcW w:w="9789" w:type="dxa"/>
            <w:gridSpan w:val="14"/>
          </w:tcPr>
          <w:p>
            <w:pPr>
              <w:widowControl/>
              <w:ind w:right="781" w:rightChars="372"/>
              <w:rPr>
                <w:rFonts w:ascii="宋体"/>
                <w:kern w:val="0"/>
                <w:sz w:val="24"/>
              </w:rPr>
            </w:pPr>
            <w:r>
              <w:rPr>
                <w:rFonts w:hint="eastAsia" w:ascii="宋体" w:hAnsi="宋体" w:cs="宋体"/>
                <w:kern w:val="0"/>
                <w:sz w:val="24"/>
              </w:rPr>
              <w:t xml:space="preserve">                                        纳税人（签章）</w:t>
            </w:r>
            <w:r>
              <w:rPr>
                <w:rFonts w:ascii="宋体" w:hAnsi="宋体" w:cs="宋体"/>
                <w:kern w:val="0"/>
                <w:sz w:val="24"/>
              </w:rPr>
              <w:t xml:space="preserve">:                  </w:t>
            </w:r>
          </w:p>
        </w:tc>
      </w:tr>
      <w:tr>
        <w:tblPrEx>
          <w:tblCellMar>
            <w:top w:w="0" w:type="dxa"/>
            <w:left w:w="108" w:type="dxa"/>
            <w:bottom w:w="0" w:type="dxa"/>
            <w:right w:w="108" w:type="dxa"/>
          </w:tblCellMar>
        </w:tblPrEx>
        <w:trPr>
          <w:trHeight w:val="285" w:hRule="atLeast"/>
          <w:jc w:val="center"/>
        </w:trPr>
        <w:tc>
          <w:tcPr>
            <w:tcW w:w="9789" w:type="dxa"/>
            <w:gridSpan w:val="14"/>
          </w:tcPr>
          <w:p>
            <w:pPr>
              <w:widowControl/>
              <w:ind w:right="960"/>
              <w:jc w:val="right"/>
              <w:rPr>
                <w:rFonts w:ascii="宋体"/>
                <w:kern w:val="0"/>
                <w:sz w:val="24"/>
              </w:rPr>
            </w:pPr>
            <w:r>
              <w:rPr>
                <w:rFonts w:hint="eastAsia" w:ascii="宋体" w:hAnsi="宋体" w:cs="宋体"/>
                <w:kern w:val="0"/>
                <w:sz w:val="24"/>
              </w:rPr>
              <w:t xml:space="preserve">     年    月    日</w:t>
            </w:r>
          </w:p>
        </w:tc>
      </w:tr>
      <w:tr>
        <w:tblPrEx>
          <w:tblCellMar>
            <w:top w:w="0" w:type="dxa"/>
            <w:left w:w="108" w:type="dxa"/>
            <w:bottom w:w="0" w:type="dxa"/>
            <w:right w:w="108" w:type="dxa"/>
          </w:tblCellMar>
        </w:tblPrEx>
        <w:trPr>
          <w:trHeight w:val="285" w:hRule="atLeast"/>
          <w:jc w:val="center"/>
        </w:trPr>
        <w:tc>
          <w:tcPr>
            <w:tcW w:w="9789" w:type="dxa"/>
            <w:gridSpan w:val="14"/>
          </w:tcPr>
          <w:p>
            <w:pPr>
              <w:widowControl/>
              <w:jc w:val="right"/>
              <w:rPr>
                <w:rFonts w:ascii="宋体"/>
                <w:kern w:val="0"/>
                <w:sz w:val="24"/>
              </w:rPr>
            </w:pPr>
          </w:p>
        </w:tc>
      </w:tr>
      <w:tr>
        <w:tblPrEx>
          <w:tblCellMar>
            <w:top w:w="0" w:type="dxa"/>
            <w:left w:w="108" w:type="dxa"/>
            <w:bottom w:w="0" w:type="dxa"/>
            <w:right w:w="108" w:type="dxa"/>
          </w:tblCellMar>
        </w:tblPrEx>
        <w:trPr>
          <w:trHeight w:val="285" w:hRule="atLeast"/>
          <w:jc w:val="center"/>
        </w:trPr>
        <w:tc>
          <w:tcPr>
            <w:tcW w:w="9789" w:type="dxa"/>
            <w:gridSpan w:val="14"/>
          </w:tcPr>
          <w:p>
            <w:pPr>
              <w:widowControl/>
              <w:jc w:val="right"/>
              <w:rPr>
                <w:rFonts w:ascii="宋体"/>
                <w:kern w:val="0"/>
                <w:sz w:val="24"/>
              </w:rPr>
            </w:pPr>
          </w:p>
        </w:tc>
      </w:tr>
      <w:tr>
        <w:tblPrEx>
          <w:tblCellMar>
            <w:top w:w="0" w:type="dxa"/>
            <w:left w:w="108" w:type="dxa"/>
            <w:bottom w:w="0" w:type="dxa"/>
            <w:right w:w="108" w:type="dxa"/>
          </w:tblCellMar>
        </w:tblPrEx>
        <w:trPr>
          <w:gridAfter w:val="1"/>
          <w:wAfter w:w="46" w:type="dxa"/>
          <w:trHeight w:val="2870" w:hRule="atLeast"/>
          <w:jc w:val="center"/>
        </w:trPr>
        <w:tc>
          <w:tcPr>
            <w:tcW w:w="626" w:type="dxa"/>
            <w:tcBorders>
              <w:right w:val="single" w:color="auto" w:sz="4" w:space="0"/>
            </w:tcBorders>
          </w:tcPr>
          <w:p>
            <w:pPr>
              <w:ind w:left="-311" w:leftChars="-148" w:firstLine="312" w:firstLineChars="130"/>
              <w:jc w:val="left"/>
              <w:rPr>
                <w:rFonts w:ascii="宋体"/>
                <w:kern w:val="0"/>
                <w:sz w:val="24"/>
              </w:rPr>
            </w:pPr>
          </w:p>
        </w:tc>
        <w:tc>
          <w:tcPr>
            <w:tcW w:w="4245" w:type="dxa"/>
            <w:gridSpan w:val="6"/>
            <w:tcBorders>
              <w:top w:val="single" w:color="auto" w:sz="8" w:space="0"/>
              <w:left w:val="single" w:color="auto" w:sz="4" w:space="0"/>
              <w:bottom w:val="single" w:color="auto" w:sz="8" w:space="0"/>
              <w:right w:val="single" w:color="auto" w:sz="8" w:space="0"/>
            </w:tcBorders>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经办人：</w:t>
            </w:r>
          </w:p>
          <w:p>
            <w:pPr>
              <w:widowControl/>
              <w:jc w:val="left"/>
              <w:rPr>
                <w:rFonts w:hint="eastAsia" w:ascii="宋体" w:hAnsi="宋体" w:cs="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经办人身份证号：</w:t>
            </w:r>
          </w:p>
          <w:p>
            <w:pPr>
              <w:widowControl/>
              <w:jc w:val="left"/>
              <w:rPr>
                <w:rFonts w:ascii="宋体"/>
                <w:kern w:val="0"/>
                <w:sz w:val="24"/>
              </w:rPr>
            </w:pPr>
          </w:p>
          <w:p>
            <w:pPr>
              <w:widowControl/>
              <w:jc w:val="left"/>
              <w:rPr>
                <w:rFonts w:ascii="宋体"/>
                <w:kern w:val="0"/>
                <w:sz w:val="24"/>
              </w:rPr>
            </w:pPr>
          </w:p>
          <w:p>
            <w:pPr>
              <w:ind w:left="-311" w:leftChars="-148" w:firstLine="312" w:firstLineChars="130"/>
              <w:jc w:val="left"/>
              <w:rPr>
                <w:rFonts w:hint="eastAsia" w:ascii="宋体" w:hAnsi="宋体" w:cs="宋体"/>
                <w:kern w:val="0"/>
                <w:sz w:val="24"/>
              </w:rPr>
            </w:pPr>
            <w:r>
              <w:rPr>
                <w:rFonts w:hint="eastAsia" w:ascii="宋体" w:hAnsi="宋体" w:cs="宋体"/>
                <w:kern w:val="0"/>
                <w:sz w:val="24"/>
              </w:rPr>
              <w:t>代理机构签章：</w:t>
            </w:r>
          </w:p>
          <w:p>
            <w:pPr>
              <w:ind w:left="-311" w:leftChars="-148" w:firstLine="312" w:firstLineChars="130"/>
              <w:jc w:val="left"/>
              <w:rPr>
                <w:rFonts w:ascii="宋体"/>
                <w:kern w:val="0"/>
                <w:sz w:val="24"/>
              </w:rPr>
            </w:pPr>
          </w:p>
        </w:tc>
        <w:tc>
          <w:tcPr>
            <w:tcW w:w="4260" w:type="dxa"/>
            <w:gridSpan w:val="5"/>
            <w:tcBorders>
              <w:top w:val="single" w:color="auto" w:sz="8" w:space="0"/>
              <w:left w:val="single" w:color="auto" w:sz="8" w:space="0"/>
              <w:bottom w:val="single" w:color="auto" w:sz="8" w:space="0"/>
              <w:right w:val="single" w:color="auto" w:sz="4" w:space="0"/>
            </w:tcBorders>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受理人：</w:t>
            </w:r>
          </w:p>
          <w:p>
            <w:pPr>
              <w:widowControl/>
              <w:jc w:val="left"/>
              <w:rPr>
                <w:rFonts w:ascii="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受理税务机关（章）：</w:t>
            </w:r>
          </w:p>
          <w:p>
            <w:pPr>
              <w:widowControl/>
              <w:jc w:val="left"/>
              <w:rPr>
                <w:rFonts w:hint="eastAsia" w:ascii="宋体" w:hAnsi="宋体" w:cs="宋体"/>
                <w:kern w:val="0"/>
                <w:sz w:val="24"/>
              </w:rPr>
            </w:pPr>
          </w:p>
          <w:p>
            <w:pPr>
              <w:widowControl/>
              <w:jc w:val="left"/>
              <w:rPr>
                <w:rFonts w:ascii="宋体"/>
                <w:kern w:val="0"/>
                <w:sz w:val="24"/>
              </w:rPr>
            </w:pPr>
          </w:p>
          <w:p>
            <w:pPr>
              <w:jc w:val="left"/>
              <w:rPr>
                <w:rFonts w:hint="eastAsia" w:ascii="宋体" w:hAnsi="宋体" w:cs="宋体"/>
                <w:kern w:val="0"/>
                <w:sz w:val="24"/>
              </w:rPr>
            </w:pPr>
            <w:r>
              <w:rPr>
                <w:rFonts w:hint="eastAsia" w:ascii="宋体" w:hAnsi="宋体" w:cs="宋体"/>
                <w:kern w:val="0"/>
                <w:sz w:val="24"/>
              </w:rPr>
              <w:t>受理日期：   年  月  日</w:t>
            </w:r>
          </w:p>
          <w:p>
            <w:pPr>
              <w:jc w:val="left"/>
              <w:rPr>
                <w:rFonts w:ascii="宋体"/>
                <w:kern w:val="0"/>
                <w:sz w:val="24"/>
              </w:rPr>
            </w:pPr>
          </w:p>
        </w:tc>
        <w:tc>
          <w:tcPr>
            <w:tcW w:w="612" w:type="dxa"/>
            <w:tcBorders>
              <w:left w:val="single" w:color="auto" w:sz="4" w:space="0"/>
            </w:tcBorders>
          </w:tcPr>
          <w:p>
            <w:pPr>
              <w:jc w:val="left"/>
              <w:rPr>
                <w:rFonts w:ascii="宋体"/>
                <w:kern w:val="0"/>
                <w:sz w:val="24"/>
              </w:rPr>
            </w:pPr>
          </w:p>
        </w:tc>
      </w:tr>
      <w:tr>
        <w:tblPrEx>
          <w:tblCellMar>
            <w:top w:w="0" w:type="dxa"/>
            <w:left w:w="108" w:type="dxa"/>
            <w:bottom w:w="0" w:type="dxa"/>
            <w:right w:w="108" w:type="dxa"/>
          </w:tblCellMar>
        </w:tblPrEx>
        <w:trPr>
          <w:trHeight w:val="679" w:hRule="atLeast"/>
          <w:jc w:val="center"/>
        </w:trPr>
        <w:tc>
          <w:tcPr>
            <w:tcW w:w="9789" w:type="dxa"/>
            <w:gridSpan w:val="14"/>
            <w:vAlign w:val="bottom"/>
          </w:tcPr>
          <w:p>
            <w:pPr>
              <w:widowControl/>
              <w:ind w:right="357" w:rightChars="170"/>
              <w:jc w:val="right"/>
              <w:rPr>
                <w:rFonts w:ascii="宋体"/>
                <w:b/>
                <w:bCs/>
                <w:kern w:val="0"/>
                <w:sz w:val="28"/>
                <w:szCs w:val="28"/>
              </w:rPr>
            </w:pPr>
            <w:r>
              <w:rPr>
                <w:rFonts w:hint="eastAsia" w:ascii="宋体" w:hAnsi="宋体" w:cs="宋体"/>
                <w:b/>
                <w:bCs/>
                <w:kern w:val="0"/>
                <w:sz w:val="28"/>
                <w:szCs w:val="28"/>
              </w:rPr>
              <w:t>国家税务总局监制</w:t>
            </w:r>
          </w:p>
        </w:tc>
      </w:tr>
    </w:tbl>
    <w:p>
      <w:pPr>
        <w:keepNext/>
        <w:keepLines/>
        <w:spacing w:before="240" w:beforeLines="100" w:after="360" w:afterLines="150" w:line="360" w:lineRule="auto"/>
        <w:jc w:val="center"/>
        <w:outlineLvl w:val="0"/>
        <w:rPr>
          <w:rFonts w:ascii="宋体" w:hAnsi="宋体"/>
          <w:b/>
          <w:kern w:val="44"/>
          <w:sz w:val="28"/>
          <w:szCs w:val="28"/>
        </w:rPr>
      </w:pPr>
      <w:bookmarkStart w:id="9" w:name="_Toc20520"/>
      <w:r>
        <w:rPr>
          <w:rFonts w:hint="eastAsia" w:ascii="宋体" w:hAnsi="宋体" w:cs="方正小标宋简体"/>
          <w:b/>
          <w:kern w:val="44"/>
          <w:sz w:val="28"/>
          <w:szCs w:val="28"/>
        </w:rPr>
        <w:t>《中华人民共和国企业所得税年度纳税申报表（</w:t>
      </w:r>
      <w:r>
        <w:rPr>
          <w:rFonts w:ascii="宋体" w:hAnsi="宋体" w:cs="方正小标宋简体"/>
          <w:b/>
          <w:kern w:val="44"/>
          <w:sz w:val="28"/>
          <w:szCs w:val="28"/>
        </w:rPr>
        <w:t>A</w:t>
      </w:r>
      <w:r>
        <w:rPr>
          <w:rFonts w:hint="eastAsia" w:ascii="宋体" w:hAnsi="宋体" w:cs="方正小标宋简体"/>
          <w:b/>
          <w:kern w:val="44"/>
          <w:sz w:val="28"/>
          <w:szCs w:val="28"/>
        </w:rPr>
        <w:t>类，</w:t>
      </w:r>
      <w:r>
        <w:rPr>
          <w:rFonts w:ascii="宋体" w:hAnsi="宋体" w:cs="方正小标宋简体"/>
          <w:b/>
          <w:kern w:val="44"/>
          <w:sz w:val="28"/>
          <w:szCs w:val="28"/>
        </w:rPr>
        <w:t>2017</w:t>
      </w:r>
      <w:r>
        <w:rPr>
          <w:rFonts w:hint="eastAsia" w:ascii="宋体" w:hAnsi="宋体" w:cs="方正小标宋简体"/>
          <w:b/>
          <w:kern w:val="44"/>
          <w:sz w:val="28"/>
          <w:szCs w:val="28"/>
        </w:rPr>
        <w:t>年版）》封面填报说明</w:t>
      </w:r>
      <w:bookmarkEnd w:id="9"/>
    </w:p>
    <w:p>
      <w:pPr>
        <w:spacing w:line="360" w:lineRule="auto"/>
        <w:ind w:firstLine="480" w:firstLineChars="200"/>
        <w:rPr>
          <w:rFonts w:ascii="宋体" w:hAnsi="宋体"/>
          <w:sz w:val="24"/>
        </w:rPr>
      </w:pPr>
      <w:r>
        <w:rPr>
          <w:rFonts w:hint="eastAsia" w:ascii="宋体" w:hAnsi="宋体" w:cs="宋体"/>
          <w:sz w:val="24"/>
        </w:rPr>
        <w:t>《中华人民共和国企业所得税年度纳税申报表（</w:t>
      </w:r>
      <w:r>
        <w:rPr>
          <w:rFonts w:ascii="宋体" w:hAnsi="宋体" w:cs="宋体"/>
          <w:sz w:val="24"/>
        </w:rPr>
        <w:t>A</w:t>
      </w:r>
      <w:r>
        <w:rPr>
          <w:rFonts w:hint="eastAsia" w:ascii="宋体" w:hAnsi="宋体" w:cs="宋体"/>
          <w:sz w:val="24"/>
        </w:rPr>
        <w:t>类，</w:t>
      </w:r>
      <w:r>
        <w:rPr>
          <w:rFonts w:ascii="宋体" w:hAnsi="宋体" w:cs="宋体"/>
          <w:sz w:val="24"/>
        </w:rPr>
        <w:t>2017</w:t>
      </w:r>
      <w:r>
        <w:rPr>
          <w:rFonts w:hint="eastAsia" w:ascii="宋体" w:hAnsi="宋体" w:cs="宋体"/>
          <w:sz w:val="24"/>
        </w:rPr>
        <w:t>年版）》（以下简称“申报表”）适用于实行查账征收企业所得税的居民企业纳税人（以下简称“纳税人”）填报。有关项目填报说明如下：</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“税款所属期间”：正常经营的纳税人，填报公历当年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日；纳税人年度中间开业的，填报实际生产经营之日至当年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日；纳税人年度中间发生合并、分立、破产、停业等情况的，填报公历当年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日至实际停业或法院裁定并宣告破产之日；纳税人年度中间开业且年度中间又发生合并、分立、破产、停业等情况的，填报实际生产经营之日至实际停业或法院裁定并宣告破产之日。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“纳税人识别号（统一社会信用代码）”：填报有关部门核发的统一社会信用代码。未取得统一社会信用代码的，填报税务机关核发的纳税人识别号。</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“纳税人名称”：填报营业执照、税务登记证等证件载明的纳税人名称。</w:t>
      </w:r>
    </w:p>
    <w:p>
      <w:pPr>
        <w:spacing w:line="360" w:lineRule="auto"/>
        <w:ind w:firstLine="480" w:firstLineChars="200"/>
        <w:rPr>
          <w:rFonts w:ascii="宋体" w:hAnsi="宋体"/>
          <w:sz w:val="24"/>
        </w:rPr>
      </w:pPr>
      <w:r>
        <w:rPr>
          <w:rFonts w:hint="eastAsia" w:ascii="宋体" w:hAnsi="宋体" w:cs="宋体"/>
          <w:sz w:val="24"/>
        </w:rPr>
        <w:t>4.“填报日期”：填报纳税人申报当日日期。</w:t>
      </w:r>
    </w:p>
    <w:p>
      <w:pPr>
        <w:spacing w:line="360" w:lineRule="auto"/>
        <w:ind w:firstLine="480" w:firstLineChars="200"/>
        <w:rPr>
          <w:rFonts w:ascii="宋体" w:hAnsi="宋体"/>
          <w:sz w:val="24"/>
        </w:rPr>
        <w:sectPr>
          <w:footerReference r:id="rId7" w:type="default"/>
          <w:footerReference r:id="rId8" w:type="even"/>
          <w:pgSz w:w="11906" w:h="16838"/>
          <w:pgMar w:top="1985" w:right="1418" w:bottom="1928" w:left="1418" w:header="851" w:footer="992" w:gutter="113"/>
          <w:pgNumType w:fmt="decimal" w:start="1"/>
          <w:cols w:space="720" w:num="1"/>
          <w:docGrid w:linePitch="312" w:charSpace="0"/>
        </w:sectPr>
      </w:pPr>
      <w:r>
        <w:rPr>
          <w:rFonts w:hint="eastAsia" w:ascii="宋体" w:hAnsi="宋体" w:cs="宋体"/>
          <w:sz w:val="24"/>
        </w:rPr>
        <w:t>5</w:t>
      </w:r>
      <w:r>
        <w:rPr>
          <w:rFonts w:ascii="宋体" w:hAnsi="宋体" w:cs="宋体"/>
          <w:sz w:val="24"/>
        </w:rPr>
        <w:t>.</w:t>
      </w:r>
      <w:r>
        <w:rPr>
          <w:rFonts w:hint="eastAsia" w:ascii="宋体" w:hAnsi="宋体" w:cs="宋体"/>
          <w:sz w:val="24"/>
        </w:rPr>
        <w:t>纳税人聘请机构代理申报的，加盖代理机构公章。</w:t>
      </w:r>
    </w:p>
    <w:bookmarkEnd w:id="8"/>
    <w:p>
      <w:pPr>
        <w:pStyle w:val="66"/>
        <w:jc w:val="center"/>
        <w:rPr>
          <w:rFonts w:hint="eastAsia"/>
        </w:rPr>
      </w:pPr>
      <w:bookmarkStart w:id="10" w:name="_Toc340"/>
      <w:bookmarkStart w:id="11" w:name="_Toc24965001"/>
      <w:bookmarkStart w:id="12" w:name="_Toc527722732"/>
      <w:bookmarkStart w:id="13" w:name="_Toc54267886"/>
      <w:bookmarkStart w:id="14" w:name="_Toc24623692"/>
      <w:r>
        <w:rPr>
          <w:rFonts w:hint="eastAsia"/>
        </w:rPr>
        <w:t>企业所得税年度纳税申报表填报表单</w:t>
      </w:r>
      <w:bookmarkEnd w:id="10"/>
    </w:p>
    <w:tbl>
      <w:tblPr>
        <w:tblStyle w:val="25"/>
        <w:tblpPr w:leftFromText="180" w:rightFromText="180" w:vertAnchor="page" w:horzAnchor="margin" w:tblpXSpec="center" w:tblpY="266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6934"/>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49" w:type="dxa"/>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表单编号</w:t>
            </w:r>
          </w:p>
        </w:tc>
        <w:tc>
          <w:tcPr>
            <w:tcW w:w="6934"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表单名称</w:t>
            </w:r>
          </w:p>
        </w:tc>
        <w:tc>
          <w:tcPr>
            <w:tcW w:w="1680" w:type="dxa"/>
            <w:tcBorders>
              <w:top w:val="single" w:color="auto" w:sz="12" w:space="0"/>
              <w:left w:val="single" w:color="auto" w:sz="6" w:space="0"/>
              <w:bottom w:val="single" w:color="auto" w:sz="6" w:space="0"/>
              <w:right w:val="single" w:color="auto" w:sz="12" w:space="0"/>
            </w:tcBorders>
            <w:vAlign w:val="center"/>
          </w:tcPr>
          <w:p>
            <w:pPr>
              <w:jc w:val="center"/>
              <w:rPr>
                <w:rFonts w:hint="eastAsia" w:ascii="宋体" w:hAnsi="宋体" w:cs="宋体"/>
                <w:b/>
                <w:bCs/>
                <w:kern w:val="0"/>
                <w:sz w:val="20"/>
                <w:szCs w:val="20"/>
              </w:rPr>
            </w:pPr>
            <w:r>
              <w:rPr>
                <w:rFonts w:hint="eastAsia" w:ascii="宋体" w:hAnsi="宋体" w:cs="宋体"/>
                <w:b/>
                <w:bCs/>
                <w:kern w:val="0"/>
                <w:sz w:val="20"/>
                <w:szCs w:val="20"/>
              </w:rPr>
              <w:t>是否填报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A000000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rPr>
                <w:rFonts w:hint="eastAsia" w:ascii="宋体" w:hAnsi="宋体" w:cs="宋体"/>
                <w:kern w:val="0"/>
                <w:sz w:val="20"/>
                <w:szCs w:val="20"/>
              </w:rPr>
            </w:pPr>
            <w:r>
              <w:rPr>
                <w:rFonts w:hint="eastAsia" w:ascii="宋体" w:hAnsi="宋体" w:cs="宋体"/>
                <w:kern w:val="0"/>
                <w:sz w:val="20"/>
                <w:szCs w:val="20"/>
              </w:rPr>
              <w:t>企业所得税年度纳税申报基础信息表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A100000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rPr>
                <w:rFonts w:hint="eastAsia" w:ascii="宋体" w:hAnsi="宋体" w:cs="宋体"/>
                <w:kern w:val="0"/>
                <w:sz w:val="20"/>
                <w:szCs w:val="20"/>
              </w:rPr>
            </w:pPr>
            <w:r>
              <w:rPr>
                <w:rFonts w:hint="eastAsia" w:ascii="宋体" w:hAnsi="宋体" w:cs="宋体"/>
                <w:kern w:val="0"/>
                <w:sz w:val="20"/>
                <w:szCs w:val="20"/>
              </w:rPr>
              <w:t>中华人民共和国企业所得税年度纳税申报表（A类）</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A101010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一般企业收入明细表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A101020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金融企业收入明细表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A102010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一般企业成本支出明细表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A102020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金融企业支出明细表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A103000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事业单位、民间非营利组织收入、支出明细表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A104000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期间费用明细表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纳税调整项目明细表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视同销售和房地产开发企业特定业务纳税调整明细表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未按权责发生制确认收入纳税调整明细表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投资收益纳税调整明细表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A105040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专项用途财政性资金纳税调整明细表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A105050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职工薪酬支出及纳税调整明细表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A105060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广告费和业务宣传费等跨年度纳税调整明细表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A105070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捐赠支出及纳税调整明细表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A105080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资产折旧、摊销及纳税调整明细表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A105090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资产损失税前扣除及纳税调整明细表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企业重组及递延纳税事项纳税调整明细表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政策性搬迁纳税调整明细表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贷款损失准备金及纳税调整明细表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A106000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企业所得税弥补亏损明细表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免税、减计收入及加计扣除优惠明细表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A107011</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符合条件的居民企业之间的股息、红利等权益性投资收益优惠明细表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A107012</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研发费用加计扣除优惠明细表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所得减免优惠明细表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抵扣应纳税所得额明细表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减免所得税优惠明细表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A107041</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高新技术企业优惠情况及明细表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A107042</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软件、集成电路企业优惠情况及明细表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A107050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税额抵免优惠明细表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境外所得税收抵免明细表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境外所得纳税调整后所得明细表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境外分支机构弥补亏损明细表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跨年度结转抵免境外所得税明细表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A109000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跨地区经营汇总纳税企业年度分摊企业所得税明细表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A109010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企业所得税汇总纳税分支机构所得税分配表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663" w:type="dxa"/>
            <w:gridSpan w:val="3"/>
            <w:tcBorders>
              <w:top w:val="single" w:color="auto" w:sz="6" w:space="0"/>
              <w:left w:val="single" w:color="auto" w:sz="12" w:space="0"/>
              <w:bottom w:val="single" w:color="auto" w:sz="12" w:space="0"/>
              <w:right w:val="single" w:color="auto" w:sz="12"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说明：企业应当根据实际情况选择需要填报的表单。</w:t>
            </w:r>
          </w:p>
        </w:tc>
      </w:tr>
    </w:tbl>
    <w:p>
      <w:pPr>
        <w:pStyle w:val="66"/>
        <w:jc w:val="center"/>
        <w:rPr>
          <w:rFonts w:hint="eastAsia"/>
        </w:rPr>
        <w:sectPr>
          <w:footerReference r:id="rId9" w:type="default"/>
          <w:footerReference r:id="rId10" w:type="even"/>
          <w:pgSz w:w="11906" w:h="16838"/>
          <w:pgMar w:top="1985" w:right="1418" w:bottom="1928" w:left="1418" w:header="624" w:footer="794" w:gutter="113"/>
          <w:pgNumType w:fmt="decimal"/>
          <w:cols w:space="720" w:num="1"/>
          <w:docGrid w:linePitch="312" w:charSpace="0"/>
        </w:sectPr>
      </w:pPr>
      <w:bookmarkStart w:id="15" w:name="_Toc24623693"/>
    </w:p>
    <w:p>
      <w:pPr>
        <w:pStyle w:val="66"/>
        <w:jc w:val="center"/>
        <w:rPr>
          <w:rFonts w:hint="eastAsia"/>
        </w:rPr>
      </w:pPr>
      <w:bookmarkStart w:id="16" w:name="_Toc17992"/>
      <w:r>
        <w:rPr>
          <w:rFonts w:hint="eastAsia"/>
        </w:rPr>
        <w:t>《企业所得税年度纳税申报表填报表单》填报说明</w:t>
      </w:r>
      <w:bookmarkEnd w:id="15"/>
      <w:bookmarkEnd w:id="16"/>
    </w:p>
    <w:p>
      <w:pPr>
        <w:pStyle w:val="65"/>
        <w:rPr>
          <w:rFonts w:hint="eastAsia" w:cs="宋体"/>
        </w:rPr>
      </w:pPr>
      <w:r>
        <w:rPr>
          <w:rFonts w:hint="eastAsia" w:cs="宋体"/>
        </w:rPr>
        <w:t>本表列示申报表全部表单名称及编号。纳税人在填报申报表之前，请仔细阅读这些表单的填报信息，并根据企业的涉税业务，选择“是否填报”。选择“填报”的，在“□”内打“</w:t>
      </w:r>
      <w:r>
        <w:rPr>
          <w:rFonts w:hint="eastAsia" w:cs="宋体"/>
          <w:kern w:val="0"/>
          <w:sz w:val="20"/>
          <w:szCs w:val="20"/>
        </w:rPr>
        <w:t>√”</w:t>
      </w:r>
      <w:r>
        <w:rPr>
          <w:rFonts w:hint="eastAsia" w:cs="宋体"/>
        </w:rPr>
        <w:t>，并完成该表单内容的填报。未选择“填报”的表单，无需向税务机关报送。各表单有关情况如下：</w:t>
      </w:r>
    </w:p>
    <w:p>
      <w:pPr>
        <w:pStyle w:val="65"/>
        <w:rPr>
          <w:rFonts w:hint="eastAsia" w:cs="宋体"/>
        </w:rPr>
      </w:pPr>
      <w:r>
        <w:rPr>
          <w:rFonts w:hint="eastAsia" w:cs="宋体"/>
        </w:rPr>
        <w:t>1.《企业所得税年度纳税申报基础信息表》（A000000）</w:t>
      </w:r>
    </w:p>
    <w:p>
      <w:pPr>
        <w:pStyle w:val="65"/>
        <w:rPr>
          <w:rFonts w:hint="eastAsia" w:cs="宋体"/>
        </w:rPr>
      </w:pPr>
      <w:r>
        <w:rPr>
          <w:rFonts w:hint="eastAsia" w:cs="宋体"/>
        </w:rPr>
        <w:t>本表为必填表，填报内容包括基本经营情况、有关涉税事项情况、主要股东及分红情况三部分。纳税人填报申报表时，首先填报此表，为后续申报提供指引。</w:t>
      </w:r>
    </w:p>
    <w:p>
      <w:pPr>
        <w:pStyle w:val="65"/>
        <w:rPr>
          <w:rFonts w:hint="eastAsia" w:cs="宋体"/>
        </w:rPr>
      </w:pPr>
      <w:r>
        <w:rPr>
          <w:rFonts w:hint="eastAsia" w:cs="宋体"/>
        </w:rPr>
        <w:t>2.《中华人民共和国企业所得税年度纳税申报表（A类）》（A100000）</w:t>
      </w:r>
    </w:p>
    <w:p>
      <w:pPr>
        <w:pStyle w:val="65"/>
        <w:rPr>
          <w:rFonts w:hint="eastAsia" w:cs="宋体"/>
        </w:rPr>
      </w:pPr>
      <w:r>
        <w:rPr>
          <w:rFonts w:hint="eastAsia" w:cs="宋体"/>
        </w:rPr>
        <w:t>本表为必填表，是纳税人计算申报缴纳企业所得税的主表。</w:t>
      </w:r>
    </w:p>
    <w:p>
      <w:pPr>
        <w:pStyle w:val="65"/>
        <w:rPr>
          <w:rFonts w:hint="eastAsia" w:cs="宋体"/>
        </w:rPr>
      </w:pPr>
      <w:r>
        <w:rPr>
          <w:rFonts w:hint="eastAsia" w:cs="宋体"/>
        </w:rPr>
        <w:t>3.《一般企业收入明细表》（A101010）</w:t>
      </w:r>
    </w:p>
    <w:p>
      <w:pPr>
        <w:pStyle w:val="65"/>
        <w:rPr>
          <w:rFonts w:hint="eastAsia" w:cs="宋体"/>
        </w:rPr>
      </w:pPr>
      <w:r>
        <w:rPr>
          <w:rFonts w:hint="eastAsia" w:cs="宋体"/>
        </w:rPr>
        <w:t>本表适用于除金融企业、事业单位和民间非营利组织外的纳税人填报，反映一般企业按照国家统一会计制度规定取得收入情况。</w:t>
      </w:r>
    </w:p>
    <w:p>
      <w:pPr>
        <w:pStyle w:val="65"/>
        <w:rPr>
          <w:rFonts w:hint="eastAsia" w:cs="宋体"/>
        </w:rPr>
      </w:pPr>
      <w:r>
        <w:rPr>
          <w:rFonts w:hint="eastAsia" w:cs="宋体"/>
        </w:rPr>
        <w:t>4.《金融企业收入明细表》（A101020）</w:t>
      </w:r>
    </w:p>
    <w:p>
      <w:pPr>
        <w:pStyle w:val="65"/>
        <w:rPr>
          <w:rFonts w:hint="eastAsia" w:cs="宋体"/>
        </w:rPr>
      </w:pPr>
      <w:r>
        <w:rPr>
          <w:rFonts w:hint="eastAsia" w:cs="宋体"/>
        </w:rPr>
        <w:t>本表仅适用于金融企业（包括银行、信用社、保险公司、证券公司等金融企业）填报，反映金融企业按照企业会计准则规定取得收入情况。</w:t>
      </w:r>
    </w:p>
    <w:p>
      <w:pPr>
        <w:pStyle w:val="65"/>
        <w:rPr>
          <w:rFonts w:hint="eastAsia" w:cs="宋体"/>
        </w:rPr>
      </w:pPr>
      <w:r>
        <w:rPr>
          <w:rFonts w:hint="eastAsia" w:cs="宋体"/>
        </w:rPr>
        <w:t>5.《一般企业成本支出明细表》（A102010）</w:t>
      </w:r>
    </w:p>
    <w:p>
      <w:pPr>
        <w:pStyle w:val="65"/>
        <w:rPr>
          <w:rFonts w:hint="eastAsia" w:cs="宋体"/>
        </w:rPr>
      </w:pPr>
      <w:r>
        <w:rPr>
          <w:rFonts w:hint="eastAsia" w:cs="宋体"/>
        </w:rPr>
        <w:t>本表适用于除金融企业、事业单位和民间非营利组织外的纳税人填报，反映一般企业按照国家统一会计制度规定发生成本支出情况。</w:t>
      </w:r>
    </w:p>
    <w:p>
      <w:pPr>
        <w:pStyle w:val="65"/>
        <w:rPr>
          <w:rFonts w:hint="eastAsia" w:cs="宋体"/>
        </w:rPr>
      </w:pPr>
      <w:r>
        <w:rPr>
          <w:rFonts w:hint="eastAsia" w:cs="宋体"/>
        </w:rPr>
        <w:t>6.《金融企业支出明细表》（A102020）</w:t>
      </w:r>
    </w:p>
    <w:p>
      <w:pPr>
        <w:pStyle w:val="65"/>
        <w:rPr>
          <w:rFonts w:hint="eastAsia" w:cs="宋体"/>
        </w:rPr>
      </w:pPr>
      <w:r>
        <w:rPr>
          <w:rFonts w:hint="eastAsia" w:cs="宋体"/>
        </w:rPr>
        <w:t>本表仅适用于金融企业（包括银行、信用社、保险公司、证券公司等金融企业）填报，反映金融企业按照企业会计准则规定发生支出情况。</w:t>
      </w:r>
    </w:p>
    <w:p>
      <w:pPr>
        <w:pStyle w:val="65"/>
        <w:rPr>
          <w:rFonts w:hint="eastAsia" w:cs="宋体"/>
        </w:rPr>
      </w:pPr>
      <w:r>
        <w:rPr>
          <w:rFonts w:hint="eastAsia" w:cs="宋体"/>
        </w:rPr>
        <w:t>7.《事业单位、民间非营利组织收入、支出明细表》（A103000）</w:t>
      </w:r>
    </w:p>
    <w:p>
      <w:pPr>
        <w:pStyle w:val="65"/>
        <w:rPr>
          <w:rFonts w:hint="eastAsia" w:cs="宋体"/>
        </w:rPr>
      </w:pPr>
      <w:r>
        <w:rPr>
          <w:rFonts w:hint="eastAsia" w:cs="宋体"/>
        </w:rPr>
        <w:t>本表适用于事业单位和民间非营利组织填报，反映事业单位、社会团体、民办非企业单位、非营利组织等按照有关会计制度规定取得收入，发生支出、费用情况。</w:t>
      </w:r>
    </w:p>
    <w:p>
      <w:pPr>
        <w:pStyle w:val="65"/>
        <w:rPr>
          <w:rFonts w:hint="eastAsia" w:cs="宋体"/>
        </w:rPr>
      </w:pPr>
      <w:r>
        <w:rPr>
          <w:rFonts w:hint="eastAsia" w:cs="宋体"/>
        </w:rPr>
        <w:t>8.《期间费用明细表》（A104000）</w:t>
      </w:r>
    </w:p>
    <w:p>
      <w:pPr>
        <w:pStyle w:val="65"/>
        <w:rPr>
          <w:rFonts w:hint="eastAsia" w:cs="宋体"/>
        </w:rPr>
      </w:pPr>
      <w:r>
        <w:rPr>
          <w:rFonts w:hint="eastAsia" w:cs="宋体"/>
        </w:rPr>
        <w:t>本表适用于除事业单位和民间非营利组织外的纳税人填报，反映纳税人根据国家统一会计制度发生的期间费用明细情况。</w:t>
      </w:r>
    </w:p>
    <w:p>
      <w:pPr>
        <w:pStyle w:val="65"/>
        <w:rPr>
          <w:rFonts w:hint="eastAsia" w:cs="宋体"/>
        </w:rPr>
      </w:pPr>
      <w:r>
        <w:rPr>
          <w:rFonts w:hint="eastAsia" w:cs="宋体"/>
        </w:rPr>
        <w:t>9.《纳税调整项目明细表》（A105000）</w:t>
      </w:r>
    </w:p>
    <w:p>
      <w:pPr>
        <w:pStyle w:val="65"/>
        <w:rPr>
          <w:rFonts w:hint="eastAsia" w:cs="宋体"/>
        </w:rPr>
      </w:pPr>
      <w:r>
        <w:rPr>
          <w:rFonts w:hint="eastAsia" w:cs="宋体"/>
        </w:rPr>
        <w:t>本表反映纳税人财务、会计处理办法（以下简称“会计处理”）与税收法律、行政法规的规定（以下简称“税收规定”）不一致，需要进行纳税调整的项目和金额情况。</w:t>
      </w:r>
    </w:p>
    <w:p>
      <w:pPr>
        <w:pStyle w:val="65"/>
        <w:rPr>
          <w:rFonts w:hint="eastAsia" w:cs="宋体"/>
        </w:rPr>
      </w:pPr>
      <w:r>
        <w:rPr>
          <w:rFonts w:hint="eastAsia" w:cs="宋体"/>
        </w:rPr>
        <w:t>10.《视同销售和房地产开发企业特定业务纳税调整明细表》（A105010）</w:t>
      </w:r>
    </w:p>
    <w:p>
      <w:pPr>
        <w:pStyle w:val="65"/>
        <w:rPr>
          <w:rFonts w:hint="eastAsia" w:cs="宋体"/>
        </w:rPr>
      </w:pPr>
      <w:r>
        <w:rPr>
          <w:rFonts w:hint="eastAsia" w:cs="宋体"/>
        </w:rPr>
        <w:t>本表反映纳税人发生视同销售行为、房地产开发企业销售未完工产品、未完工产品转完工产品，会计处理与税收规定不一致，需要进行纳税调整的项目和金额情况。</w:t>
      </w:r>
    </w:p>
    <w:p>
      <w:pPr>
        <w:pStyle w:val="65"/>
        <w:rPr>
          <w:rFonts w:hint="eastAsia" w:cs="宋体"/>
        </w:rPr>
      </w:pPr>
      <w:r>
        <w:rPr>
          <w:rFonts w:hint="eastAsia" w:cs="宋体"/>
        </w:rPr>
        <w:t>11.《未按权责发生制确认收入纳税调整明细表》（A105020）</w:t>
      </w:r>
    </w:p>
    <w:p>
      <w:pPr>
        <w:pStyle w:val="65"/>
        <w:rPr>
          <w:rFonts w:hint="eastAsia" w:cs="宋体"/>
        </w:rPr>
      </w:pPr>
      <w:r>
        <w:rPr>
          <w:rFonts w:hint="eastAsia" w:cs="宋体"/>
        </w:rPr>
        <w:t>本表反映纳税人会计处理按照权责发生制确认收入，而税收规定不按照权责发生制确认收入，需要进行纳税调整的项目和金额情况。</w:t>
      </w:r>
    </w:p>
    <w:p>
      <w:pPr>
        <w:pStyle w:val="65"/>
        <w:rPr>
          <w:rFonts w:hint="eastAsia" w:cs="宋体"/>
        </w:rPr>
      </w:pPr>
      <w:r>
        <w:rPr>
          <w:rFonts w:hint="eastAsia" w:cs="宋体"/>
        </w:rPr>
        <w:t>12.《投资收益纳税调整明细表》（A105030）</w:t>
      </w:r>
    </w:p>
    <w:p>
      <w:pPr>
        <w:pStyle w:val="65"/>
        <w:rPr>
          <w:rFonts w:hint="eastAsia" w:cs="宋体"/>
        </w:rPr>
      </w:pPr>
      <w:r>
        <w:rPr>
          <w:rFonts w:hint="eastAsia" w:cs="宋体"/>
        </w:rPr>
        <w:t>本表反映纳税人发生投资收益，由于会计处理与税收规定不一致，需要进行纳税调整的项目和金额情况。</w:t>
      </w:r>
    </w:p>
    <w:p>
      <w:pPr>
        <w:pStyle w:val="65"/>
        <w:rPr>
          <w:rFonts w:hint="eastAsia" w:cs="宋体"/>
        </w:rPr>
      </w:pPr>
      <w:r>
        <w:rPr>
          <w:rFonts w:hint="eastAsia" w:cs="宋体"/>
        </w:rPr>
        <w:t>13.《专项用途财政性资金纳税调整明细表》（A105040）</w:t>
      </w:r>
    </w:p>
    <w:p>
      <w:pPr>
        <w:pStyle w:val="65"/>
        <w:rPr>
          <w:rFonts w:hint="eastAsia" w:cs="宋体"/>
        </w:rPr>
      </w:pPr>
      <w:r>
        <w:rPr>
          <w:rFonts w:hint="eastAsia" w:cs="宋体"/>
        </w:rPr>
        <w:t>本表反映纳税人取得符合不征税收入条件的专项用途财政性资金，由于会计处理与税收规定不一致，需要进行纳税调整的金额情况。</w:t>
      </w:r>
    </w:p>
    <w:p>
      <w:pPr>
        <w:pStyle w:val="65"/>
        <w:rPr>
          <w:rFonts w:hint="eastAsia" w:cs="宋体"/>
        </w:rPr>
      </w:pPr>
      <w:r>
        <w:rPr>
          <w:rFonts w:hint="eastAsia" w:cs="宋体"/>
        </w:rPr>
        <w:t>14.《职工薪酬支出及纳税调整明细表》（A105050）</w:t>
      </w:r>
    </w:p>
    <w:p>
      <w:pPr>
        <w:pStyle w:val="65"/>
        <w:rPr>
          <w:rFonts w:hint="eastAsia" w:cs="宋体"/>
        </w:rPr>
      </w:pPr>
      <w:r>
        <w:rPr>
          <w:rFonts w:hint="eastAsia" w:cs="宋体"/>
        </w:rPr>
        <w:t>本表反映纳税人发生的职工薪酬（包括工资薪金、职工福利费、职工教育经费、工会经费、各类基本社会保障性缴款、住房公积金、补充养老保险、补充医疗保险等支出）情况，以及由于会计处理与税收规定不一致，需要进行纳税调整的项目和金额情况。纳税人只要发生职工薪酬支出，均需填报本表。</w:t>
      </w:r>
    </w:p>
    <w:p>
      <w:pPr>
        <w:pStyle w:val="65"/>
        <w:rPr>
          <w:rFonts w:hint="eastAsia" w:cs="宋体"/>
        </w:rPr>
      </w:pPr>
      <w:r>
        <w:rPr>
          <w:rFonts w:hint="eastAsia" w:cs="宋体"/>
        </w:rPr>
        <w:t>15.《广告费和业务宣传费等跨年度纳税调整明细表》（A105060）</w:t>
      </w:r>
    </w:p>
    <w:p>
      <w:pPr>
        <w:pStyle w:val="65"/>
        <w:rPr>
          <w:rFonts w:hint="eastAsia" w:cs="宋体"/>
        </w:rPr>
      </w:pPr>
      <w:r>
        <w:rPr>
          <w:rFonts w:hint="eastAsia" w:cs="宋体"/>
        </w:rPr>
        <w:t>本表反映纳税人发生的广告费和业务宣传费支出、保险企业发生的手续费及佣金支出，由于会计处理与税收规定不一致，需要进行纳税调整的金额情况。纳税人以前年度发生广告费和业务宣传费支出、保险企业以前年度发生手续费及佣金支出尚未扣除完毕结转至本年度扣除的，应填报以前年度累计结转情况。</w:t>
      </w:r>
    </w:p>
    <w:p>
      <w:pPr>
        <w:pStyle w:val="65"/>
        <w:rPr>
          <w:rFonts w:hint="eastAsia" w:cs="宋体"/>
        </w:rPr>
      </w:pPr>
      <w:r>
        <w:rPr>
          <w:rFonts w:hint="eastAsia" w:cs="宋体"/>
        </w:rPr>
        <w:t>16.《捐赠支出及纳税调整明细表》（A105070）</w:t>
      </w:r>
    </w:p>
    <w:p>
      <w:pPr>
        <w:pStyle w:val="65"/>
        <w:rPr>
          <w:rFonts w:hint="eastAsia" w:cs="宋体"/>
        </w:rPr>
      </w:pPr>
      <w:r>
        <w:rPr>
          <w:rFonts w:hint="eastAsia" w:cs="宋体"/>
        </w:rPr>
        <w:t>本表反映纳税人发生捐赠支出的情况，以及由于会计处理与税收规定不一致，需要进行纳税调整的项目和金额情况。纳税人发生以前年度捐赠支出未扣除完毕的，应填报以前年度累计结转情况。</w:t>
      </w:r>
    </w:p>
    <w:p>
      <w:pPr>
        <w:pStyle w:val="65"/>
        <w:rPr>
          <w:rFonts w:hint="eastAsia" w:cs="宋体"/>
        </w:rPr>
      </w:pPr>
      <w:r>
        <w:rPr>
          <w:rFonts w:hint="eastAsia" w:cs="宋体"/>
        </w:rPr>
        <w:t>17.《资产折旧、摊销及纳税调整明细表》（A105080）</w:t>
      </w:r>
    </w:p>
    <w:p>
      <w:pPr>
        <w:pStyle w:val="65"/>
        <w:rPr>
          <w:rFonts w:hint="eastAsia" w:cs="宋体"/>
        </w:rPr>
      </w:pPr>
      <w:r>
        <w:rPr>
          <w:rFonts w:hint="eastAsia" w:cs="宋体"/>
        </w:rPr>
        <w:t>本表反映纳税人资产折旧、摊销情况，以及由于会计处理与税收规定不一致，需要进行纳税调整的项目和金额情况。纳税人只要发生资产折旧、摊销，均需填报本表。</w:t>
      </w:r>
    </w:p>
    <w:p>
      <w:pPr>
        <w:pStyle w:val="65"/>
        <w:rPr>
          <w:rFonts w:hint="eastAsia" w:cs="宋体"/>
        </w:rPr>
      </w:pPr>
      <w:r>
        <w:rPr>
          <w:rFonts w:hint="eastAsia" w:cs="宋体"/>
        </w:rPr>
        <w:t>18.《资产损失税前扣除及纳税调整明细表》（A105090）</w:t>
      </w:r>
    </w:p>
    <w:p>
      <w:pPr>
        <w:pStyle w:val="65"/>
        <w:rPr>
          <w:rFonts w:hint="eastAsia" w:cs="宋体"/>
        </w:rPr>
      </w:pPr>
      <w:r>
        <w:rPr>
          <w:rFonts w:hint="eastAsia" w:cs="宋体"/>
        </w:rPr>
        <w:t>本表反映纳税人发生的资产损失的项目及金额情况，以及由于会计处理与税收规定不一致，需要进行纳税调整的项目和金额情况。</w:t>
      </w:r>
    </w:p>
    <w:p>
      <w:pPr>
        <w:pStyle w:val="65"/>
        <w:rPr>
          <w:rFonts w:hint="eastAsia" w:cs="宋体"/>
        </w:rPr>
      </w:pPr>
      <w:r>
        <w:rPr>
          <w:rFonts w:hint="eastAsia" w:cs="宋体"/>
        </w:rPr>
        <w:t>19.《企业重组及递延纳税事项纳税调整明细表》（A105100）</w:t>
      </w:r>
    </w:p>
    <w:p>
      <w:pPr>
        <w:pStyle w:val="65"/>
        <w:rPr>
          <w:rFonts w:hint="eastAsia" w:cs="宋体"/>
        </w:rPr>
      </w:pPr>
      <w:r>
        <w:rPr>
          <w:rFonts w:hint="eastAsia" w:cs="宋体"/>
        </w:rPr>
        <w:t>本表反映纳税人发生企业重组、非货币性资产对外投资、技术入股等业务所涉及的所得或损失情况，以及由于会计处理与税收规定不一致，需要进行纳税调整的项目和金额情况。</w:t>
      </w:r>
    </w:p>
    <w:p>
      <w:pPr>
        <w:pStyle w:val="65"/>
        <w:rPr>
          <w:rFonts w:hint="eastAsia" w:cs="宋体"/>
        </w:rPr>
      </w:pPr>
      <w:r>
        <w:rPr>
          <w:rFonts w:hint="eastAsia" w:cs="宋体"/>
        </w:rPr>
        <w:t>20.《政策性搬迁纳税调整明细表》（A105110）</w:t>
      </w:r>
    </w:p>
    <w:p>
      <w:pPr>
        <w:pStyle w:val="65"/>
        <w:rPr>
          <w:rFonts w:hint="eastAsia" w:cs="宋体"/>
        </w:rPr>
      </w:pPr>
      <w:r>
        <w:rPr>
          <w:rFonts w:hint="eastAsia" w:cs="宋体"/>
        </w:rPr>
        <w:t>本表反映纳税人发生政策性搬迁所涉及的所得或损失，由于会计处理与税收规定不一致，需要进行纳税调整的项目和金额情况。</w:t>
      </w:r>
    </w:p>
    <w:p>
      <w:pPr>
        <w:pStyle w:val="65"/>
        <w:rPr>
          <w:rFonts w:hint="eastAsia" w:cs="宋体"/>
        </w:rPr>
      </w:pPr>
      <w:r>
        <w:rPr>
          <w:rFonts w:hint="eastAsia" w:cs="宋体"/>
        </w:rPr>
        <w:t>21.《贷款损失准备金及纳税调整明细表》（A105120）</w:t>
      </w:r>
    </w:p>
    <w:p>
      <w:pPr>
        <w:pStyle w:val="65"/>
        <w:rPr>
          <w:rFonts w:hint="eastAsia" w:cs="宋体"/>
        </w:rPr>
      </w:pPr>
      <w:r>
        <w:rPr>
          <w:rFonts w:hint="eastAsia" w:cs="宋体"/>
        </w:rPr>
        <w:t>本表反映金融企业、小额贷款公司纳税人发生的贷款损失准备金情况，以及由于会计处理与税收规定不一致，需要进行纳税调整的项目和金额情况。</w:t>
      </w:r>
    </w:p>
    <w:p>
      <w:pPr>
        <w:pStyle w:val="65"/>
        <w:rPr>
          <w:rFonts w:hint="eastAsia" w:cs="宋体"/>
        </w:rPr>
      </w:pPr>
      <w:r>
        <w:rPr>
          <w:rFonts w:hint="eastAsia" w:cs="宋体"/>
        </w:rPr>
        <w:t>22.《企业所得税弥补亏损明细表》（A106000）</w:t>
      </w:r>
    </w:p>
    <w:p>
      <w:pPr>
        <w:pStyle w:val="65"/>
        <w:rPr>
          <w:rFonts w:hint="eastAsia" w:cs="宋体"/>
        </w:rPr>
      </w:pPr>
      <w:r>
        <w:rPr>
          <w:rFonts w:hint="eastAsia" w:cs="宋体"/>
        </w:rPr>
        <w:t>本表反映纳税人以前年度发生的亏损需要在本年度结转弥补的金额，本年度可弥补的金额以及可继续结转以后年度弥补的亏损额情况。</w:t>
      </w:r>
    </w:p>
    <w:p>
      <w:pPr>
        <w:pStyle w:val="65"/>
        <w:rPr>
          <w:rFonts w:hint="eastAsia" w:cs="宋体"/>
        </w:rPr>
      </w:pPr>
      <w:r>
        <w:rPr>
          <w:rFonts w:hint="eastAsia" w:cs="宋体"/>
        </w:rPr>
        <w:t>23.《免税、减计收入及加计扣除优惠明细表》（A107010）</w:t>
      </w:r>
    </w:p>
    <w:p>
      <w:pPr>
        <w:pStyle w:val="65"/>
        <w:rPr>
          <w:rFonts w:hint="eastAsia" w:cs="宋体"/>
        </w:rPr>
      </w:pPr>
      <w:r>
        <w:rPr>
          <w:rFonts w:hint="eastAsia" w:cs="宋体"/>
        </w:rPr>
        <w:t>本表反映纳税人本年度所享受免税收入、减计收入、加计扣除等优惠政策的项目和金额情况。</w:t>
      </w:r>
    </w:p>
    <w:p>
      <w:pPr>
        <w:pStyle w:val="65"/>
        <w:rPr>
          <w:rFonts w:hint="eastAsia" w:cs="宋体"/>
        </w:rPr>
      </w:pPr>
      <w:r>
        <w:rPr>
          <w:rFonts w:hint="eastAsia" w:cs="宋体"/>
        </w:rPr>
        <w:t>24.《符合条件的居民企业之间的股息、红利等权益性投资收益优惠明细表》（A107011）</w:t>
      </w:r>
    </w:p>
    <w:p>
      <w:pPr>
        <w:pStyle w:val="65"/>
        <w:rPr>
          <w:rFonts w:hint="eastAsia" w:cs="宋体"/>
        </w:rPr>
      </w:pPr>
      <w:r>
        <w:rPr>
          <w:rFonts w:hint="eastAsia" w:cs="宋体"/>
        </w:rPr>
        <w:t>本表反映纳税人本年度享受居民企业之间的股息、红利等权益性投资收益免税优惠政策的项目和金额情况。</w:t>
      </w:r>
    </w:p>
    <w:p>
      <w:pPr>
        <w:pStyle w:val="65"/>
        <w:rPr>
          <w:rFonts w:hint="eastAsia" w:cs="宋体"/>
        </w:rPr>
      </w:pPr>
      <w:r>
        <w:rPr>
          <w:rFonts w:hint="eastAsia" w:cs="宋体"/>
        </w:rPr>
        <w:t>25.《研发费用加计扣除优惠明细表》（A107012）</w:t>
      </w:r>
    </w:p>
    <w:p>
      <w:pPr>
        <w:pStyle w:val="65"/>
        <w:rPr>
          <w:rFonts w:hint="eastAsia" w:cs="宋体"/>
        </w:rPr>
      </w:pPr>
      <w:r>
        <w:rPr>
          <w:rFonts w:hint="eastAsia" w:cs="宋体"/>
        </w:rPr>
        <w:t>本表反映纳税人享受研发费用加计扣除优惠政策情况。纳税人以前年度有销售研发活动直接形成产品（包括组成部分）对应材料部分未扣减完毕的，应填报以前年度未扣减情况。</w:t>
      </w:r>
    </w:p>
    <w:p>
      <w:pPr>
        <w:pStyle w:val="65"/>
        <w:rPr>
          <w:rFonts w:hint="eastAsia" w:cs="宋体"/>
        </w:rPr>
      </w:pPr>
      <w:r>
        <w:rPr>
          <w:rFonts w:hint="eastAsia" w:cs="宋体"/>
        </w:rPr>
        <w:t>26.《所得减免优惠明细表》（A107020）</w:t>
      </w:r>
    </w:p>
    <w:p>
      <w:pPr>
        <w:pStyle w:val="65"/>
        <w:rPr>
          <w:rFonts w:hint="eastAsia" w:cs="宋体"/>
        </w:rPr>
      </w:pPr>
      <w:r>
        <w:rPr>
          <w:rFonts w:hint="eastAsia" w:cs="宋体"/>
        </w:rPr>
        <w:t>本表反映纳税人本年度享受减免所得额优惠政策（包括农、林、牧、渔项目和国家重点扶持的公共基础设施项目、环境保护、节能节水项目、集成电路生产项目以及符合条件的技术转让项目等）项目和金额情况。</w:t>
      </w:r>
    </w:p>
    <w:p>
      <w:pPr>
        <w:pStyle w:val="65"/>
        <w:rPr>
          <w:rFonts w:hint="eastAsia" w:cs="宋体"/>
        </w:rPr>
      </w:pPr>
      <w:r>
        <w:rPr>
          <w:rFonts w:hint="eastAsia" w:cs="宋体"/>
        </w:rPr>
        <w:t>27.《抵扣应纳税所得额明细表》（A107030）</w:t>
      </w:r>
    </w:p>
    <w:p>
      <w:pPr>
        <w:pStyle w:val="65"/>
        <w:rPr>
          <w:rFonts w:hint="eastAsia" w:cs="宋体"/>
        </w:rPr>
      </w:pPr>
      <w:r>
        <w:rPr>
          <w:rFonts w:hint="eastAsia" w:cs="宋体"/>
        </w:rPr>
        <w:t>本表反映纳税人本年度享受创业投资企业抵扣应纳税所得额优惠政策的项目和金额情况。纳税人有以前年度结转的尚未抵扣的股权投资余额的，应填报以前年度累计结转情况。</w:t>
      </w:r>
    </w:p>
    <w:p>
      <w:pPr>
        <w:pStyle w:val="65"/>
        <w:rPr>
          <w:rFonts w:hint="eastAsia" w:cs="宋体"/>
        </w:rPr>
      </w:pPr>
      <w:r>
        <w:rPr>
          <w:rFonts w:hint="eastAsia" w:cs="宋体"/>
        </w:rPr>
        <w:t>28.《减免所得税优惠明细表》（A107040）</w:t>
      </w:r>
    </w:p>
    <w:p>
      <w:pPr>
        <w:pStyle w:val="65"/>
        <w:rPr>
          <w:rFonts w:hint="eastAsia" w:cs="宋体"/>
        </w:rPr>
      </w:pPr>
      <w:r>
        <w:rPr>
          <w:rFonts w:hint="eastAsia" w:cs="宋体"/>
        </w:rPr>
        <w:t>本表反映纳税人本年度享受减免所得税优惠政策（包括小型微利企业、高新技术企业、民族自治地方企业、其他专项优惠等）的项目和金额情况。</w:t>
      </w:r>
    </w:p>
    <w:p>
      <w:pPr>
        <w:pStyle w:val="65"/>
        <w:rPr>
          <w:rFonts w:hint="eastAsia" w:cs="宋体"/>
        </w:rPr>
      </w:pPr>
      <w:r>
        <w:rPr>
          <w:rFonts w:hint="eastAsia" w:cs="宋体"/>
        </w:rPr>
        <w:t>29.《高新技术企业优惠情况及明细表》（A107041）</w:t>
      </w:r>
    </w:p>
    <w:p>
      <w:pPr>
        <w:pStyle w:val="65"/>
        <w:rPr>
          <w:rFonts w:hint="eastAsia" w:cs="宋体"/>
        </w:rPr>
      </w:pPr>
      <w:r>
        <w:rPr>
          <w:rFonts w:hint="eastAsia" w:cs="宋体"/>
        </w:rPr>
        <w:t>本表反映高新技术企业基本情况和享受优惠政策的有关情况。高新技术企业资格证书在有效期内的纳税人需要填报本表。</w:t>
      </w:r>
    </w:p>
    <w:p>
      <w:pPr>
        <w:pStyle w:val="65"/>
        <w:rPr>
          <w:rFonts w:hint="eastAsia" w:cs="宋体"/>
        </w:rPr>
      </w:pPr>
      <w:r>
        <w:rPr>
          <w:rFonts w:hint="eastAsia" w:cs="宋体"/>
        </w:rPr>
        <w:t>30.《软件、集成电路企业优惠情况及明细表》（A107042）</w:t>
      </w:r>
    </w:p>
    <w:p>
      <w:pPr>
        <w:pStyle w:val="65"/>
        <w:rPr>
          <w:rFonts w:hint="eastAsia" w:cs="宋体"/>
        </w:rPr>
      </w:pPr>
      <w:r>
        <w:rPr>
          <w:rFonts w:hint="eastAsia" w:cs="宋体"/>
        </w:rPr>
        <w:t>本表反映纳税人本年度享受软件、集成电路企业优惠政策的有关情况。</w:t>
      </w:r>
    </w:p>
    <w:p>
      <w:pPr>
        <w:pStyle w:val="65"/>
        <w:rPr>
          <w:rFonts w:hint="eastAsia" w:cs="宋体"/>
        </w:rPr>
      </w:pPr>
      <w:r>
        <w:rPr>
          <w:rFonts w:hint="eastAsia" w:cs="宋体"/>
        </w:rPr>
        <w:t>31.《税额抵免优惠明细表》（A107050）</w:t>
      </w:r>
    </w:p>
    <w:p>
      <w:pPr>
        <w:pStyle w:val="65"/>
        <w:rPr>
          <w:rFonts w:hint="eastAsia" w:cs="宋体"/>
        </w:rPr>
      </w:pPr>
      <w:r>
        <w:rPr>
          <w:rFonts w:hint="eastAsia" w:cs="宋体"/>
        </w:rPr>
        <w:t>本表反映纳税人享受购买专用设备投资额抵免税额优惠政策的项目和金额情况。纳税人有以前年度结转的尚未抵免的专用设备投资额的，应填报以前年度已抵免情况。</w:t>
      </w:r>
    </w:p>
    <w:p>
      <w:pPr>
        <w:pStyle w:val="65"/>
        <w:rPr>
          <w:rFonts w:hint="eastAsia" w:cs="宋体"/>
        </w:rPr>
      </w:pPr>
      <w:r>
        <w:rPr>
          <w:rFonts w:hint="eastAsia" w:cs="宋体"/>
        </w:rPr>
        <w:t>32.《境外所得税收抵免明细表》（A108000）</w:t>
      </w:r>
    </w:p>
    <w:p>
      <w:pPr>
        <w:pStyle w:val="65"/>
        <w:rPr>
          <w:rFonts w:hint="eastAsia" w:cs="宋体"/>
        </w:rPr>
      </w:pPr>
      <w:r>
        <w:rPr>
          <w:rFonts w:hint="eastAsia" w:cs="宋体"/>
        </w:rPr>
        <w:t>本表反映纳税人本年度来源于或发生于其他国家、地区的境外所得，按照我国税收规定计算应缴纳和应抵免的企业所得税额情况。</w:t>
      </w:r>
    </w:p>
    <w:p>
      <w:pPr>
        <w:pStyle w:val="65"/>
        <w:rPr>
          <w:rFonts w:hint="eastAsia" w:cs="宋体"/>
        </w:rPr>
      </w:pPr>
      <w:r>
        <w:rPr>
          <w:rFonts w:hint="eastAsia" w:cs="宋体"/>
        </w:rPr>
        <w:t>33.《境外所得纳税调整后所得明细表》（A108010）</w:t>
      </w:r>
    </w:p>
    <w:p>
      <w:pPr>
        <w:pStyle w:val="65"/>
        <w:rPr>
          <w:rFonts w:hint="eastAsia" w:cs="宋体"/>
        </w:rPr>
      </w:pPr>
      <w:r>
        <w:rPr>
          <w:rFonts w:hint="eastAsia" w:cs="宋体"/>
        </w:rPr>
        <w:t>本表反映纳税人本年度来源于或发生于其他国家、地区的境外所得，按照我国税收规定计算调整后的所得情况。</w:t>
      </w:r>
    </w:p>
    <w:p>
      <w:pPr>
        <w:pStyle w:val="65"/>
        <w:rPr>
          <w:rFonts w:hint="eastAsia" w:cs="宋体"/>
        </w:rPr>
      </w:pPr>
      <w:r>
        <w:rPr>
          <w:rFonts w:hint="eastAsia" w:cs="宋体"/>
        </w:rPr>
        <w:t>34.《境外分支机构弥补亏损明细表》（A108020）</w:t>
      </w:r>
    </w:p>
    <w:p>
      <w:pPr>
        <w:pStyle w:val="65"/>
        <w:rPr>
          <w:rFonts w:hint="eastAsia" w:cs="宋体"/>
        </w:rPr>
      </w:pPr>
      <w:r>
        <w:rPr>
          <w:rFonts w:hint="eastAsia" w:cs="宋体"/>
        </w:rPr>
        <w:t>本表反映纳税人境外分支机构本年度及以前年度发生的税前尚未弥补的非实际亏损额和实际亏损额、结转以后年度弥补的非实际亏损额和实际亏损额情况。</w:t>
      </w:r>
    </w:p>
    <w:p>
      <w:pPr>
        <w:pStyle w:val="65"/>
        <w:rPr>
          <w:rFonts w:hint="eastAsia" w:cs="宋体"/>
        </w:rPr>
      </w:pPr>
      <w:r>
        <w:rPr>
          <w:rFonts w:hint="eastAsia" w:cs="宋体"/>
        </w:rPr>
        <w:t>35.《跨年度结转抵免境外所得税明细表》（A108030）</w:t>
      </w:r>
    </w:p>
    <w:p>
      <w:pPr>
        <w:pStyle w:val="65"/>
        <w:rPr>
          <w:rFonts w:hint="eastAsia" w:cs="宋体"/>
        </w:rPr>
      </w:pPr>
      <w:r>
        <w:rPr>
          <w:rFonts w:hint="eastAsia" w:cs="宋体"/>
        </w:rPr>
        <w:t>本表反映纳税人本年度来源于或发生于其他国家或地区的境外所得按照我国税收规定可以抵免的所得税额情况。</w:t>
      </w:r>
    </w:p>
    <w:p>
      <w:pPr>
        <w:pStyle w:val="65"/>
        <w:rPr>
          <w:rFonts w:hint="eastAsia" w:cs="宋体"/>
        </w:rPr>
      </w:pPr>
      <w:r>
        <w:rPr>
          <w:rFonts w:hint="eastAsia" w:cs="宋体"/>
        </w:rPr>
        <w:t>36.《跨地区经营汇总纳税企业年度分摊企业所得税明细表》（A109000）</w:t>
      </w:r>
    </w:p>
    <w:p>
      <w:pPr>
        <w:pStyle w:val="65"/>
        <w:rPr>
          <w:rFonts w:hint="eastAsia" w:cs="宋体"/>
        </w:rPr>
      </w:pPr>
      <w:r>
        <w:rPr>
          <w:rFonts w:hint="eastAsia" w:cs="宋体"/>
        </w:rPr>
        <w:t>本表适用于跨地区经营汇总纳税企业的总机构填报，反映按照规定计算的总机构、分支机构本年度应缴的企业所得税情况，以及总机构、分支机构应分摊的企业所得税情况。</w:t>
      </w:r>
    </w:p>
    <w:p>
      <w:pPr>
        <w:pStyle w:val="65"/>
        <w:rPr>
          <w:rFonts w:hint="eastAsia" w:cs="宋体"/>
        </w:rPr>
      </w:pPr>
      <w:r>
        <w:rPr>
          <w:rFonts w:hint="eastAsia" w:cs="宋体"/>
        </w:rPr>
        <w:t>37.《企业所得税汇总纳税分支机构所得税分配表》（A109010）</w:t>
      </w:r>
    </w:p>
    <w:p>
      <w:pPr>
        <w:pStyle w:val="65"/>
        <w:rPr>
          <w:rFonts w:hint="eastAsia" w:cs="宋体"/>
        </w:rPr>
        <w:sectPr>
          <w:footerReference r:id="rId11" w:type="default"/>
          <w:footerReference r:id="rId12" w:type="even"/>
          <w:pgSz w:w="11906" w:h="16838"/>
          <w:pgMar w:top="1985" w:right="1418" w:bottom="1928" w:left="1418" w:header="624" w:footer="794" w:gutter="113"/>
          <w:pgNumType w:fmt="decimal"/>
          <w:cols w:space="720" w:num="1"/>
          <w:docGrid w:linePitch="312" w:charSpace="0"/>
        </w:sectPr>
      </w:pPr>
      <w:r>
        <w:rPr>
          <w:rFonts w:hint="eastAsia" w:cs="宋体"/>
        </w:rPr>
        <w:t>本表适用于跨地区经营汇总纳税企业的总机构填报，反映总机构本年度实际应纳所得税额以及所属分支机构本年度应分摊的所得税额情况。</w:t>
      </w:r>
    </w:p>
    <w:bookmarkEnd w:id="11"/>
    <w:bookmarkEnd w:id="12"/>
    <w:bookmarkEnd w:id="13"/>
    <w:bookmarkEnd w:id="14"/>
    <w:p>
      <w:pPr>
        <w:pStyle w:val="66"/>
      </w:pPr>
      <w:bookmarkStart w:id="17" w:name="_Toc21945"/>
      <w:bookmarkStart w:id="18" w:name="_Toc54267888"/>
      <w:bookmarkStart w:id="19" w:name="_Toc54267889"/>
      <w:bookmarkStart w:id="20" w:name="_Toc24965003"/>
      <w:r>
        <w:t>A000000</w:t>
      </w:r>
      <w:r>
        <w:tab/>
      </w:r>
      <w:r>
        <w:t>企业所得税年度纳税申报基础信息表</w:t>
      </w:r>
      <w:bookmarkEnd w:id="17"/>
      <w:bookmarkEnd w:id="18"/>
    </w:p>
    <w:tbl>
      <w:tblPr>
        <w:tblStyle w:val="25"/>
        <w:tblW w:w="109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8"/>
        <w:gridCol w:w="749"/>
        <w:gridCol w:w="1037"/>
        <w:gridCol w:w="155"/>
        <w:gridCol w:w="697"/>
        <w:gridCol w:w="438"/>
        <w:gridCol w:w="759"/>
        <w:gridCol w:w="1127"/>
        <w:gridCol w:w="1463"/>
        <w:gridCol w:w="1979"/>
        <w:gridCol w:w="1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基本经营情况（必填项目）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101纳税申报企业类型（填写代码）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102分支机构就地纳税比例（%）</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103资产总额（填写平均值，单位：万元）</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104从业人数（填写平均值，单位：人）</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105所属国民经济行业（填写代码）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106从事国家限制或禁止行业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107适用会计准则或会计制度（填写代码）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108采用一般企业财务报表格式（2019年版）</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109小型微利企业</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 xml:space="preserve">是 </w:t>
            </w:r>
            <w:r>
              <w:rPr>
                <w:rFonts w:hint="eastAsia" w:ascii="宋体" w:hAnsi="宋体" w:cs="宋体"/>
                <w:kern w:val="0"/>
                <w:sz w:val="20"/>
                <w:szCs w:val="20"/>
              </w:rPr>
              <w:sym w:font="Wingdings 2" w:char="00A3"/>
            </w:r>
            <w:r>
              <w:rPr>
                <w:rFonts w:hint="eastAsia" w:ascii="宋体" w:hAnsi="宋体" w:cs="宋体"/>
                <w:kern w:val="0"/>
                <w:sz w:val="20"/>
                <w:szCs w:val="20"/>
              </w:rPr>
              <w:t>否</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110上市公司</w:t>
            </w:r>
          </w:p>
        </w:tc>
        <w:tc>
          <w:tcPr>
            <w:tcW w:w="3029" w:type="dxa"/>
            <w:gridSpan w:val="2"/>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xml:space="preserve">是（□境内 □境外）  </w:t>
            </w:r>
            <w:r>
              <w:rPr>
                <w:rFonts w:hint="eastAsia" w:ascii="宋体" w:hAnsi="宋体" w:cs="宋体"/>
                <w:kern w:val="0"/>
                <w:sz w:val="20"/>
                <w:szCs w:val="20"/>
              </w:rPr>
              <w:sym w:font="Wingdings 2" w:char="00A3"/>
            </w:r>
            <w:r>
              <w:rPr>
                <w:rFonts w:hint="eastAsia" w:ascii="宋体" w:hAnsi="宋体" w:cs="宋体"/>
                <w:kern w:val="0"/>
                <w:sz w:val="20"/>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952" w:type="dxa"/>
            <w:gridSpan w:val="11"/>
            <w:tcBorders>
              <w:top w:val="single" w:color="auto" w:sz="6"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有关涉税事项情况（存在或者发生下列事项时必填）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201从事股权投资业务</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202存在境外关联交易</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203境外所得信息</w:t>
            </w: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203-1选择采用的境外所得抵免方式</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□分国（地区）不分项   □不分国（地区）不分项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bCs/>
                <w:kern w:val="0"/>
                <w:sz w:val="20"/>
                <w:szCs w:val="20"/>
              </w:rPr>
            </w:pPr>
            <w:r>
              <w:rPr>
                <w:rFonts w:hint="eastAsia" w:ascii="宋体" w:hAnsi="宋体" w:cs="宋体"/>
                <w:kern w:val="0"/>
                <w:sz w:val="20"/>
                <w:szCs w:val="20"/>
              </w:rPr>
              <w:t>203-2</w:t>
            </w:r>
            <w:r>
              <w:rPr>
                <w:rFonts w:hint="eastAsia" w:ascii="宋体" w:hAnsi="宋体" w:cs="宋体"/>
                <w:bCs/>
                <w:kern w:val="0"/>
                <w:sz w:val="20"/>
                <w:szCs w:val="20"/>
              </w:rPr>
              <w:t>新增境外直接投资信息</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□是（产业类别：□旅游业□现代服务业□高新技术产业）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204有限合伙制创业投资企业的法人合伙人</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205创业投资企业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206技术先进型服务企业类型（填写代码）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207非营利组织</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top"/>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208软件、集成电路企业类型（填写代码）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top"/>
          </w:tcPr>
          <w:p>
            <w:pPr>
              <w:widowControl/>
              <w:spacing w:line="360" w:lineRule="exact"/>
              <w:rPr>
                <w:rFonts w:hint="eastAsia" w:ascii="宋体" w:hAnsi="宋体" w:cs="宋体"/>
                <w:kern w:val="0"/>
                <w:sz w:val="20"/>
                <w:szCs w:val="20"/>
              </w:rPr>
            </w:pPr>
          </w:p>
        </w:tc>
        <w:tc>
          <w:tcPr>
            <w:tcW w:w="2590" w:type="dxa"/>
            <w:gridSpan w:val="2"/>
            <w:tcBorders>
              <w:top w:val="single" w:color="auto" w:sz="6" w:space="0"/>
              <w:left w:val="single" w:color="auto" w:sz="4" w:space="0"/>
              <w:bottom w:val="single" w:color="auto" w:sz="6" w:space="0"/>
              <w:right w:val="single" w:color="auto" w:sz="4" w:space="0"/>
            </w:tcBorders>
            <w:noWrap w:val="0"/>
            <w:vAlign w:val="top"/>
          </w:tcPr>
          <w:p>
            <w:pPr>
              <w:widowControl/>
              <w:spacing w:line="360" w:lineRule="exact"/>
              <w:ind w:right="-210" w:rightChars="-100"/>
              <w:rPr>
                <w:rFonts w:hint="eastAsia" w:ascii="宋体" w:hAnsi="宋体" w:cs="宋体"/>
                <w:kern w:val="0"/>
                <w:sz w:val="20"/>
                <w:szCs w:val="20"/>
              </w:rPr>
            </w:pPr>
            <w:r>
              <w:rPr>
                <w:rFonts w:hint="eastAsia" w:ascii="宋体" w:hAnsi="宋体" w:cs="宋体"/>
                <w:kern w:val="0"/>
                <w:sz w:val="20"/>
                <w:szCs w:val="20"/>
              </w:rPr>
              <w:t>209集成电路生产项目类型</w:t>
            </w:r>
          </w:p>
        </w:tc>
        <w:tc>
          <w:tcPr>
            <w:tcW w:w="3029" w:type="dxa"/>
            <w:gridSpan w:val="2"/>
            <w:tcBorders>
              <w:top w:val="single" w:color="auto" w:sz="6" w:space="0"/>
              <w:left w:val="single" w:color="auto" w:sz="4" w:space="0"/>
              <w:bottom w:val="single" w:color="auto" w:sz="6" w:space="0"/>
              <w:right w:val="single" w:color="auto" w:sz="12" w:space="0"/>
            </w:tcBorders>
            <w:noWrap w:val="0"/>
            <w:vAlign w:val="top"/>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□130纳米 □65纳米 □28纳米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6"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210科技型中小企业</w:t>
            </w: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210-1__年（申报所属期年度）入库编号1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210-2入库时间1</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210-3__年（所属期下一年度）入库编号2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210-4入库时间2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211高新技术企业申报所属期年度有效的高新技术企业证书</w:t>
            </w:r>
          </w:p>
        </w:tc>
        <w:tc>
          <w:tcPr>
            <w:tcW w:w="1894" w:type="dxa"/>
            <w:gridSpan w:val="3"/>
            <w:tcBorders>
              <w:top w:val="single" w:color="auto" w:sz="6" w:space="0"/>
              <w:left w:val="single" w:color="auto" w:sz="4" w:space="0"/>
              <w:bottom w:val="single" w:color="auto" w:sz="4" w:space="0"/>
              <w:right w:val="single" w:color="auto" w:sz="6" w:space="0"/>
            </w:tcBorders>
            <w:noWrap w:val="0"/>
            <w:vAlign w:val="center"/>
          </w:tcPr>
          <w:p>
            <w:pPr>
              <w:spacing w:line="360" w:lineRule="exact"/>
              <w:jc w:val="left"/>
              <w:rPr>
                <w:rFonts w:hint="eastAsia" w:ascii="宋体" w:hAnsi="宋体" w:cs="宋体"/>
                <w:kern w:val="0"/>
                <w:sz w:val="20"/>
                <w:szCs w:val="20"/>
              </w:rPr>
            </w:pPr>
            <w:r>
              <w:rPr>
                <w:rFonts w:hint="eastAsia" w:ascii="宋体" w:hAnsi="宋体" w:cs="宋体"/>
                <w:kern w:val="0"/>
                <w:sz w:val="20"/>
                <w:szCs w:val="20"/>
              </w:rPr>
              <w:t>211-1 证书编号1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211-2发证时间1</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continue"/>
            <w:tcBorders>
              <w:top w:val="single" w:color="auto" w:sz="6" w:space="0"/>
              <w:left w:val="single" w:color="auto" w:sz="12" w:space="0"/>
              <w:bottom w:val="single" w:color="auto" w:sz="6" w:space="0"/>
              <w:right w:val="single" w:color="auto" w:sz="4" w:space="0"/>
            </w:tcBorders>
            <w:noWrap w:val="0"/>
            <w:vAlign w:val="center"/>
          </w:tcPr>
          <w:p>
            <w:pPr>
              <w:widowControl/>
              <w:jc w:val="left"/>
              <w:rPr>
                <w:rFonts w:hint="eastAsia" w:ascii="宋体" w:hAnsi="宋体" w:cs="宋体"/>
                <w:kern w:val="0"/>
                <w:sz w:val="20"/>
                <w:szCs w:val="20"/>
              </w:rPr>
            </w:pPr>
          </w:p>
        </w:tc>
        <w:tc>
          <w:tcPr>
            <w:tcW w:w="1894" w:type="dxa"/>
            <w:gridSpan w:val="3"/>
            <w:tcBorders>
              <w:top w:val="single" w:color="auto" w:sz="4"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211-3 证书编号2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211-4发证时间2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212重组事项税务处理方式</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□一般性□特殊性</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213重组交易类型（填写代码）</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214重组当事方类型（填写代码）</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215政策性搬迁开始时间</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__年__月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216发生政策性搬迁且停止生产经营无所得年度</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217政策性搬迁损失分期扣除年度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218发生非货币性资产对外投资递延纳税事项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240" w:lineRule="exact"/>
              <w:rPr>
                <w:rFonts w:hint="eastAsia" w:ascii="宋体" w:hAnsi="宋体" w:cs="宋体"/>
                <w:kern w:val="0"/>
                <w:sz w:val="20"/>
                <w:szCs w:val="20"/>
              </w:rPr>
            </w:pPr>
            <w:r>
              <w:rPr>
                <w:rFonts w:hint="eastAsia" w:ascii="宋体" w:hAnsi="宋体" w:cs="宋体"/>
                <w:kern w:val="0"/>
                <w:sz w:val="20"/>
                <w:szCs w:val="20"/>
              </w:rPr>
              <w:t>219非货币性资产对外投资转让所得递延纳税年度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220发生技术成果投资入股递延纳税事项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221技术成果投资入股递延纳税年度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222发生资产（股权）划转特殊性税务处理事项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223债务重组所得递延纳税年度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224研发支出辅助账样式</w:t>
            </w:r>
          </w:p>
        </w:tc>
        <w:tc>
          <w:tcPr>
            <w:tcW w:w="6378" w:type="dxa"/>
            <w:gridSpan w:val="5"/>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ind w:firstLine="200" w:firstLineChars="100"/>
              <w:jc w:val="left"/>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2015版    □2021版   □自行设计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00" w:lineRule="exact"/>
              <w:jc w:val="center"/>
              <w:rPr>
                <w:rFonts w:hint="eastAsia" w:ascii="宋体" w:hAnsi="宋体" w:cs="宋体"/>
                <w:b/>
                <w:bCs/>
                <w:kern w:val="0"/>
                <w:sz w:val="20"/>
                <w:szCs w:val="20"/>
              </w:rPr>
            </w:pPr>
            <w:r>
              <w:rPr>
                <w:rFonts w:hint="eastAsia" w:ascii="宋体" w:hAnsi="宋体" w:cs="宋体"/>
                <w:b/>
                <w:bCs/>
                <w:kern w:val="0"/>
                <w:sz w:val="20"/>
                <w:szCs w:val="20"/>
              </w:rPr>
              <w:t>主要股东及分红情况（必填项目）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股东名称</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证件种类</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证件号码</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投资比例（%）</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当年（决议日）分配的股息、红利等权益性投资收益金额</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国籍（注册地址）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其余股东合计</w:t>
            </w:r>
          </w:p>
        </w:tc>
        <w:tc>
          <w:tcPr>
            <w:tcW w:w="103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2049" w:type="dxa"/>
            <w:gridSpan w:val="4"/>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2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3442" w:type="dxa"/>
            <w:gridSpan w:val="2"/>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1050" w:type="dxa"/>
            <w:tcBorders>
              <w:top w:val="single" w:color="auto" w:sz="6" w:space="0"/>
              <w:left w:val="single" w:color="auto" w:sz="6" w:space="0"/>
              <w:bottom w:val="single" w:color="auto" w:sz="12"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r>
    </w:tbl>
    <w:p>
      <w:pPr>
        <w:pStyle w:val="66"/>
        <w:jc w:val="center"/>
        <w:rPr>
          <w:rFonts w:hint="eastAsia"/>
        </w:rPr>
        <w:sectPr>
          <w:pgSz w:w="11906" w:h="16838"/>
          <w:pgMar w:top="1134" w:right="1418" w:bottom="993" w:left="1418" w:header="851" w:footer="641" w:gutter="113"/>
          <w:pgNumType w:fmt="decimal"/>
          <w:cols w:space="720" w:num="1"/>
          <w:docGrid w:linePitch="312" w:charSpace="0"/>
        </w:sectPr>
      </w:pPr>
    </w:p>
    <w:bookmarkEnd w:id="19"/>
    <w:p>
      <w:pPr>
        <w:pStyle w:val="93"/>
        <w:spacing w:before="120" w:after="120"/>
        <w:rPr>
          <w:rFonts w:hint="eastAsia" w:ascii="宋体" w:hAnsi="宋体" w:eastAsia="宋体" w:cs="宋体"/>
        </w:rPr>
      </w:pPr>
      <w:bookmarkStart w:id="21" w:name="_Toc407012084_WPSOffice_Level1"/>
      <w:bookmarkStart w:id="22" w:name="_Toc1009653240_WPSOffice_Level1"/>
      <w:bookmarkStart w:id="23" w:name="_Toc5483"/>
      <w:r>
        <w:rPr>
          <w:rFonts w:hint="eastAsia" w:ascii="宋体" w:hAnsi="宋体" w:eastAsia="宋体" w:cs="宋体"/>
        </w:rPr>
        <w:t>A000000</w:t>
      </w:r>
      <w:r>
        <w:rPr>
          <w:rFonts w:hint="eastAsia" w:ascii="宋体" w:hAnsi="宋体" w:eastAsia="宋体" w:cs="宋体"/>
        </w:rPr>
        <w:tab/>
      </w:r>
      <w:r>
        <w:rPr>
          <w:rFonts w:hint="eastAsia" w:ascii="宋体" w:hAnsi="宋体" w:eastAsia="宋体" w:cs="宋体"/>
        </w:rPr>
        <w:t>《企业所得税年度纳税申报基础信息表》填报说明</w:t>
      </w:r>
      <w:bookmarkEnd w:id="21"/>
      <w:bookmarkEnd w:id="22"/>
      <w:bookmarkEnd w:id="23"/>
    </w:p>
    <w:p>
      <w:pPr>
        <w:pStyle w:val="94"/>
        <w:ind w:firstLine="480"/>
        <w:rPr>
          <w:rFonts w:hint="eastAsia" w:ascii="宋体" w:hAnsi="宋体" w:eastAsia="宋体" w:cs="宋体"/>
        </w:rPr>
      </w:pPr>
      <w:r>
        <w:rPr>
          <w:rFonts w:hint="eastAsia" w:ascii="宋体" w:hAnsi="宋体" w:eastAsia="宋体" w:cs="宋体"/>
        </w:rPr>
        <w:t>纳税人在企业所得税年度纳税申报时应当向税务机关申报或者报告与确定应纳税额相关的信息。本表包括基本经营情况、有关涉税事项情况、主要股东及分红情况三部分内容。有关项目填报说明如下：</w:t>
      </w:r>
    </w:p>
    <w:p>
      <w:pPr>
        <w:pStyle w:val="94"/>
        <w:ind w:firstLine="480"/>
        <w:outlineLvl w:val="0"/>
        <w:rPr>
          <w:rFonts w:hint="eastAsia" w:ascii="宋体" w:hAnsi="宋体" w:eastAsia="宋体" w:cs="宋体"/>
        </w:rPr>
      </w:pPr>
      <w:bookmarkStart w:id="24" w:name="_Toc54267890"/>
      <w:bookmarkStart w:id="25" w:name="_Toc1863324332_WPSOffice_Level1"/>
      <w:bookmarkStart w:id="26" w:name="_Toc1664163806_WPSOffice_Level1"/>
      <w:bookmarkStart w:id="27" w:name="_Toc54267523"/>
      <w:r>
        <w:rPr>
          <w:rFonts w:hint="eastAsia" w:ascii="宋体" w:hAnsi="宋体" w:eastAsia="宋体" w:cs="宋体"/>
        </w:rPr>
        <w:t>一、基本经营情况</w:t>
      </w:r>
      <w:bookmarkEnd w:id="24"/>
      <w:bookmarkEnd w:id="25"/>
      <w:bookmarkEnd w:id="26"/>
      <w:bookmarkEnd w:id="27"/>
    </w:p>
    <w:p>
      <w:pPr>
        <w:pStyle w:val="94"/>
        <w:ind w:firstLine="480"/>
        <w:rPr>
          <w:rFonts w:hint="eastAsia" w:ascii="宋体" w:hAnsi="宋体" w:eastAsia="宋体" w:cs="宋体"/>
        </w:rPr>
      </w:pPr>
      <w:r>
        <w:rPr>
          <w:rFonts w:hint="eastAsia" w:ascii="宋体" w:hAnsi="宋体" w:eastAsia="宋体" w:cs="宋体"/>
        </w:rPr>
        <w:t>本部分所列项目为纳税人必填（必选）内容。</w:t>
      </w:r>
    </w:p>
    <w:p>
      <w:pPr>
        <w:pStyle w:val="94"/>
        <w:ind w:firstLine="480"/>
        <w:rPr>
          <w:rFonts w:hint="eastAsia" w:ascii="宋体" w:hAnsi="宋体" w:eastAsia="宋体" w:cs="宋体"/>
        </w:rPr>
      </w:pPr>
      <w:r>
        <w:rPr>
          <w:rFonts w:hint="eastAsia" w:ascii="宋体" w:hAnsi="宋体" w:eastAsia="宋体" w:cs="宋体"/>
        </w:rPr>
        <w:t>1.“101纳税申报企业类型”：纳税人根据申报所属期年度的企业经营方式情况，</w:t>
      </w:r>
      <w:bookmarkStart w:id="28" w:name="_Hlk524759629"/>
      <w:r>
        <w:rPr>
          <w:rFonts w:hint="eastAsia" w:ascii="宋体" w:hAnsi="宋体" w:eastAsia="宋体" w:cs="宋体"/>
        </w:rPr>
        <w:t>从《跨地区经营企业类型代码表》中选择相应的代码填入本项。</w:t>
      </w:r>
      <w:bookmarkEnd w:id="28"/>
    </w:p>
    <w:p>
      <w:pPr>
        <w:pStyle w:val="95"/>
        <w:outlineLvl w:val="1"/>
        <w:rPr>
          <w:rFonts w:hint="eastAsia" w:ascii="宋体" w:hAnsi="宋体" w:eastAsia="宋体" w:cs="宋体"/>
        </w:rPr>
      </w:pPr>
      <w:bookmarkStart w:id="29" w:name="_Toc542130894_WPSOffice_Level2"/>
      <w:bookmarkStart w:id="30" w:name="_Toc878747465_WPSOffice_Level2"/>
      <w:bookmarkStart w:id="31" w:name="_Toc1422386562_WPSOffice_Level2"/>
      <w:r>
        <w:rPr>
          <w:rFonts w:hint="eastAsia" w:ascii="宋体" w:hAnsi="宋体" w:eastAsia="宋体" w:cs="宋体"/>
        </w:rPr>
        <w:t>跨地区经营企业类型代码表</w:t>
      </w:r>
      <w:bookmarkEnd w:id="29"/>
      <w:bookmarkEnd w:id="30"/>
      <w:bookmarkEnd w:id="31"/>
    </w:p>
    <w:tbl>
      <w:tblPr>
        <w:tblStyle w:val="25"/>
        <w:tblW w:w="90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567"/>
        <w:gridCol w:w="2499"/>
        <w:gridCol w:w="4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98"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8426" w:type="dxa"/>
            <w:gridSpan w:val="3"/>
            <w:noWrap w:val="0"/>
            <w:vAlign w:val="center"/>
          </w:tcPr>
          <w:p>
            <w:pPr>
              <w:widowControl/>
              <w:spacing w:line="240" w:lineRule="atLeast"/>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598" w:type="dxa"/>
            <w:vMerge w:val="continue"/>
            <w:noWrap w:val="0"/>
            <w:vAlign w:val="center"/>
          </w:tcPr>
          <w:p>
            <w:pPr>
              <w:widowControl/>
              <w:jc w:val="center"/>
              <w:rPr>
                <w:rFonts w:hint="eastAsia" w:ascii="宋体" w:hAnsi="宋体" w:cs="宋体"/>
                <w:b/>
                <w:kern w:val="0"/>
                <w:sz w:val="20"/>
                <w:szCs w:val="20"/>
              </w:rPr>
            </w:pPr>
          </w:p>
        </w:tc>
        <w:tc>
          <w:tcPr>
            <w:tcW w:w="1567"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2499"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中类</w:t>
            </w:r>
          </w:p>
        </w:tc>
        <w:tc>
          <w:tcPr>
            <w:tcW w:w="4360"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8426" w:type="dxa"/>
            <w:gridSpan w:val="3"/>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非跨地区经营企业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跨地区经营企业总机构</w:t>
            </w: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总机构（跨省）——不适用《跨地区经营汇总纳税企业所得税征收管理办法》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总机构（省内）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311</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跨地区经营企业分支机构</w:t>
            </w:r>
          </w:p>
        </w:tc>
        <w:tc>
          <w:tcPr>
            <w:tcW w:w="2499" w:type="dxa"/>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需进行完整年度纳税申报</w:t>
            </w: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分支机构（须进行完整年度申报并按比例纳税）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312</w:t>
            </w:r>
          </w:p>
        </w:tc>
        <w:tc>
          <w:tcPr>
            <w:tcW w:w="1567" w:type="dxa"/>
            <w:vMerge w:val="continue"/>
            <w:noWrap w:val="0"/>
            <w:vAlign w:val="center"/>
          </w:tcPr>
          <w:p>
            <w:pPr>
              <w:widowControl/>
              <w:rPr>
                <w:rFonts w:hint="eastAsia" w:ascii="宋体" w:hAnsi="宋体" w:cs="宋体"/>
                <w:kern w:val="0"/>
                <w:sz w:val="20"/>
                <w:szCs w:val="20"/>
              </w:rPr>
            </w:pPr>
          </w:p>
        </w:tc>
        <w:tc>
          <w:tcPr>
            <w:tcW w:w="2499" w:type="dxa"/>
            <w:vMerge w:val="continue"/>
            <w:noWrap w:val="0"/>
            <w:vAlign w:val="center"/>
          </w:tcPr>
          <w:p>
            <w:pPr>
              <w:widowControl/>
              <w:rPr>
                <w:rFonts w:hint="eastAsia" w:ascii="宋体" w:hAnsi="宋体" w:cs="宋体"/>
                <w:kern w:val="0"/>
                <w:sz w:val="20"/>
                <w:szCs w:val="20"/>
              </w:rPr>
            </w:pP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分支机构（须进行完整年度申报但不就地缴纳）</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“非跨地区经营企业”：纳税人未跨地区设立不具有法人资格分支机构的，为非跨地区经营企业。</w:t>
      </w:r>
    </w:p>
    <w:p>
      <w:pPr>
        <w:pStyle w:val="94"/>
        <w:ind w:firstLine="480"/>
        <w:rPr>
          <w:rFonts w:hint="eastAsia" w:ascii="宋体" w:hAnsi="宋体" w:eastAsia="宋体" w:cs="宋体"/>
        </w:rPr>
      </w:pPr>
      <w:r>
        <w:rPr>
          <w:rFonts w:hint="eastAsia" w:ascii="宋体" w:hAnsi="宋体" w:eastAsia="宋体" w:cs="宋体"/>
        </w:rPr>
        <w:t>“总机构（跨省）——适用《跨地区经营汇总纳税企业所得税征收管理办法》”：纳税人为《国家税务总局关于印发〈跨地区经营汇总纳税企业所得税征收管理办法〉的公告》（2012年第57号发布，国家税务总局公告2018年第31号修改）规定的跨省、自治区、直辖市和计划单列市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跨省）——不适用《跨地区经营汇总纳税企业所得税征收管理办法》”：纳税人为《国家税务总局关于印发〈跨地区经营汇总纳税企业所得税征收管理办法〉的公告》（2012年第57号发布，国家税务总局公告2018年第31号修改）第二条规定的不适用该公告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“总机构（省内）”：纳税人为仅在同一省、自治区、直辖市和计划单列市内设立不具有法人资格分支机构的跨地区经营汇总纳税企业的总机构。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“分支机构（须进行完整年度申报并按比例纳税）”：纳税人为根据相关政策规定须进行完整年度申报并按比例就地缴纳企业所得税的跨地区经营企业的分支机构。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“分支机构（须进行完整年度申报但不就地缴纳）”：纳税人为根据相关政策规定须进行完整年度申报但不就地缴纳企业所得税的跨地区经营企业的分支机构。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2.“102分支机构就地纳税比例”：“101纳税申报企业类型”为“分支机构（须进行完整年度申报并按比例纳税）”需要同时填报本项。分支机构填报年度纳税申报时应当就地缴纳企业所得税的比例。</w:t>
      </w:r>
    </w:p>
    <w:p>
      <w:pPr>
        <w:pStyle w:val="94"/>
        <w:ind w:firstLine="480"/>
        <w:rPr>
          <w:rFonts w:hint="eastAsia" w:ascii="宋体" w:hAnsi="宋体" w:eastAsia="宋体" w:cs="宋体"/>
        </w:rPr>
      </w:pPr>
      <w:r>
        <w:rPr>
          <w:rFonts w:hint="eastAsia" w:ascii="宋体" w:hAnsi="宋体" w:eastAsia="宋体" w:cs="宋体"/>
        </w:rPr>
        <w:t>3.“103资产总额”：纳税人填报资产总额的全年季度平均值，单位为万元，保留小数点后2位。具体计算公式如下：</w:t>
      </w:r>
    </w:p>
    <w:p>
      <w:pPr>
        <w:pStyle w:val="94"/>
        <w:ind w:firstLine="480"/>
        <w:rPr>
          <w:rFonts w:hint="eastAsia" w:ascii="宋体" w:hAnsi="宋体" w:eastAsia="宋体" w:cs="宋体"/>
        </w:rPr>
      </w:pPr>
      <w:r>
        <w:rPr>
          <w:rFonts w:hint="eastAsia" w:ascii="宋体" w:hAnsi="宋体" w:eastAsia="宋体" w:cs="宋体"/>
        </w:rPr>
        <w:t>季度平均值＝（季初值＋季末值）÷2</w:t>
      </w:r>
    </w:p>
    <w:p>
      <w:pPr>
        <w:pStyle w:val="94"/>
        <w:ind w:firstLine="480"/>
        <w:rPr>
          <w:rFonts w:hint="eastAsia" w:ascii="宋体" w:hAnsi="宋体" w:eastAsia="宋体" w:cs="宋体"/>
        </w:rPr>
      </w:pPr>
      <w:r>
        <w:rPr>
          <w:rFonts w:hint="eastAsia" w:ascii="宋体" w:hAnsi="宋体" w:eastAsia="宋体" w:cs="宋体"/>
        </w:rPr>
        <w:t>全年季度平均值＝全年各季度平均值之和÷4</w:t>
      </w:r>
    </w:p>
    <w:p>
      <w:pPr>
        <w:pStyle w:val="94"/>
        <w:ind w:firstLine="480"/>
        <w:rPr>
          <w:rFonts w:hint="eastAsia" w:ascii="宋体" w:hAnsi="宋体" w:eastAsia="宋体" w:cs="宋体"/>
        </w:rPr>
      </w:pPr>
      <w:r>
        <w:rPr>
          <w:rFonts w:hint="eastAsia" w:ascii="宋体" w:hAnsi="宋体" w:eastAsia="宋体" w:cs="宋体"/>
        </w:rPr>
        <w:t>年度中间开业或者终止经营活动的，以其实际经营期作为一个纳税年度确定上述相关指标。</w:t>
      </w:r>
    </w:p>
    <w:p>
      <w:pPr>
        <w:pStyle w:val="94"/>
        <w:ind w:firstLine="480"/>
        <w:rPr>
          <w:rFonts w:hint="eastAsia" w:ascii="宋体" w:hAnsi="宋体" w:eastAsia="宋体" w:cs="宋体"/>
        </w:rPr>
      </w:pPr>
      <w:r>
        <w:rPr>
          <w:rFonts w:hint="eastAsia" w:ascii="宋体" w:hAnsi="宋体" w:eastAsia="宋体" w:cs="宋体"/>
        </w:rPr>
        <w:t>4.“104从业人数”：纳税人填报从业人数的全年季度平均值，单位为人。从业人数是指与企业建立劳动关系的职工人数和企业接受的劳务派遣用工人数之和，依据和计算方法同“103资产总额”。</w:t>
      </w:r>
    </w:p>
    <w:p>
      <w:pPr>
        <w:pStyle w:val="94"/>
        <w:ind w:firstLine="480"/>
        <w:rPr>
          <w:rFonts w:hint="eastAsia" w:ascii="宋体" w:hAnsi="宋体" w:eastAsia="宋体" w:cs="宋体"/>
        </w:rPr>
      </w:pPr>
      <w:r>
        <w:rPr>
          <w:rFonts w:hint="eastAsia" w:ascii="宋体" w:hAnsi="宋体" w:eastAsia="宋体" w:cs="宋体"/>
        </w:rPr>
        <w:t>5.“105所属国民经济行业”：按照《国民经济行业分类》标准，纳税人填报所属的国民经济行业明细代码。</w:t>
      </w:r>
    </w:p>
    <w:p>
      <w:pPr>
        <w:pStyle w:val="94"/>
        <w:ind w:firstLine="480"/>
        <w:rPr>
          <w:rFonts w:hint="eastAsia" w:ascii="宋体" w:hAnsi="宋体" w:eastAsia="宋体" w:cs="宋体"/>
        </w:rPr>
      </w:pPr>
      <w:r>
        <w:rPr>
          <w:rFonts w:hint="eastAsia" w:ascii="宋体" w:hAnsi="宋体" w:eastAsia="宋体" w:cs="宋体"/>
        </w:rPr>
        <w:t>6.“106从事国家限制或禁止行业”：纳税人从事行业为国家限制和禁止行业的，选择“是”；其他选择“否”。</w:t>
      </w:r>
    </w:p>
    <w:p>
      <w:pPr>
        <w:pStyle w:val="94"/>
        <w:ind w:firstLine="480"/>
        <w:rPr>
          <w:rFonts w:hint="eastAsia" w:ascii="宋体" w:hAnsi="宋体" w:eastAsia="宋体" w:cs="宋体"/>
        </w:rPr>
      </w:pPr>
      <w:r>
        <w:rPr>
          <w:rFonts w:hint="eastAsia" w:ascii="宋体" w:hAnsi="宋体" w:eastAsia="宋体" w:cs="宋体"/>
        </w:rPr>
        <w:t>7.“107适用会计准则或会计制度”：纳税人根据会计核算采用的会计准则或会计制度从《会计准则或会计制度类型代码表》中选择相应的代码填入本项。</w:t>
      </w:r>
    </w:p>
    <w:p>
      <w:pPr>
        <w:pStyle w:val="94"/>
        <w:ind w:firstLine="480"/>
        <w:rPr>
          <w:rFonts w:hint="eastAsia" w:ascii="宋体" w:hAnsi="宋体" w:eastAsia="宋体" w:cs="宋体"/>
        </w:rPr>
      </w:pPr>
    </w:p>
    <w:p>
      <w:pPr>
        <w:pStyle w:val="95"/>
        <w:outlineLvl w:val="1"/>
        <w:rPr>
          <w:rFonts w:hint="eastAsia" w:ascii="宋体" w:hAnsi="宋体" w:eastAsia="宋体" w:cs="宋体"/>
        </w:rPr>
      </w:pPr>
      <w:bookmarkStart w:id="32" w:name="_Toc2058281056_WPSOffice_Level2"/>
      <w:bookmarkStart w:id="33" w:name="_Toc1602450341_WPSOffice_Level2"/>
      <w:bookmarkStart w:id="34" w:name="_Toc1679711360_WPSOffice_Level2"/>
      <w:r>
        <w:rPr>
          <w:rFonts w:hint="eastAsia" w:ascii="宋体" w:hAnsi="宋体" w:eastAsia="宋体" w:cs="宋体"/>
        </w:rPr>
        <w:t>会计准则或会计制度类型代码表</w:t>
      </w:r>
      <w:bookmarkEnd w:id="32"/>
      <w:bookmarkEnd w:id="33"/>
      <w:bookmarkEnd w:id="34"/>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801"/>
        <w:gridCol w:w="153"/>
        <w:gridCol w:w="2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909" w:type="dxa"/>
            <w:gridSpan w:val="3"/>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continue"/>
            <w:noWrap w:val="0"/>
            <w:vAlign w:val="center"/>
          </w:tcPr>
          <w:p>
            <w:pPr>
              <w:widowControl/>
              <w:jc w:val="center"/>
              <w:rPr>
                <w:rFonts w:hint="eastAsia" w:ascii="宋体" w:hAnsi="宋体" w:cs="宋体"/>
                <w:b/>
                <w:kern w:val="0"/>
                <w:sz w:val="20"/>
                <w:szCs w:val="20"/>
              </w:rPr>
            </w:pPr>
          </w:p>
        </w:tc>
        <w:tc>
          <w:tcPr>
            <w:tcW w:w="280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108"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280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企业会计准则</w:t>
            </w: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银行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证券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150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小企业会计准则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954" w:type="dxa"/>
            <w:gridSpan w:val="2"/>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事业单位会计准则</w:t>
            </w: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科学事业单位会计制度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430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医院会计制度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440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高等学校会计制度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450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中小学校会计制度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460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彩票机构会计制度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民间非营利组织会计制度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村集体经济组织会计制度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700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农民专业合作社财务会计制度（试行）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800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政府会计准则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999</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其他</w:t>
            </w:r>
          </w:p>
        </w:tc>
      </w:tr>
    </w:tbl>
    <w:p>
      <w:pPr>
        <w:pStyle w:val="94"/>
        <w:ind w:firstLine="480"/>
        <w:rPr>
          <w:rFonts w:hint="eastAsia" w:ascii="宋体" w:hAnsi="宋体" w:eastAsia="宋体" w:cs="宋体"/>
        </w:rPr>
      </w:pPr>
      <w:r>
        <w:rPr>
          <w:rFonts w:hint="eastAsia" w:ascii="宋体" w:hAnsi="宋体" w:eastAsia="宋体" w:cs="宋体"/>
        </w:rPr>
        <w:t>8.“108采用一般企业财务报表格式（2019年版）”：纳税人根据《财政部关于修订印发2019年度一般企业财务报表格式的通知》（财会〔2019〕6号）和《财政部关于修订印发2018年度金融企业财务报表格式的通知》（财会〔2018〕36号）规定的格式编制财务报表的，选择“是”，其他选择“否”。</w:t>
      </w:r>
    </w:p>
    <w:p>
      <w:pPr>
        <w:pStyle w:val="94"/>
        <w:ind w:firstLine="480"/>
        <w:rPr>
          <w:rFonts w:hint="eastAsia" w:ascii="宋体" w:hAnsi="宋体" w:eastAsia="宋体" w:cs="宋体"/>
        </w:rPr>
      </w:pPr>
      <w:r>
        <w:rPr>
          <w:rFonts w:hint="eastAsia" w:ascii="宋体" w:hAnsi="宋体" w:eastAsia="宋体" w:cs="宋体"/>
        </w:rPr>
        <w:t>9.“109小型微利企业”：纳税人符合小型微利企业普惠性所得税减免政策条件的，选择“是”，其他选择“否”。</w:t>
      </w:r>
    </w:p>
    <w:p>
      <w:pPr>
        <w:pStyle w:val="94"/>
        <w:ind w:firstLine="480"/>
        <w:rPr>
          <w:rFonts w:hint="eastAsia" w:ascii="宋体" w:hAnsi="宋体" w:eastAsia="宋体" w:cs="宋体"/>
        </w:rPr>
      </w:pPr>
      <w:r>
        <w:rPr>
          <w:rFonts w:hint="eastAsia" w:ascii="宋体" w:hAnsi="宋体" w:eastAsia="宋体" w:cs="宋体"/>
        </w:rPr>
        <w:t>10.“110上市公司”：纳税人在中国境内上市的选择“境内”；在中国境外上市的选择“境外”；在境内外同时上市的可同时选择；其他选择“否”。纳税人在中国香港上市的，参照境外上市相关规定选择。</w:t>
      </w:r>
    </w:p>
    <w:p>
      <w:pPr>
        <w:pStyle w:val="94"/>
        <w:ind w:firstLine="480"/>
        <w:outlineLvl w:val="0"/>
        <w:rPr>
          <w:rFonts w:hint="eastAsia" w:ascii="宋体" w:hAnsi="宋体" w:eastAsia="宋体" w:cs="宋体"/>
        </w:rPr>
      </w:pPr>
      <w:bookmarkStart w:id="35" w:name="_Toc54267524"/>
      <w:bookmarkStart w:id="36" w:name="_Toc54267891"/>
      <w:bookmarkStart w:id="37" w:name="_Toc253278840_WPSOffice_Level1"/>
      <w:bookmarkStart w:id="38" w:name="_Toc2061221197_WPSOffice_Level1"/>
      <w:r>
        <w:rPr>
          <w:rFonts w:hint="eastAsia" w:ascii="宋体" w:hAnsi="宋体" w:eastAsia="宋体" w:cs="宋体"/>
        </w:rPr>
        <w:t>二、</w:t>
      </w:r>
      <w:bookmarkStart w:id="39" w:name="_Hlk524760322"/>
      <w:r>
        <w:rPr>
          <w:rFonts w:hint="eastAsia" w:ascii="宋体" w:hAnsi="宋体" w:eastAsia="宋体" w:cs="宋体"/>
        </w:rPr>
        <w:t>有关涉税事项</w:t>
      </w:r>
      <w:bookmarkEnd w:id="39"/>
      <w:r>
        <w:rPr>
          <w:rFonts w:hint="eastAsia" w:ascii="宋体" w:hAnsi="宋体" w:eastAsia="宋体" w:cs="宋体"/>
        </w:rPr>
        <w:t>情况</w:t>
      </w:r>
      <w:bookmarkEnd w:id="35"/>
      <w:bookmarkEnd w:id="36"/>
      <w:bookmarkEnd w:id="37"/>
      <w:bookmarkEnd w:id="38"/>
    </w:p>
    <w:p>
      <w:pPr>
        <w:pStyle w:val="94"/>
        <w:ind w:firstLine="480"/>
        <w:rPr>
          <w:rFonts w:hint="eastAsia" w:ascii="宋体" w:hAnsi="宋体" w:eastAsia="宋体" w:cs="宋体"/>
        </w:rPr>
      </w:pPr>
      <w:r>
        <w:rPr>
          <w:rFonts w:hint="eastAsia" w:ascii="宋体" w:hAnsi="宋体" w:eastAsia="宋体" w:cs="宋体"/>
        </w:rPr>
        <w:t>本部分所列项目为条件必填（必选）内容，当纳税人存在或发生下列事项时，必须填报。纳税人未填报的，视同不存在或未发生下列事项。</w:t>
      </w:r>
    </w:p>
    <w:p>
      <w:pPr>
        <w:pStyle w:val="94"/>
        <w:ind w:firstLine="480"/>
        <w:rPr>
          <w:rFonts w:hint="eastAsia" w:ascii="宋体" w:hAnsi="宋体" w:eastAsia="宋体" w:cs="宋体"/>
        </w:rPr>
      </w:pPr>
      <w:r>
        <w:rPr>
          <w:rFonts w:hint="eastAsia" w:ascii="宋体" w:hAnsi="宋体" w:eastAsia="宋体" w:cs="宋体"/>
        </w:rPr>
        <w:t>1.“201从事股权投资业务”：纳税人从事股权投资业务的（包括集团公司总部、创业投资企业等），选择“是”。</w:t>
      </w:r>
    </w:p>
    <w:p>
      <w:pPr>
        <w:pStyle w:val="94"/>
        <w:ind w:firstLine="480"/>
        <w:rPr>
          <w:rFonts w:hint="eastAsia" w:ascii="宋体" w:hAnsi="宋体" w:eastAsia="宋体" w:cs="宋体"/>
        </w:rPr>
      </w:pPr>
      <w:r>
        <w:rPr>
          <w:rFonts w:hint="eastAsia" w:ascii="宋体" w:hAnsi="宋体" w:eastAsia="宋体" w:cs="宋体"/>
        </w:rPr>
        <w:t>2.“202存在境外关联交易”：纳税人存在境外关联交易的，选择“是”。</w:t>
      </w:r>
    </w:p>
    <w:p>
      <w:pPr>
        <w:pStyle w:val="94"/>
        <w:ind w:firstLine="480"/>
        <w:rPr>
          <w:rFonts w:hint="eastAsia" w:ascii="宋体" w:hAnsi="宋体" w:eastAsia="宋体" w:cs="宋体"/>
        </w:rPr>
      </w:pPr>
      <w:r>
        <w:rPr>
          <w:rFonts w:hint="eastAsia" w:ascii="宋体" w:hAnsi="宋体" w:eastAsia="宋体" w:cs="宋体"/>
        </w:rPr>
        <w:t>3.“203境外所得信息”：填报纳税人与来源于中国境外所得的相关信息。</w:t>
      </w:r>
    </w:p>
    <w:p>
      <w:pPr>
        <w:pStyle w:val="94"/>
        <w:ind w:firstLine="480"/>
        <w:rPr>
          <w:rFonts w:hint="eastAsia" w:ascii="宋体" w:hAnsi="宋体" w:eastAsia="宋体" w:cs="宋体"/>
        </w:rPr>
      </w:pPr>
      <w:r>
        <w:rPr>
          <w:rFonts w:hint="eastAsia" w:ascii="宋体" w:hAnsi="宋体" w:eastAsia="宋体" w:cs="宋体"/>
        </w:rPr>
        <w:t>（1）“203-1选择采用的境外所得抵免方式”：纳税人适用境外所得税收抵免政策，且根据《财政部 国家税务总局关于企业境外所得税收抵免有关问题的通知》（财税〔2009〕125号）、《财政部 税务总局关于完善企业境外所得税收抵免政策问题的通知》（财税〔2017〕84号）文件规定选择按国（地区）别分别计算其来源于境外的应纳税所得额，即“分国（地区）不分项”的，选择“分国（地区）不分项”；纳税人适用境外所得税收抵免政策，且根据财税〔2009〕125号、财税〔2017〕84号文件规定选择不按国（地区）别汇总计算其来源于境外的应纳税所得额，即“不分国（地区）不分项”的，选择“不分国（地区）不分项”。境外所得抵免方式一经选择，5年内不得变更。</w:t>
      </w:r>
    </w:p>
    <w:p>
      <w:pPr>
        <w:pStyle w:val="94"/>
        <w:ind w:firstLine="480"/>
        <w:rPr>
          <w:rFonts w:hint="eastAsia" w:ascii="宋体" w:hAnsi="宋体" w:eastAsia="宋体" w:cs="宋体"/>
        </w:rPr>
      </w:pPr>
      <w:r>
        <w:rPr>
          <w:rFonts w:hint="eastAsia" w:ascii="宋体" w:hAnsi="宋体" w:eastAsia="宋体" w:cs="宋体"/>
        </w:rPr>
        <w:t>（2）“203-2新增境外直接投资信息”：填报纳税人符合享受境外所得免征企业所得税优惠政策条件的相关信息。本项目由在海南自由贸易港等特定地区设立的旅游业、现代服务业、高新技术产业且新增境外直接投资的企业填报。“产业类别”填报纳税人经营的产业类别，按“旅游业”、“现代服务业”、“高新技术产业”选择填报。</w:t>
      </w:r>
    </w:p>
    <w:p>
      <w:pPr>
        <w:pStyle w:val="94"/>
        <w:ind w:firstLine="480"/>
        <w:rPr>
          <w:rFonts w:hint="eastAsia" w:ascii="宋体" w:hAnsi="宋体" w:eastAsia="宋体" w:cs="宋体"/>
        </w:rPr>
      </w:pPr>
      <w:r>
        <w:rPr>
          <w:rFonts w:hint="eastAsia" w:ascii="宋体" w:hAnsi="宋体" w:eastAsia="宋体" w:cs="宋体"/>
        </w:rPr>
        <w:t>4.“204有限合伙制创业投资企业的法人合伙人”：纳税人投资于有限合伙制创业投资企业且为其法人合伙人的，选择“是”。本项目中的有限合伙制创业投资企业的法人合伙人是指符合《中华人民共和国合伙企业法》《创业投资企业管理暂行办法》（国家发展和改革委员会令第39号）、《外商投资创业投资企业管理规定》（外经贸部、科技部、工商总局、税务总局、外汇管理局令2003年第2号发布，商务部令2015年第2号修改）、《私募投资基金监督管理暂行办法》(证监会令第105号)关于创业投资基金的特别规定等规定的创业投资企业法人合伙人。有限合伙制创业投资企业的法人合伙人无论是否享受企业所得税优惠</w:t>
      </w:r>
      <w:bookmarkStart w:id="40" w:name="_Hlk528834280"/>
      <w:r>
        <w:rPr>
          <w:rFonts w:hint="eastAsia" w:ascii="宋体" w:hAnsi="宋体" w:eastAsia="宋体" w:cs="宋体"/>
        </w:rPr>
        <w:t>政策</w:t>
      </w:r>
      <w:bookmarkEnd w:id="40"/>
      <w:r>
        <w:rPr>
          <w:rFonts w:hint="eastAsia" w:ascii="宋体" w:hAnsi="宋体" w:eastAsia="宋体" w:cs="宋体"/>
        </w:rPr>
        <w:t>，均应填报本项。</w:t>
      </w:r>
    </w:p>
    <w:p>
      <w:pPr>
        <w:pStyle w:val="94"/>
        <w:ind w:firstLine="480"/>
        <w:rPr>
          <w:rFonts w:hint="eastAsia" w:ascii="宋体" w:hAnsi="宋体" w:eastAsia="宋体" w:cs="宋体"/>
        </w:rPr>
      </w:pPr>
      <w:r>
        <w:rPr>
          <w:rFonts w:hint="eastAsia" w:ascii="宋体" w:hAnsi="宋体" w:eastAsia="宋体" w:cs="宋体"/>
        </w:rPr>
        <w:t>5.“205创业投资企业”：纳税人为创业投资企业的，选择“是”。本项目中的创业投资企业是指依照《创业投资企业管理暂行办法》（国家发展和改革委员会令第39号）和《外商投资创业投资企业管理规定》（外经贸部、科技部、工商总局、税务总局、外汇管理局令2003年第2号发布，商务部令2015年第2号修改）、《私募投资基金监督管理暂行办法》(证监会令第105号)关于创业投资基金的特别规定等规定，在中华人民共和国境内设立的专门从事创业投资活动的企业或其他经济组织。创业投资企业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6.“</w:t>
      </w:r>
      <w:bookmarkStart w:id="41" w:name="_Hlk525117424"/>
      <w:r>
        <w:rPr>
          <w:rFonts w:hint="eastAsia" w:ascii="宋体" w:hAnsi="宋体" w:eastAsia="宋体" w:cs="宋体"/>
        </w:rPr>
        <w:t>206技术先进型服务企业类型</w:t>
      </w:r>
      <w:bookmarkEnd w:id="41"/>
      <w:r>
        <w:rPr>
          <w:rFonts w:hint="eastAsia" w:ascii="宋体" w:hAnsi="宋体" w:eastAsia="宋体" w:cs="宋体"/>
        </w:rPr>
        <w:t>”：纳税人为经认定的技术先进型服务企业的，从《技术先进型服务企业类型代码表》中选择相应的代码填报本项。本项目中的经认定的技术先进型服务企业是指符合《财政部 税务总局 商务部 科技部 国家发展改革委关于将技术先进型服务企业所得税政策推广至全国实施的通知》（财税〔2017〕79号）、《财政部 税务总局 商务部 科技部 国家发展改革委关于将服务贸易创新发展试点地区技术先进型服务企业所得税政策推广至全国实施的通知》（财税〔2018〕44号）等文件规定的企业。经认定的技术先进型服务企业无论是否享受企业所得税优惠政策，均应填报本项。</w:t>
      </w:r>
    </w:p>
    <w:p>
      <w:pPr>
        <w:pStyle w:val="95"/>
        <w:outlineLvl w:val="1"/>
        <w:rPr>
          <w:rFonts w:hint="eastAsia" w:ascii="宋体" w:hAnsi="宋体" w:eastAsia="宋体" w:cs="宋体"/>
        </w:rPr>
      </w:pPr>
      <w:bookmarkStart w:id="42" w:name="_Hlk525117364"/>
      <w:bookmarkStart w:id="43" w:name="_Toc1367389218_WPSOffice_Level2"/>
      <w:bookmarkStart w:id="44" w:name="_Toc620676090_WPSOffice_Level2"/>
      <w:bookmarkStart w:id="45" w:name="_Toc1340859130_WPSOffice_Level2"/>
      <w:r>
        <w:rPr>
          <w:rFonts w:hint="eastAsia" w:ascii="宋体" w:hAnsi="宋体" w:eastAsia="宋体" w:cs="宋体"/>
        </w:rPr>
        <w:t>技术先进型服务企业</w:t>
      </w:r>
      <w:bookmarkEnd w:id="42"/>
      <w:r>
        <w:rPr>
          <w:rFonts w:hint="eastAsia" w:ascii="宋体" w:hAnsi="宋体" w:eastAsia="宋体" w:cs="宋体"/>
        </w:rPr>
        <w:t>类型代码表</w:t>
      </w:r>
      <w:bookmarkEnd w:id="43"/>
      <w:bookmarkEnd w:id="44"/>
      <w:bookmarkEnd w:id="45"/>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66"/>
        <w:gridCol w:w="3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52"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6747"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252" w:type="dxa"/>
            <w:vMerge w:val="continue"/>
            <w:noWrap w:val="0"/>
            <w:vAlign w:val="center"/>
          </w:tcPr>
          <w:p>
            <w:pPr>
              <w:widowControl/>
              <w:jc w:val="center"/>
              <w:rPr>
                <w:rFonts w:hint="eastAsia" w:ascii="宋体" w:hAnsi="宋体" w:cs="宋体"/>
                <w:b/>
                <w:kern w:val="0"/>
                <w:sz w:val="20"/>
                <w:szCs w:val="20"/>
              </w:rPr>
            </w:pPr>
          </w:p>
        </w:tc>
        <w:tc>
          <w:tcPr>
            <w:tcW w:w="3066"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68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服务外包类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信息技术外包服务（ITO）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技术性业务流程外包服务（BPO）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jc w:val="left"/>
              <w:rPr>
                <w:rFonts w:hint="eastAsia" w:ascii="宋体" w:hAnsi="宋体" w:cs="宋体"/>
                <w:kern w:val="0"/>
                <w:sz w:val="20"/>
                <w:szCs w:val="20"/>
              </w:rPr>
            </w:pPr>
            <w:r>
              <w:rPr>
                <w:rFonts w:hint="eastAsia" w:ascii="宋体" w:hAnsi="宋体" w:cs="宋体"/>
                <w:kern w:val="0"/>
                <w:sz w:val="20"/>
                <w:szCs w:val="20"/>
              </w:rPr>
              <w:t>技术性知识流程外包服务（KPO）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服务贸易类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计算机和信息服务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研究开发和技术服务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文化技术服务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中医药医疗服务</w:t>
            </w:r>
          </w:p>
        </w:tc>
      </w:tr>
    </w:tbl>
    <w:p>
      <w:pPr>
        <w:pStyle w:val="94"/>
        <w:ind w:firstLine="480"/>
        <w:rPr>
          <w:rFonts w:hint="eastAsia" w:ascii="宋体" w:hAnsi="宋体" w:eastAsia="宋体" w:cs="宋体"/>
        </w:rPr>
      </w:pPr>
      <w:r>
        <w:rPr>
          <w:rFonts w:hint="eastAsia" w:ascii="宋体" w:hAnsi="宋体" w:eastAsia="宋体" w:cs="宋体"/>
        </w:rPr>
        <w:t>7.“207非营利组织”：纳税人为非营利组织的，选择“是”。</w:t>
      </w:r>
    </w:p>
    <w:p>
      <w:pPr>
        <w:pStyle w:val="94"/>
        <w:ind w:firstLine="480"/>
        <w:rPr>
          <w:rFonts w:hint="eastAsia" w:ascii="宋体" w:hAnsi="宋体" w:eastAsia="宋体" w:cs="宋体"/>
        </w:rPr>
      </w:pPr>
      <w:r>
        <w:rPr>
          <w:rFonts w:hint="eastAsia" w:ascii="宋体" w:hAnsi="宋体" w:eastAsia="宋体" w:cs="宋体"/>
        </w:rPr>
        <w:t>8.“208软件、集成电路企业类型”：适用纳税人根据《企业所得税年度纳税申报基础信息表》（A000000）“208软件、集成电路企业类型”填报的企业类型和实际经营情况，从《软件、集成电路企业优惠方式代码表》“代码”列中选择相应代码填报。软件、集成电路企业若符合相关企业所得税优惠政策条件的，无论是否享受企业所得税优惠，均应填报本项，且仅可从中选择一项填列。</w:t>
      </w:r>
    </w:p>
    <w:p>
      <w:pPr>
        <w:pStyle w:val="95"/>
        <w:outlineLvl w:val="1"/>
        <w:rPr>
          <w:rFonts w:hint="eastAsia" w:ascii="宋体" w:hAnsi="宋体" w:eastAsia="宋体" w:cs="宋体"/>
        </w:rPr>
      </w:pPr>
      <w:bookmarkStart w:id="46" w:name="_Toc1117467898_WPSOffice_Level2"/>
      <w:bookmarkStart w:id="47" w:name="_Toc558995538_WPSOffice_Level2"/>
      <w:bookmarkStart w:id="48" w:name="_Toc1937276247_WPSOffice_Level2"/>
      <w:r>
        <w:rPr>
          <w:rFonts w:hint="eastAsia" w:ascii="宋体" w:hAnsi="宋体" w:eastAsia="宋体" w:cs="宋体"/>
        </w:rPr>
        <w:t>软件、集成电路企业类型代码表</w:t>
      </w:r>
      <w:bookmarkEnd w:id="46"/>
      <w:bookmarkEnd w:id="47"/>
      <w:bookmarkEnd w:id="48"/>
    </w:p>
    <w:tbl>
      <w:tblPr>
        <w:tblStyle w:val="25"/>
        <w:tblW w:w="45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382"/>
        <w:gridCol w:w="5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代码</w:t>
            </w:r>
          </w:p>
        </w:tc>
        <w:tc>
          <w:tcPr>
            <w:tcW w:w="4604" w:type="pct"/>
            <w:gridSpan w:val="2"/>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continue"/>
            <w:noWrap w:val="0"/>
            <w:vAlign w:val="center"/>
          </w:tcPr>
          <w:p>
            <w:pPr>
              <w:widowControl/>
              <w:jc w:val="left"/>
              <w:rPr>
                <w:rFonts w:hint="eastAsia" w:ascii="宋体" w:hAnsi="宋体" w:cs="宋体"/>
                <w:kern w:val="0"/>
                <w:sz w:val="20"/>
                <w:szCs w:val="20"/>
              </w:rPr>
            </w:pPr>
          </w:p>
        </w:tc>
        <w:tc>
          <w:tcPr>
            <w:tcW w:w="143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大类</w:t>
            </w:r>
          </w:p>
        </w:tc>
        <w:tc>
          <w:tcPr>
            <w:tcW w:w="3168"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1435" w:type="pct"/>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100集成电路生产企业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线宽小于0.8微米（含）的企业（延续到期）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线宽小于0.25微米的企业（延续到期）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投资额超过80亿元的企业（延续到期）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投资额超过150亿元的企业（延续到期）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线宽小于65纳米（含）的企业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线宽小于28纳米（含）的企业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200集成电路设计企业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300软件企业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集成电路装备（含专用设备）企业</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“集成电路生产企业”：符合《财政部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文件规定的集成电路生产企业。具体说明如下：</w:t>
      </w:r>
    </w:p>
    <w:p>
      <w:pPr>
        <w:pStyle w:val="94"/>
        <w:ind w:firstLine="480"/>
        <w:rPr>
          <w:rFonts w:hint="eastAsia" w:ascii="宋体" w:hAnsi="宋体" w:eastAsia="宋体" w:cs="宋体"/>
        </w:rPr>
      </w:pPr>
      <w:r>
        <w:rPr>
          <w:rFonts w:hint="eastAsia" w:ascii="宋体" w:hAnsi="宋体" w:eastAsia="宋体" w:cs="宋体"/>
        </w:rPr>
        <w:t>（1）“线宽小于0.8微米（含）的企业”是指可以享受第一年至第二年免征企业所得税，第三年至第五年按照25%的法定税率减半征收企业所得税优惠政策的集成电路线宽小于0.8微米（含）的集成电路生产企业。</w:t>
      </w:r>
    </w:p>
    <w:p>
      <w:pPr>
        <w:pStyle w:val="94"/>
        <w:ind w:firstLine="480"/>
        <w:rPr>
          <w:rFonts w:hint="eastAsia" w:ascii="宋体" w:hAnsi="宋体" w:eastAsia="宋体" w:cs="宋体"/>
        </w:rPr>
      </w:pPr>
      <w:r>
        <w:rPr>
          <w:rFonts w:hint="eastAsia" w:ascii="宋体" w:hAnsi="宋体" w:eastAsia="宋体" w:cs="宋体"/>
        </w:rPr>
        <w:t>（2）“线宽小于0.25微米的企业”是指可以享受第一年至第五年免征企业所得税，第六年至第十年按照25%的法定税率减半征收企业所得税优惠政策的集成电路线宽小于0.25微米的集成电路生产企业。</w:t>
      </w:r>
    </w:p>
    <w:p>
      <w:pPr>
        <w:pStyle w:val="94"/>
        <w:ind w:firstLine="480"/>
        <w:rPr>
          <w:rFonts w:hint="eastAsia" w:ascii="宋体" w:hAnsi="宋体" w:eastAsia="宋体" w:cs="宋体"/>
        </w:rPr>
      </w:pPr>
      <w:r>
        <w:rPr>
          <w:rFonts w:hint="eastAsia" w:ascii="宋体" w:hAnsi="宋体" w:eastAsia="宋体" w:cs="宋体"/>
        </w:rPr>
        <w:t>（3）“投资额超过80亿元的企业”是指可以享受第一年至第五年免征企业所得税，第六年至第十年按照25%的法定税率减半征收企业所得税优惠政策的投资额超过80亿元的集成电路生产企业。</w:t>
      </w:r>
    </w:p>
    <w:p>
      <w:pPr>
        <w:pStyle w:val="94"/>
        <w:ind w:firstLine="480"/>
        <w:rPr>
          <w:rFonts w:hint="eastAsia" w:ascii="宋体" w:hAnsi="宋体" w:eastAsia="宋体" w:cs="宋体"/>
        </w:rPr>
      </w:pPr>
      <w:r>
        <w:rPr>
          <w:rFonts w:hint="eastAsia" w:ascii="宋体" w:hAnsi="宋体" w:eastAsia="宋体" w:cs="宋体"/>
        </w:rPr>
        <w:t>（4）“投资额超过150亿元的企业”是指可以享受第一年至第五年免征企业所得税，第六年至第十年按照25%的法定税率减半征收企业所得税优惠政策的投资额超过150亿元的集成电路生产企业。</w:t>
      </w:r>
    </w:p>
    <w:p>
      <w:pPr>
        <w:pStyle w:val="94"/>
        <w:ind w:firstLine="480"/>
        <w:rPr>
          <w:rFonts w:hint="eastAsia" w:ascii="宋体" w:hAnsi="宋体" w:eastAsia="宋体" w:cs="宋体"/>
        </w:rPr>
      </w:pPr>
      <w:r>
        <w:rPr>
          <w:rFonts w:hint="eastAsia" w:ascii="宋体" w:hAnsi="宋体" w:eastAsia="宋体" w:cs="宋体"/>
        </w:rPr>
        <w:t>（5）“线宽小于130纳米（含）的企业”是指可以享受第一年至第二年免征企业所得税，第三年至第五年按照25%的法定税率减半征收企业所得税优惠政策的集成电路线宽小于130纳米（含）的集成电路生产企业。</w:t>
      </w:r>
    </w:p>
    <w:p>
      <w:pPr>
        <w:pStyle w:val="94"/>
        <w:ind w:firstLine="480"/>
        <w:rPr>
          <w:rFonts w:hint="eastAsia" w:ascii="宋体" w:hAnsi="宋体" w:eastAsia="宋体" w:cs="宋体"/>
        </w:rPr>
      </w:pPr>
      <w:r>
        <w:rPr>
          <w:rFonts w:hint="eastAsia" w:ascii="宋体" w:hAnsi="宋体" w:eastAsia="宋体" w:cs="宋体"/>
        </w:rPr>
        <w:t>（6）“线宽小于65纳米（含）的企业”是指可以享受第一年至第五年免征企业所得税，第六年至第十年按照25%的法定税率减半征收企业所得税优惠政策的集成电路线宽小于65纳米（含）的集成电路生产企业。</w:t>
      </w:r>
    </w:p>
    <w:p>
      <w:pPr>
        <w:pStyle w:val="94"/>
        <w:ind w:firstLine="480"/>
        <w:rPr>
          <w:rFonts w:hint="eastAsia" w:ascii="宋体" w:hAnsi="宋体" w:eastAsia="宋体" w:cs="宋体"/>
        </w:rPr>
      </w:pPr>
      <w:r>
        <w:rPr>
          <w:rFonts w:hint="eastAsia" w:ascii="宋体" w:hAnsi="宋体" w:eastAsia="宋体" w:cs="宋体"/>
        </w:rPr>
        <w:t>（7）“线宽小于28纳米（含）的企业”是指可以享受第一年至第十年免征企业所得税优惠政策的集成电路线宽小于28纳米（含）的集成电路生产企业。</w:t>
      </w:r>
    </w:p>
    <w:p>
      <w:pPr>
        <w:pStyle w:val="94"/>
        <w:ind w:firstLine="480"/>
        <w:rPr>
          <w:rFonts w:hint="eastAsia" w:ascii="宋体" w:hAnsi="宋体" w:eastAsia="宋体" w:cs="宋体"/>
        </w:rPr>
      </w:pPr>
      <w:r>
        <w:rPr>
          <w:rFonts w:hint="eastAsia" w:ascii="宋体" w:hAnsi="宋体" w:eastAsia="宋体" w:cs="宋体"/>
        </w:rPr>
        <w:t xml:space="preserve"> “集成电路设计企业”：符合《财政部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国家税务总局公告2021年第9号等文件规定的集成电路设计企业、重点集成电路设计企业。具体说明如下：</w:t>
      </w:r>
    </w:p>
    <w:p>
      <w:pPr>
        <w:pStyle w:val="94"/>
        <w:ind w:firstLine="480"/>
        <w:rPr>
          <w:rFonts w:hint="eastAsia" w:ascii="宋体" w:hAnsi="宋体" w:eastAsia="宋体" w:cs="宋体"/>
        </w:rPr>
      </w:pPr>
      <w:r>
        <w:rPr>
          <w:rFonts w:hint="eastAsia" w:ascii="宋体" w:hAnsi="宋体" w:eastAsia="宋体" w:cs="宋体"/>
        </w:rPr>
        <w:t>（1）“集成电路设计企业”是指可以享受第一年至第二年免征企业所得税，第三年至第五年按照25%的法定税率减半征收企业所得税优惠政策的集成电路设计企业。</w:t>
      </w:r>
    </w:p>
    <w:p>
      <w:pPr>
        <w:pStyle w:val="94"/>
        <w:ind w:firstLine="480"/>
        <w:rPr>
          <w:rFonts w:hint="eastAsia" w:ascii="宋体" w:hAnsi="宋体" w:eastAsia="宋体" w:cs="宋体"/>
        </w:rPr>
      </w:pPr>
      <w:r>
        <w:rPr>
          <w:rFonts w:hint="eastAsia" w:ascii="宋体" w:hAnsi="宋体" w:eastAsia="宋体" w:cs="宋体"/>
        </w:rPr>
        <w:t>（2）“重点集成电路设计企业”是指在国家发展改革委、工业和信息化部等相关部门发布的清单内，可以享受第一年至第五年免征企业所得税、接续年度减按10%的税率征收企业所得税优惠政策的国家鼓励的重点集成电路设计企业。</w:t>
      </w:r>
    </w:p>
    <w:p>
      <w:pPr>
        <w:pStyle w:val="94"/>
        <w:ind w:firstLine="480"/>
        <w:rPr>
          <w:rFonts w:hint="eastAsia" w:ascii="宋体" w:hAnsi="宋体" w:eastAsia="宋体" w:cs="宋体"/>
        </w:rPr>
      </w:pPr>
      <w:r>
        <w:rPr>
          <w:rFonts w:hint="eastAsia" w:ascii="宋体" w:hAnsi="宋体" w:eastAsia="宋体" w:cs="宋体"/>
        </w:rPr>
        <w:t>“软件企业”：符合《财政部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国家税务总局公告2021年第10号等文件规定的软件企业、重点软件企业。具体说明如下：</w:t>
      </w:r>
    </w:p>
    <w:p>
      <w:pPr>
        <w:pStyle w:val="94"/>
        <w:ind w:firstLine="480"/>
        <w:rPr>
          <w:rFonts w:hint="eastAsia" w:ascii="宋体" w:hAnsi="宋体" w:eastAsia="宋体" w:cs="宋体"/>
        </w:rPr>
      </w:pPr>
      <w:r>
        <w:rPr>
          <w:rFonts w:hint="eastAsia" w:ascii="宋体" w:hAnsi="宋体" w:eastAsia="宋体" w:cs="宋体"/>
        </w:rPr>
        <w:t>①“软件企业”是指可以享受第一年至第二年免征企业所得税，第三年至第五年按照25%的法定税率减半征收企业所得税优惠政策的符合条件的软件企业。</w:t>
      </w:r>
    </w:p>
    <w:p>
      <w:pPr>
        <w:pStyle w:val="94"/>
        <w:ind w:firstLine="480"/>
        <w:rPr>
          <w:rFonts w:hint="eastAsia" w:ascii="宋体" w:hAnsi="宋体" w:eastAsia="宋体" w:cs="宋体"/>
        </w:rPr>
      </w:pPr>
      <w:r>
        <w:rPr>
          <w:rFonts w:hint="eastAsia" w:ascii="宋体" w:hAnsi="宋体" w:eastAsia="宋体" w:cs="宋体"/>
        </w:rPr>
        <w:t>②“重点软件企业” 是指在国家发展改革委、工业和信息化部等相关部门发布的清单内，可以享受第一年至第五年免征企业所得税、接续年度减按10%的税率征收企业所得税优惠政策的国家鼓励的重点软件企业。</w:t>
      </w:r>
    </w:p>
    <w:p>
      <w:pPr>
        <w:pStyle w:val="94"/>
        <w:ind w:firstLine="480"/>
        <w:rPr>
          <w:rFonts w:hint="eastAsia" w:ascii="宋体" w:hAnsi="宋体" w:eastAsia="宋体" w:cs="宋体"/>
        </w:rPr>
      </w:pPr>
      <w:r>
        <w:rPr>
          <w:rFonts w:hint="eastAsia" w:ascii="宋体" w:hAnsi="宋体" w:eastAsia="宋体" w:cs="宋体"/>
        </w:rPr>
        <w:t>“集成电路封装、测试（含封装测试）企业”：符合《财政部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工业和信息化部关于促进集成电路和软件产业高质量发展企业所得税政策的公告》（2020年第45号）文件规定可以享受企业所得税优惠政策的集成电路封装、测试（含封装测试）企业。</w:t>
      </w:r>
    </w:p>
    <w:p>
      <w:pPr>
        <w:pStyle w:val="94"/>
        <w:ind w:firstLine="480"/>
        <w:rPr>
          <w:rFonts w:hint="eastAsia" w:ascii="宋体" w:hAnsi="宋体" w:eastAsia="宋体" w:cs="宋体"/>
        </w:rPr>
      </w:pPr>
      <w:r>
        <w:rPr>
          <w:rFonts w:hint="eastAsia" w:ascii="宋体" w:hAnsi="宋体" w:eastAsia="宋体" w:cs="宋体"/>
        </w:rPr>
        <w:t>“集成电路材料（含关键专用材料）企业”：符合《财政部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工业和信息化部关于促进集成电路和软件产业高质量发展企业所得税政策的公告》（2020年第45号）文件规定可以享受企业所得税优惠政策的材料（含集成电路关键专用材料）生产企业。</w:t>
      </w:r>
    </w:p>
    <w:p>
      <w:pPr>
        <w:pStyle w:val="94"/>
        <w:ind w:firstLine="480"/>
        <w:rPr>
          <w:rFonts w:hint="eastAsia" w:ascii="宋体" w:hAnsi="宋体" w:eastAsia="宋体" w:cs="宋体"/>
        </w:rPr>
      </w:pPr>
      <w:r>
        <w:rPr>
          <w:rFonts w:hint="eastAsia" w:ascii="宋体" w:hAnsi="宋体" w:eastAsia="宋体" w:cs="宋体"/>
        </w:rPr>
        <w:t>“集成电路装备（含专用设备）企业”：符合《财政部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工业和信息化部关于促进集成电路和软件产业高质量发展企业所得税政策的公告》（2020年第45号）文件规定可以享受企业所得税优惠政策的集成电路装备（含专用设备）企业。</w:t>
      </w:r>
    </w:p>
    <w:p>
      <w:pPr>
        <w:pStyle w:val="94"/>
        <w:ind w:firstLine="480"/>
        <w:rPr>
          <w:rFonts w:hint="eastAsia" w:ascii="宋体" w:hAnsi="宋体" w:eastAsia="宋体" w:cs="宋体"/>
        </w:rPr>
      </w:pPr>
      <w:r>
        <w:rPr>
          <w:rFonts w:hint="eastAsia" w:ascii="宋体" w:hAnsi="宋体" w:eastAsia="宋体" w:cs="宋体"/>
        </w:rPr>
        <w:t>9.“209集成电路生产项目类型”：纳税人投资集成电路线宽小于130纳米（含）、线宽小于65纳米（含）或投资额超过150亿元、线宽小于28纳米（含）的集成电路生产项目，项目符合有关文件规定的税收优惠政策条件，且按照项目享受企业所得税优惠政策的，应填报本项。纳税人投资线宽小于130纳米（含）的集成电路生产项目的，选择“130纳米”，投资线宽小于65纳米（含）或投资额超过150亿元的集成电路生产项目的，选择“65纳米”；投资线宽小于28纳米（含）的集成电路生产项目的，选择“28纳米”；同时投资上述两类以上项目的，可同时选择。</w:t>
      </w:r>
    </w:p>
    <w:p>
      <w:pPr>
        <w:pStyle w:val="94"/>
        <w:ind w:firstLine="480"/>
        <w:rPr>
          <w:rFonts w:hint="eastAsia" w:ascii="宋体" w:hAnsi="宋体" w:eastAsia="宋体" w:cs="宋体"/>
        </w:rPr>
      </w:pPr>
      <w:r>
        <w:rPr>
          <w:rFonts w:hint="eastAsia" w:ascii="宋体" w:hAnsi="宋体" w:eastAsia="宋体" w:cs="宋体"/>
        </w:rPr>
        <w:t>纳税人既符合“208软件、集成电路企业类型”项目又符合“209集成电路生产项目类型”项目填报条件的，应当同时填报。</w:t>
      </w:r>
    </w:p>
    <w:p>
      <w:pPr>
        <w:pStyle w:val="94"/>
        <w:ind w:firstLine="480"/>
        <w:rPr>
          <w:rFonts w:hint="eastAsia" w:ascii="宋体" w:hAnsi="宋体" w:eastAsia="宋体" w:cs="宋体"/>
        </w:rPr>
      </w:pPr>
      <w:r>
        <w:rPr>
          <w:rFonts w:hint="eastAsia" w:ascii="宋体" w:hAnsi="宋体" w:eastAsia="宋体" w:cs="宋体"/>
        </w:rPr>
        <w:t>10.“210科技型中小企业”：纳税人根据申报所属期年度和申报所属期下一年度取得的科技型中小企业入库登记编号情况，填报本项目下的“210-1”“210-2”“210-3”“210-4”。如，纳税人在进行2018年度企业所得税汇算清缴纳税申报时，“210-1（申报所属期年度）入库编号”首先应当填列“2018年（申报所属期年度）入库编号”，“210-3（所属期下一年度）入库编号”首先应当填列“2019年（所属期下一年度）入库编号”。若纳税人在2018年1月1日至2018年12月31日之间取得科技型中小企业入库登记编号的，将相应的“编号”及“入库时间”分别填入“210-1”和“210-2”项目中；若纳税人在2019年1月1日至2018年度汇算清缴纳税申报日之间取得科技型中小企业入库登记编号的，将相应的“编号”及“入库时间”分别填入“210-3”和“210-4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11.“211高新技术企业申报所属期年度有效的高新技术企业证书”：纳税人根据申报所属期年度拥有的有效期内的高新技术企业证书情况，填报本项目下的“211-1”“211-2”“211-3”“211-4”。在申报所属期年度，如企业同时拥有两个高新技术企业证书，则两个证书情况均应填报。如：纳税人2015年10月取得高新技术企业证书，有效期3年，2018年再次参加认定并于2018年11月取得新高新技术企业证书，纳税人在进行2018年度企业所得税汇算清缴纳税申报时，应将两个证书的“编号”及“发证时间”分别填入“211-1”“211-2”“211-3”“211-4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12.“212重组事项税务处理方式”：纳税人在申报所属期年度发生重组事项的，应填报本项。纳税人重组事项按一般性税务处理的，选择“一般性”；重组事项按特殊性税务处理的，选择“特殊性”。</w:t>
      </w:r>
    </w:p>
    <w:p>
      <w:pPr>
        <w:pStyle w:val="94"/>
        <w:ind w:firstLine="480"/>
        <w:rPr>
          <w:rFonts w:hint="eastAsia" w:ascii="宋体" w:hAnsi="宋体" w:eastAsia="宋体" w:cs="宋体"/>
        </w:rPr>
      </w:pPr>
      <w:r>
        <w:rPr>
          <w:rFonts w:hint="eastAsia" w:ascii="宋体" w:hAnsi="宋体" w:eastAsia="宋体" w:cs="宋体"/>
        </w:rPr>
        <w:t>13.“213重组交易类型”和“214重组当事方类型”：填报“212重组事项税务处理方式”的纳税人，应当同时填报“213重组交易类型”和“214重组当事方类型”。纳税人根据重组情况从《重组交易类型和当事方类型代码表》中选择相应代码分别填入对应项目中。重组交易类型和当事方类型根据《财政部 国家税务总局关于企业重组业务企业所得税处理若干问题的通知》（财税〔2009〕59号）、《财政部　国家税务总局关于促进企业重组有关企业所得税处理问题的通知》（财税〔2014〕109号）、《国家税务总局关于企业重组业务企业所得税征收管理若干问题的公告》（2015年第48号发布，国家税务总局公告2018年第31号修改）等文件规定判断。</w:t>
      </w:r>
    </w:p>
    <w:p>
      <w:pPr>
        <w:pStyle w:val="95"/>
        <w:outlineLvl w:val="1"/>
        <w:rPr>
          <w:rFonts w:hint="eastAsia" w:ascii="宋体" w:hAnsi="宋体" w:eastAsia="宋体" w:cs="宋体"/>
        </w:rPr>
      </w:pPr>
      <w:bookmarkStart w:id="49" w:name="_Toc655059725_WPSOffice_Level2"/>
      <w:bookmarkStart w:id="50" w:name="_Toc1001304416_WPSOffice_Level2"/>
      <w:bookmarkStart w:id="51" w:name="_Toc1059259149_WPSOffice_Level2"/>
      <w:r>
        <w:rPr>
          <w:rFonts w:hint="eastAsia" w:ascii="宋体" w:hAnsi="宋体" w:eastAsia="宋体" w:cs="宋体"/>
        </w:rPr>
        <w:t>重组交易类型和当事方类型代码表</w:t>
      </w:r>
      <w:bookmarkEnd w:id="49"/>
      <w:bookmarkEnd w:id="50"/>
      <w:bookmarkEnd w:id="51"/>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631"/>
        <w:gridCol w:w="1053"/>
        <w:gridCol w:w="2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57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重组交易</w:t>
            </w:r>
          </w:p>
        </w:tc>
        <w:tc>
          <w:tcPr>
            <w:tcW w:w="392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重组当事方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945"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631"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c>
          <w:tcPr>
            <w:tcW w:w="105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87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945"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263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法律形式改变</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287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债务重组</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债权人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股权收购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被收购企业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资产收购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被合并企业股东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被分立企业股东</w:t>
            </w:r>
          </w:p>
        </w:tc>
      </w:tr>
    </w:tbl>
    <w:p>
      <w:pPr>
        <w:pStyle w:val="94"/>
        <w:ind w:firstLine="480"/>
        <w:rPr>
          <w:rFonts w:hint="eastAsia" w:ascii="宋体" w:hAnsi="宋体" w:eastAsia="宋体" w:cs="宋体"/>
        </w:rPr>
      </w:pPr>
      <w:r>
        <w:rPr>
          <w:rFonts w:hint="eastAsia" w:ascii="宋体" w:hAnsi="宋体" w:eastAsia="宋体" w:cs="宋体"/>
        </w:rPr>
        <w:t>14.“215政策性搬迁开始时间”：纳税人发生政策性搬迁事项且申报所属期年度处在搬迁期内的，填报政策性搬迁开始的时间。</w:t>
      </w:r>
    </w:p>
    <w:p>
      <w:pPr>
        <w:pStyle w:val="94"/>
        <w:ind w:firstLine="480"/>
        <w:rPr>
          <w:rFonts w:hint="eastAsia" w:ascii="宋体" w:hAnsi="宋体" w:eastAsia="宋体" w:cs="宋体"/>
        </w:rPr>
      </w:pPr>
      <w:r>
        <w:rPr>
          <w:rFonts w:hint="eastAsia" w:ascii="宋体" w:hAnsi="宋体" w:eastAsia="宋体" w:cs="宋体"/>
        </w:rPr>
        <w:t>15“216发生政策性搬迁且停止生产经营无所得年度”：纳税人的申报所属期年度处于政策性搬迁期内，且停止生产经营无所得的，选择“是”。</w:t>
      </w:r>
    </w:p>
    <w:p>
      <w:pPr>
        <w:pStyle w:val="94"/>
        <w:ind w:firstLine="480"/>
        <w:rPr>
          <w:rFonts w:hint="eastAsia" w:ascii="宋体" w:hAnsi="宋体" w:eastAsia="宋体" w:cs="宋体"/>
        </w:rPr>
      </w:pPr>
      <w:r>
        <w:rPr>
          <w:rFonts w:hint="eastAsia" w:ascii="宋体" w:hAnsi="宋体" w:eastAsia="宋体" w:cs="宋体"/>
        </w:rPr>
        <w:t>16.“217政策性搬迁损失分期扣除年度”：纳税人发生政策性搬迁事项出现搬迁损失，按照《企业政策性搬迁所得税管理办法》（2012年第40号发布）等有关规定选择自搬迁完成年度起分3个年度均匀在税前扣除的，且申报所属期年度处在分期扣除期间的，选择“是”。</w:t>
      </w:r>
    </w:p>
    <w:p>
      <w:pPr>
        <w:pStyle w:val="94"/>
        <w:ind w:firstLine="480"/>
        <w:rPr>
          <w:rFonts w:hint="eastAsia" w:ascii="宋体" w:hAnsi="宋体" w:eastAsia="宋体" w:cs="宋体"/>
        </w:rPr>
      </w:pPr>
      <w:r>
        <w:rPr>
          <w:rFonts w:hint="eastAsia" w:ascii="宋体" w:hAnsi="宋体" w:eastAsia="宋体" w:cs="宋体"/>
        </w:rPr>
        <w:t>17.“218发生非货币性资产对外投资递延纳税事项”：纳税人在申报所属期年度发生非货币性资产对外投资递延纳税事项的，选择“是”。</w:t>
      </w:r>
    </w:p>
    <w:p>
      <w:pPr>
        <w:pStyle w:val="94"/>
        <w:ind w:firstLine="480"/>
        <w:rPr>
          <w:rFonts w:hint="eastAsia" w:ascii="宋体" w:hAnsi="宋体" w:eastAsia="宋体" w:cs="宋体"/>
        </w:rPr>
      </w:pPr>
      <w:r>
        <w:rPr>
          <w:rFonts w:hint="eastAsia" w:ascii="宋体" w:hAnsi="宋体" w:eastAsia="宋体" w:cs="宋体"/>
        </w:rPr>
        <w:t>18.“219非货币性资产对外投资转让所得递延纳税年度”：纳税人以非货币性资产对外投资确认的非货币性资产转让所得，按照《财政部 国家税务总局关于非货币性资产投资企业所得税政策问题的通知》（财税〔2014〕116号）、《国家税务总局关于非货币性资产投资企业所得税有关征管问题的公告》（2015年第33号）等文件规定，在不超过5年期限内分期均匀计入相应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19.“220发生技术成果投资入股递延纳税事项”：纳税人在申报所属期年度发生技术入股递延纳税事项的，选择“是”。</w:t>
      </w:r>
    </w:p>
    <w:p>
      <w:pPr>
        <w:pStyle w:val="94"/>
        <w:ind w:firstLine="480"/>
        <w:rPr>
          <w:rFonts w:hint="eastAsia" w:ascii="宋体" w:hAnsi="宋体" w:eastAsia="宋体" w:cs="宋体"/>
        </w:rPr>
      </w:pPr>
      <w:r>
        <w:rPr>
          <w:rFonts w:hint="eastAsia" w:ascii="宋体" w:hAnsi="宋体" w:eastAsia="宋体" w:cs="宋体"/>
        </w:rPr>
        <w:t>20.“221技术成果投资入股递延纳税年度”：纳税人发生技术入股事项，按照《财政部 国家税务总局关于完善股权激励和技术入股有关所得税政策的通知》（财税〔2016〕101号）、《国家税务总局关于股权激励和技术入股所得税征管问题的公告》（2016年第62号）等文件规定选择适用递延纳税政策，即在投资入股当期暂不纳税，递延至转让股权时按股权转让收入减去技术成果原值和合理税费后的差额计算缴纳所得税的，且申报所属期年度为转让股权年度的，选择“是”。</w:t>
      </w:r>
    </w:p>
    <w:p>
      <w:pPr>
        <w:pStyle w:val="94"/>
        <w:ind w:firstLine="480"/>
        <w:rPr>
          <w:rFonts w:hint="eastAsia" w:ascii="宋体" w:hAnsi="宋体" w:eastAsia="宋体" w:cs="宋体"/>
        </w:rPr>
      </w:pPr>
      <w:r>
        <w:rPr>
          <w:rFonts w:hint="eastAsia" w:ascii="宋体" w:hAnsi="宋体" w:eastAsia="宋体" w:cs="宋体"/>
        </w:rPr>
        <w:t>21.“222发生资产（股权）划转特殊性税务处理事项”：纳税人在申报所属期年度发生《财政部 国家税务总局关于促进企业重组有关企业所得税处理问题的通知》（财税〔2014〕109号）、《国家税务总局关于资产（股权）划转企业所得税征管问题的公告》（2015年第40号）等文件规定的资产（股权）划转特殊性税务处理事项的，选择“是”。</w:t>
      </w:r>
    </w:p>
    <w:p>
      <w:pPr>
        <w:pStyle w:val="94"/>
        <w:ind w:firstLine="480"/>
        <w:rPr>
          <w:rFonts w:hint="eastAsia" w:ascii="宋体" w:hAnsi="宋体" w:eastAsia="宋体" w:cs="宋体"/>
        </w:rPr>
      </w:pPr>
      <w:r>
        <w:rPr>
          <w:rFonts w:hint="eastAsia" w:ascii="宋体" w:hAnsi="宋体" w:eastAsia="宋体" w:cs="宋体"/>
        </w:rPr>
        <w:t>22.“223债务重组所得递延纳税年度”：纳税人债务重组确认的应纳税所得额按照《财政部 国家税务总局关于企业重组业务企业所得税处理若干问题的通知》（财税〔2009〕59号）、《财政部　国家税务总局关于促进企业重组有关企业所得税处理问题的通知》（财税〔2014〕109号）等文件规定，在5个纳税年度的期间内，均匀计入各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23.“224研发支出辅助账样式”：按照《国家税务总局关于企业研究开发费用税前加计扣除政策有关问题的公告》（2015年第97号）、《国家税务总局关于进一步落实研发费用加计扣除政策有关问题的公告》（2021年第28号）文件规定，纳税人选择使用2015版研发支出辅助账样式及其优化版（如上海市2018优化版研发支出辅助账样式）的，选择“2015版”；纳税人选择2021版研发支出辅助账样式，选择“2021版”；纳税人自行设计研发支出辅助账样式的，选择“自行设计”。</w:t>
      </w:r>
    </w:p>
    <w:p>
      <w:pPr>
        <w:pStyle w:val="94"/>
        <w:ind w:firstLine="480"/>
        <w:outlineLvl w:val="0"/>
        <w:rPr>
          <w:rFonts w:hint="eastAsia" w:ascii="宋体" w:hAnsi="宋体" w:eastAsia="宋体" w:cs="宋体"/>
        </w:rPr>
      </w:pPr>
      <w:bookmarkStart w:id="52" w:name="_Toc1583773396_WPSOffice_Level1"/>
      <w:bookmarkStart w:id="53" w:name="_Toc2015305386_WPSOffice_Level1"/>
      <w:r>
        <w:rPr>
          <w:rFonts w:hint="eastAsia" w:ascii="宋体" w:hAnsi="宋体" w:eastAsia="宋体" w:cs="宋体"/>
        </w:rPr>
        <w:t>三、主要股东及分红情况</w:t>
      </w:r>
      <w:bookmarkEnd w:id="52"/>
      <w:bookmarkEnd w:id="53"/>
    </w:p>
    <w:p>
      <w:pPr>
        <w:pStyle w:val="94"/>
        <w:ind w:firstLine="480"/>
        <w:rPr>
          <w:rFonts w:hint="eastAsia" w:ascii="宋体" w:hAnsi="宋体" w:eastAsia="宋体" w:cs="宋体"/>
        </w:rPr>
      </w:pPr>
      <w:r>
        <w:rPr>
          <w:rFonts w:hint="eastAsia" w:ascii="宋体" w:hAnsi="宋体" w:eastAsia="宋体" w:cs="宋体"/>
        </w:rPr>
        <w:t>纳税人填报本企业投资比例位列前10位的股东情况。包括股东名称，证件种类（营业执照、税务登记证、组织机构代码证、身份证、护照等），证件号码（统一社会信用代码、纳税人识别号、组织机构代码号、身份证号、护照号等），投资比例，当年（决议日）分配的股息、红利等权益性投资收益金额，国籍（注册地址）。纳税人股东数量超过10位的，应将其余股东有关数据合计后填入“其余股东合计”行次。</w:t>
      </w:r>
    </w:p>
    <w:p>
      <w:pPr>
        <w:pStyle w:val="94"/>
        <w:ind w:firstLine="480"/>
        <w:rPr>
          <w:rFonts w:hint="eastAsia" w:ascii="宋体" w:hAnsi="宋体" w:eastAsia="宋体" w:cs="宋体"/>
        </w:rPr>
      </w:pPr>
      <w:r>
        <w:rPr>
          <w:rFonts w:hint="eastAsia" w:ascii="宋体" w:hAnsi="宋体" w:eastAsia="宋体" w:cs="宋体"/>
        </w:rPr>
        <w:t>纳税人股东为非居民企业的，证件种类和证件号码可不填报。</w:t>
      </w:r>
    </w:p>
    <w:bookmarkEnd w:id="20"/>
    <w:p>
      <w:pPr>
        <w:pStyle w:val="65"/>
        <w:rPr>
          <w:rFonts w:hint="eastAsia" w:cs="宋体"/>
        </w:rPr>
        <w:sectPr>
          <w:footerReference r:id="rId13" w:type="default"/>
          <w:pgSz w:w="11906" w:h="16838"/>
          <w:pgMar w:top="1418" w:right="1418" w:bottom="1361" w:left="1418" w:header="851" w:footer="992" w:gutter="113"/>
          <w:pgNumType w:fmt="decimal"/>
          <w:cols w:space="720" w:num="1"/>
          <w:docGrid w:linePitch="312" w:charSpace="0"/>
        </w:sectPr>
      </w:pPr>
      <w:bookmarkStart w:id="54" w:name="_Toc393471096"/>
      <w:bookmarkStart w:id="55" w:name="_Hlk524336513"/>
    </w:p>
    <w:bookmarkEnd w:id="54"/>
    <w:bookmarkEnd w:id="55"/>
    <w:p>
      <w:pPr>
        <w:pStyle w:val="66"/>
      </w:pPr>
      <w:bookmarkStart w:id="56" w:name="_Toc12655"/>
      <w:bookmarkStart w:id="57" w:name="_Toc504392827_WPSOffice_Level1"/>
      <w:bookmarkStart w:id="58" w:name="_Toc951642587_WPSOffice_Level1"/>
      <w:bookmarkStart w:id="59" w:name="_Toc267334863"/>
      <w:r>
        <w:t>A100000</w:t>
      </w:r>
      <w:r>
        <w:tab/>
      </w:r>
      <w:r>
        <w:rPr>
          <w:rFonts w:hint="eastAsia"/>
        </w:rPr>
        <w:t xml:space="preserve">  中华人民共和国企业所得税年度纳税申报表（A类）</w:t>
      </w:r>
      <w:bookmarkEnd w:id="56"/>
    </w:p>
    <w:bookmarkEnd w:id="57"/>
    <w:bookmarkEnd w:id="58"/>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0"/>
        <w:gridCol w:w="620"/>
        <w:gridCol w:w="7392"/>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行次</w:t>
            </w:r>
          </w:p>
        </w:tc>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类别</w:t>
            </w:r>
          </w:p>
        </w:tc>
        <w:tc>
          <w:tcPr>
            <w:tcW w:w="7392"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        目</w:t>
            </w:r>
          </w:p>
        </w:tc>
        <w:tc>
          <w:tcPr>
            <w:tcW w:w="1418"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利润总额计算</w:t>
            </w: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一、营业收入(填写A101010\101020\103000)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减：营业成本(填写A102010\102020\103000)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减：税金及附加</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减：销售费用(填写A104000)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减：管理费用(填写A104000)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减：财务费用(填写A104000)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减：资产减值损失</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加：公允价值变动收益</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加：投资收益</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二、营业利润(1-2-3-4-5-6-7+8+9)</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加：营业外收入(填写A101010\101020\103000)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减：营业外支出(填写A102010\102020\103000)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三、利润总额（10+11-12）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14</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应纳税所得额计算</w:t>
            </w: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减：境外所得（填写A108010）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加：纳税调整增加额（填写A105000）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减：纳税调整减少额（填写A105000）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减：免税、减计收入及加计扣除（填写A107010）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加：境外应税所得抵减境内亏损（填写A108000）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四、纳税调整后所得（13-14+15-16-17+18）</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减：所得减免（填写A107020）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减：弥补以前年度亏损（填写A106000）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减：抵扣应纳税所得额（填写A107030）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五、应纳税所得额（19-20-21-22）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24</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应纳税额计算</w:t>
            </w: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税率（25%）</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六、应纳所得税额（23×24）</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减：减免所得税额（填写A107040）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减：抵免所得税额（填写A107050）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七、应纳税额（25-26-27）</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加：境外所得应纳所得税额（填写A108000）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减：境外所得抵免所得税额（填写A108000）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八、实际应纳所得税额（28+29-30）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减：本年累计实际已缴纳的所得税额</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九、本年应补（退）所得税额（31-32）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34</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其中：总机构分摊本年应补（退）所得税额(填写A109000)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cs="宋体"/>
                <w:kern w:val="0"/>
                <w:sz w:val="20"/>
                <w:szCs w:val="20"/>
              </w:rPr>
            </w:pPr>
            <w:r>
              <w:rPr>
                <w:rFonts w:hint="eastAsia" w:ascii="宋体" w:hAnsi="宋体" w:cs="宋体"/>
                <w:kern w:val="0"/>
                <w:sz w:val="20"/>
                <w:szCs w:val="20"/>
              </w:rPr>
              <w:t>财政集中分配本年应补（退）所得税额(填写A109000)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cs="宋体"/>
                <w:kern w:val="0"/>
                <w:sz w:val="20"/>
                <w:szCs w:val="20"/>
              </w:rPr>
            </w:pPr>
            <w:r>
              <w:rPr>
                <w:rFonts w:hint="eastAsia" w:ascii="宋体" w:hAnsi="宋体" w:cs="宋体"/>
                <w:kern w:val="0"/>
                <w:sz w:val="20"/>
                <w:szCs w:val="20"/>
              </w:rPr>
              <w:t>总机构主体生产经营部门分摊本年应补（退）所得税额(填写A109000)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37</w:t>
            </w:r>
          </w:p>
        </w:tc>
        <w:tc>
          <w:tcPr>
            <w:tcW w:w="620" w:type="dxa"/>
            <w:vMerge w:val="restart"/>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实际应纳税额计算</w:t>
            </w:r>
          </w:p>
        </w:tc>
        <w:tc>
          <w:tcPr>
            <w:tcW w:w="7392" w:type="dxa"/>
            <w:noWrap w:val="0"/>
            <w:vAlign w:val="center"/>
          </w:tcPr>
          <w:p>
            <w:pPr>
              <w:spacing w:line="240" w:lineRule="exact"/>
              <w:rPr>
                <w:rFonts w:hint="eastAsia" w:ascii="宋体" w:hAnsi="宋体" w:cs="宋体"/>
                <w:kern w:val="0"/>
                <w:sz w:val="20"/>
                <w:szCs w:val="20"/>
              </w:rPr>
            </w:pPr>
            <w:r>
              <w:rPr>
                <w:rFonts w:hint="eastAsia" w:ascii="宋体" w:hAnsi="宋体" w:cs="宋体"/>
                <w:kern w:val="0"/>
                <w:sz w:val="20"/>
                <w:szCs w:val="20"/>
              </w:rPr>
              <w:t>减：民族自治地区企业所得税地方分享部分：</w:t>
            </w:r>
            <w:r>
              <w:rPr>
                <w:rFonts w:ascii="宋体" w:hAnsi="宋体" w:cs="宋体"/>
                <w:kern w:val="0"/>
                <w:sz w:val="20"/>
                <w:szCs w:val="20"/>
                <w:lang w:val="en"/>
              </w:rPr>
              <w:t>(</w:t>
            </w:r>
            <w:r>
              <w:rPr>
                <w:rFonts w:hint="eastAsia" w:ascii="宋体" w:hAnsi="宋体" w:cs="宋体"/>
                <w:kern w:val="0"/>
                <w:sz w:val="20"/>
                <w:szCs w:val="20"/>
              </w:rPr>
              <w:t>□ 免征 □ 减征:减征幅度</w:t>
            </w:r>
            <w:r>
              <w:rPr>
                <w:rFonts w:hint="eastAsia" w:ascii="宋体" w:hAnsi="宋体" w:cs="宋体"/>
                <w:kern w:val="0"/>
                <w:sz w:val="20"/>
                <w:szCs w:val="20"/>
                <w:u w:val="single"/>
              </w:rPr>
              <w:t xml:space="preserve">   </w:t>
            </w:r>
            <w:r>
              <w:rPr>
                <w:rFonts w:hint="eastAsia" w:ascii="宋体" w:hAnsi="宋体" w:cs="宋体"/>
                <w:kern w:val="0"/>
                <w:sz w:val="20"/>
                <w:szCs w:val="20"/>
              </w:rPr>
              <w:t>%）</w:t>
            </w:r>
          </w:p>
        </w:tc>
        <w:tc>
          <w:tcPr>
            <w:tcW w:w="1418" w:type="dxa"/>
            <w:noWrap w:val="0"/>
            <w:vAlign w:val="center"/>
          </w:tcPr>
          <w:p>
            <w:pPr>
              <w:widowControl/>
              <w:spacing w:line="240" w:lineRule="exact"/>
              <w:jc w:val="righ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十、本年实际应补（退）所得税额（33-37）</w:t>
            </w:r>
          </w:p>
        </w:tc>
        <w:tc>
          <w:tcPr>
            <w:tcW w:w="1418" w:type="dxa"/>
            <w:noWrap w:val="0"/>
            <w:vAlign w:val="center"/>
          </w:tcPr>
          <w:p>
            <w:pPr>
              <w:widowControl/>
              <w:spacing w:line="240" w:lineRule="exact"/>
              <w:jc w:val="right"/>
              <w:rPr>
                <w:rFonts w:hint="eastAsia" w:ascii="宋体" w:hAnsi="宋体" w:cs="宋体"/>
                <w:kern w:val="0"/>
                <w:sz w:val="20"/>
                <w:szCs w:val="20"/>
              </w:rPr>
            </w:pPr>
          </w:p>
        </w:tc>
      </w:tr>
    </w:tbl>
    <w:p>
      <w:pPr>
        <w:pStyle w:val="3"/>
        <w:spacing w:before="0" w:after="0" w:line="360" w:lineRule="auto"/>
        <w:rPr>
          <w:rFonts w:hint="eastAsia" w:ascii="宋体" w:hAnsi="宋体" w:cs="宋体"/>
          <w:sz w:val="28"/>
          <w:szCs w:val="28"/>
          <w:lang w:eastAsia="zh-CN"/>
        </w:rPr>
        <w:sectPr>
          <w:footerReference r:id="rId14" w:type="first"/>
          <w:pgSz w:w="11906" w:h="16838"/>
          <w:pgMar w:top="1418" w:right="1418" w:bottom="1276" w:left="1418" w:header="851" w:footer="992" w:gutter="113"/>
          <w:pgNumType w:fmt="decimal"/>
          <w:cols w:space="720" w:num="1"/>
          <w:titlePg/>
          <w:docGrid w:linePitch="312" w:charSpace="0"/>
        </w:sectPr>
      </w:pPr>
    </w:p>
    <w:bookmarkEnd w:id="59"/>
    <w:p>
      <w:pPr>
        <w:pStyle w:val="66"/>
        <w:jc w:val="center"/>
        <w:rPr>
          <w:rFonts w:hint="eastAsia"/>
        </w:rPr>
      </w:pPr>
      <w:bookmarkStart w:id="60" w:name="_Toc54267893"/>
      <w:bookmarkStart w:id="61" w:name="_Toc7304"/>
      <w:bookmarkStart w:id="62" w:name="_Toc393480183"/>
      <w:r>
        <w:rPr>
          <w:rFonts w:hint="eastAsia"/>
        </w:rPr>
        <w:t>A100000</w:t>
      </w:r>
      <w:r>
        <w:rPr>
          <w:rFonts w:hint="eastAsia"/>
        </w:rPr>
        <w:tab/>
      </w:r>
      <w:r>
        <w:rPr>
          <w:rFonts w:hint="eastAsia"/>
        </w:rPr>
        <w:t>《中华人民共和国企业所得税年度纳税申报表（A类）》</w:t>
      </w:r>
      <w:r>
        <w:rPr>
          <w:rFonts w:hint="eastAsia"/>
        </w:rPr>
        <w:br w:type="textWrapping"/>
      </w:r>
      <w:r>
        <w:rPr>
          <w:rFonts w:hint="eastAsia"/>
        </w:rPr>
        <w:t>填报说明</w:t>
      </w:r>
      <w:bookmarkEnd w:id="60"/>
      <w:bookmarkEnd w:id="61"/>
    </w:p>
    <w:p>
      <w:pPr>
        <w:pStyle w:val="94"/>
        <w:ind w:firstLine="480"/>
        <w:rPr>
          <w:rFonts w:hint="eastAsia" w:ascii="宋体" w:hAnsi="宋体" w:eastAsia="宋体" w:cs="宋体"/>
        </w:rPr>
      </w:pPr>
      <w:r>
        <w:rPr>
          <w:rFonts w:hint="eastAsia" w:ascii="宋体" w:hAnsi="宋体" w:eastAsia="宋体" w:cs="宋体"/>
        </w:rPr>
        <w:t>本表为企业所得税年度纳税申报表的主表，纳税人应当根据《中华人民共和国企业所得税法》及其实施条例（以下简称“税法”）、相关税收政策，以及国家统一会计制度（企业会计准则、小企业会计准则、企业会计制度、事业单位会计准则和民间非营利组织会计制度等）的规定，计算填报利润总额、应纳税所得额和应纳税额等有关项目。</w:t>
      </w:r>
    </w:p>
    <w:p>
      <w:pPr>
        <w:pStyle w:val="94"/>
        <w:ind w:firstLine="480"/>
        <w:rPr>
          <w:rFonts w:hint="eastAsia" w:ascii="宋体" w:hAnsi="宋体" w:eastAsia="宋体" w:cs="宋体"/>
        </w:rPr>
      </w:pPr>
      <w:r>
        <w:rPr>
          <w:rFonts w:hint="eastAsia" w:ascii="宋体" w:hAnsi="宋体" w:eastAsia="宋体" w:cs="宋体"/>
        </w:rPr>
        <w:t>纳税人在计算企业所得税应纳税所得额及应纳税额时，会计处理与税收规定不一致的，应当按照税收规定计算。税收规定不明确的，在没有明确规定之前，暂按国家统一会计制度计算。</w:t>
      </w:r>
    </w:p>
    <w:p>
      <w:pPr>
        <w:pStyle w:val="94"/>
        <w:ind w:firstLine="480"/>
        <w:outlineLvl w:val="0"/>
        <w:rPr>
          <w:rFonts w:hint="eastAsia" w:ascii="宋体" w:hAnsi="宋体" w:eastAsia="宋体" w:cs="宋体"/>
        </w:rPr>
      </w:pPr>
      <w:bookmarkStart w:id="63" w:name="_Toc1191137581_WPSOffice_Level1"/>
      <w:bookmarkStart w:id="64" w:name="_Toc238322417_WPSOffice_Level1"/>
      <w:r>
        <w:rPr>
          <w:rFonts w:hint="eastAsia" w:ascii="宋体" w:hAnsi="宋体" w:eastAsia="宋体" w:cs="宋体"/>
        </w:rPr>
        <w:t>一、有关项目填报说明</w:t>
      </w:r>
      <w:bookmarkEnd w:id="63"/>
      <w:bookmarkEnd w:id="64"/>
    </w:p>
    <w:p>
      <w:pPr>
        <w:pStyle w:val="94"/>
        <w:ind w:firstLine="480"/>
        <w:outlineLvl w:val="1"/>
        <w:rPr>
          <w:rFonts w:hint="eastAsia" w:ascii="宋体" w:hAnsi="宋体" w:eastAsia="宋体" w:cs="宋体"/>
        </w:rPr>
      </w:pPr>
      <w:bookmarkStart w:id="65" w:name="_Toc1431273687_WPSOffice_Level2"/>
      <w:bookmarkStart w:id="66" w:name="_Toc1473874572_WPSOffice_Level2"/>
      <w:r>
        <w:rPr>
          <w:rFonts w:hint="eastAsia" w:ascii="宋体" w:hAnsi="宋体" w:eastAsia="宋体" w:cs="宋体"/>
        </w:rPr>
        <w:t>（一）表体项目</w:t>
      </w:r>
      <w:bookmarkEnd w:id="65"/>
      <w:bookmarkEnd w:id="66"/>
    </w:p>
    <w:p>
      <w:pPr>
        <w:pStyle w:val="94"/>
        <w:ind w:firstLine="480"/>
        <w:rPr>
          <w:rFonts w:hint="eastAsia" w:ascii="宋体" w:hAnsi="宋体" w:eastAsia="宋体" w:cs="宋体"/>
        </w:rPr>
      </w:pPr>
      <w:r>
        <w:rPr>
          <w:rFonts w:hint="eastAsia" w:ascii="宋体" w:hAnsi="宋体" w:eastAsia="宋体" w:cs="宋体"/>
        </w:rPr>
        <w:t>本表是在纳税人会计利润总额的基础上，加减纳税调整等金额后计算出“纳税调整后所得”。会计与税法的差异（包括收入类、扣除类、资产类等差异）通过《纳税调整项目明细表》(A105000）集中填报。</w:t>
      </w:r>
    </w:p>
    <w:p>
      <w:pPr>
        <w:pStyle w:val="94"/>
        <w:ind w:firstLine="480"/>
        <w:rPr>
          <w:rFonts w:hint="eastAsia" w:ascii="宋体" w:hAnsi="宋体" w:eastAsia="宋体" w:cs="宋体"/>
        </w:rPr>
      </w:pPr>
      <w:r>
        <w:rPr>
          <w:rFonts w:hint="eastAsia" w:ascii="宋体" w:hAnsi="宋体" w:eastAsia="宋体" w:cs="宋体"/>
        </w:rPr>
        <w:t>本表包括利润总额计算、应纳税所得额计算、应纳税额计算三个部分。</w:t>
      </w:r>
    </w:p>
    <w:p>
      <w:pPr>
        <w:pStyle w:val="94"/>
        <w:ind w:firstLine="480"/>
        <w:rPr>
          <w:rFonts w:hint="eastAsia" w:ascii="宋体" w:hAnsi="宋体" w:eastAsia="宋体" w:cs="宋体"/>
        </w:rPr>
      </w:pPr>
      <w:r>
        <w:rPr>
          <w:rFonts w:hint="eastAsia" w:ascii="宋体" w:hAnsi="宋体" w:eastAsia="宋体" w:cs="宋体"/>
        </w:rPr>
        <w:t>1.“利润总额计算”中的项目，按照国家统一会计制度规定计算填报。实行企业会计准则、小企业会计准则、企业会计制度、分行业会计制度的纳税人，其数据直接取自《利润表》（另有说明的除外）；实行事业单位会计准则的纳税人，其数据取自《收入支出表》；实行民间非营利组织会计制度的纳税人，其数据取自《业务活动表》；实行其他国家统一会计制度的纳税人，根据本表项目进行分析填报。</w:t>
      </w:r>
    </w:p>
    <w:p>
      <w:pPr>
        <w:pStyle w:val="94"/>
        <w:ind w:firstLine="480"/>
        <w:rPr>
          <w:rFonts w:hint="eastAsia" w:ascii="宋体" w:hAnsi="宋体" w:eastAsia="宋体" w:cs="宋体"/>
        </w:rPr>
      </w:pPr>
      <w:r>
        <w:rPr>
          <w:rFonts w:hint="eastAsia" w:ascii="宋体" w:hAnsi="宋体" w:eastAsia="宋体" w:cs="宋体"/>
        </w:rPr>
        <w:t>2.“应纳税所得额计算”和“应纳税额计算”中的项目，除根据主表逻辑关系计算以外，通过附表相应栏次填报。</w:t>
      </w:r>
    </w:p>
    <w:p>
      <w:pPr>
        <w:pStyle w:val="94"/>
        <w:ind w:firstLine="480"/>
        <w:outlineLvl w:val="1"/>
        <w:rPr>
          <w:rFonts w:hint="eastAsia" w:ascii="宋体" w:hAnsi="宋体" w:eastAsia="宋体" w:cs="宋体"/>
        </w:rPr>
      </w:pPr>
      <w:bookmarkStart w:id="67" w:name="_Toc961699152_WPSOffice_Level2"/>
      <w:bookmarkStart w:id="68" w:name="_Toc164281316_WPSOffice_Level2"/>
      <w:r>
        <w:rPr>
          <w:rFonts w:hint="eastAsia" w:ascii="宋体" w:hAnsi="宋体" w:eastAsia="宋体" w:cs="宋体"/>
        </w:rPr>
        <w:t>（二）行次说明</w:t>
      </w:r>
      <w:bookmarkEnd w:id="67"/>
      <w:bookmarkEnd w:id="68"/>
    </w:p>
    <w:p>
      <w:pPr>
        <w:pStyle w:val="94"/>
        <w:ind w:firstLine="480"/>
        <w:rPr>
          <w:rFonts w:hint="eastAsia" w:ascii="宋体" w:hAnsi="宋体" w:eastAsia="宋体" w:cs="宋体"/>
        </w:rPr>
      </w:pPr>
      <w:r>
        <w:rPr>
          <w:rFonts w:hint="eastAsia" w:ascii="宋体" w:hAnsi="宋体" w:eastAsia="宋体" w:cs="宋体"/>
        </w:rPr>
        <w:t>第1-13行参照国家统一会计制度规定填写。本部分未设“研发费用”“其他收益”“资产处置收益”等项目，对于已执行《财政部关于修订印发2019年度一般企业财务报表格式的通知》（财会〔2019〕6号）的纳税人，在《利润表》中归集的“研发费用”通过《期间费用明细表》（A104000）第19行“十九、研究费用”的管理费用相应列次填报；在《利润表》中归集的“其他收益”“资产处置收益”“信用减值损失”“净敞口套期收益”项目则无需填报，同时第10行“二、营业利润”不执行“第10行＝第1-2-3-4-5-6-7+8+9行”的表内关系，按照《利润表》“营业利润”项目直接填报。</w:t>
      </w:r>
    </w:p>
    <w:p>
      <w:pPr>
        <w:pStyle w:val="94"/>
        <w:ind w:firstLine="480"/>
        <w:rPr>
          <w:rFonts w:hint="eastAsia" w:ascii="宋体" w:hAnsi="宋体" w:eastAsia="宋体" w:cs="宋体"/>
        </w:rPr>
      </w:pPr>
      <w:r>
        <w:rPr>
          <w:rFonts w:hint="eastAsia" w:ascii="宋体" w:hAnsi="宋体" w:eastAsia="宋体" w:cs="宋体"/>
        </w:rPr>
        <w:t>1.第1行“营业收入”：填报纳税人主要经营业务和其他经营业务取得的收入总额。本行根据“主营业务收入”和“其他业务收入”的数额填报。一般企业纳税人根据《一般企业收入明细表》（A101010）填报；金融企业纳税人根据《金融企业收入明细表》(A101020)填报；事业单位、社会团体、民办非企业单位、非营利组织等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2.第2行“营业成本”：填报纳税人主要经营业务和其他经营业务发生的成本总额。本行根据“主营业务成本”和“其他业务成本”的数额填报。一般企业纳税人根据《一般企业成本支出明细表》(A102010)填报；金融企业纳税人根据《金融企业支出明细表》(A102020)填报；事业单位、社会团体、民办非企业单位、非营利组织等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3.第3行“税金及附加”：填报纳税人经营活动发生的消费税、城市维护建设税、资源税、土地增值税和教育费附加等相关税费。本行根据纳税人相关会计科目填报。纳税人在其他会计科目核算的税金不得重复填报。</w:t>
      </w:r>
    </w:p>
    <w:p>
      <w:pPr>
        <w:pStyle w:val="94"/>
        <w:ind w:firstLine="480"/>
        <w:rPr>
          <w:rFonts w:hint="eastAsia" w:ascii="宋体" w:hAnsi="宋体" w:eastAsia="宋体" w:cs="宋体"/>
        </w:rPr>
      </w:pPr>
      <w:r>
        <w:rPr>
          <w:rFonts w:hint="eastAsia" w:ascii="宋体" w:hAnsi="宋体" w:eastAsia="宋体" w:cs="宋体"/>
        </w:rPr>
        <w:t>4.第4行“销售费用”：填报纳税人在销售商品和材料、提供劳务的过程中发生的各种费用。本行根据《期间费用明细表》（A104000）中对应的“销售费用”填报。</w:t>
      </w:r>
    </w:p>
    <w:p>
      <w:pPr>
        <w:pStyle w:val="94"/>
        <w:ind w:firstLine="480"/>
        <w:rPr>
          <w:rFonts w:hint="eastAsia" w:ascii="宋体" w:hAnsi="宋体" w:eastAsia="宋体" w:cs="宋体"/>
        </w:rPr>
      </w:pPr>
      <w:r>
        <w:rPr>
          <w:rFonts w:hint="eastAsia" w:ascii="宋体" w:hAnsi="宋体" w:eastAsia="宋体" w:cs="宋体"/>
        </w:rPr>
        <w:t>5.第5行“管理费用”：填报纳税人为组织和管理企业生产经营发生的管理费用。本行根据《期间费用明细表》（A104000）中对应的“管理费用”填报。</w:t>
      </w:r>
    </w:p>
    <w:p>
      <w:pPr>
        <w:pStyle w:val="94"/>
        <w:ind w:firstLine="480"/>
        <w:rPr>
          <w:rFonts w:hint="eastAsia" w:ascii="宋体" w:hAnsi="宋体" w:eastAsia="宋体" w:cs="宋体"/>
        </w:rPr>
      </w:pPr>
      <w:r>
        <w:rPr>
          <w:rFonts w:hint="eastAsia" w:ascii="宋体" w:hAnsi="宋体" w:eastAsia="宋体" w:cs="宋体"/>
        </w:rPr>
        <w:t>6.第6行“财务费用”：填报纳税人为筹集生产经营所需资金等发生的筹资费用。本行根据《期间费用明细表》（A104000）中对应的“财务费用”填报。</w:t>
      </w:r>
    </w:p>
    <w:p>
      <w:pPr>
        <w:pStyle w:val="94"/>
        <w:ind w:firstLine="480"/>
        <w:rPr>
          <w:rFonts w:hint="eastAsia" w:ascii="宋体" w:hAnsi="宋体" w:eastAsia="宋体" w:cs="宋体"/>
        </w:rPr>
      </w:pPr>
      <w:r>
        <w:rPr>
          <w:rFonts w:hint="eastAsia" w:ascii="宋体" w:hAnsi="宋体" w:eastAsia="宋体" w:cs="宋体"/>
        </w:rPr>
        <w:t>7.第7行“资产减值损失”：填报纳税人计提各项资产准备发生的减值损失。本行根据企业“资产减值损失”科目上的数额填报。实行其他会计制度的比照填报。</w:t>
      </w:r>
    </w:p>
    <w:p>
      <w:pPr>
        <w:pStyle w:val="94"/>
        <w:ind w:firstLine="480"/>
        <w:rPr>
          <w:rFonts w:hint="eastAsia" w:ascii="宋体" w:hAnsi="宋体" w:eastAsia="宋体" w:cs="宋体"/>
        </w:rPr>
      </w:pPr>
      <w:r>
        <w:rPr>
          <w:rFonts w:hint="eastAsia" w:ascii="宋体" w:hAnsi="宋体" w:eastAsia="宋体" w:cs="宋体"/>
        </w:rPr>
        <w:t>8.第8行“公允价值变动收益”：填报纳税人在初始确认时划分为以公允价值计量且其变动计入当期损益的金融资产或金融负债（包括交易性金融资产或负债，直接指定为以公允价值计量且其变动计入当期损益的金融资产或金融负债），以及采用公允价值模式计量的投资性房地产、衍生工具和套期业务中公允价值变动形成的应计入当期损益的利得或损失。本行根据企业“公允价值变动损益”科目的数额填报，损失以“-”号填列。</w:t>
      </w:r>
    </w:p>
    <w:p>
      <w:pPr>
        <w:pStyle w:val="94"/>
        <w:ind w:firstLine="480"/>
        <w:rPr>
          <w:rFonts w:hint="eastAsia" w:ascii="宋体" w:hAnsi="宋体" w:eastAsia="宋体" w:cs="宋体"/>
        </w:rPr>
      </w:pPr>
      <w:r>
        <w:rPr>
          <w:rFonts w:hint="eastAsia" w:ascii="宋体" w:hAnsi="宋体" w:eastAsia="宋体" w:cs="宋体"/>
        </w:rPr>
        <w:t>9.第9行“投资收益”：填报纳税人以各种方式对外投资所取得的收益或发生的损失。根据企业“投资收益”科目的数额计算填报，实行事业单位会计准则的纳税人根据“其他收入”科目中的投资收益金额分析填报，损失以“-”号填列。实行其他会计制度的纳税人比照填报。</w:t>
      </w:r>
    </w:p>
    <w:p>
      <w:pPr>
        <w:pStyle w:val="94"/>
        <w:ind w:firstLine="480"/>
        <w:rPr>
          <w:rFonts w:hint="eastAsia" w:ascii="宋体" w:hAnsi="宋体" w:eastAsia="宋体" w:cs="宋体"/>
        </w:rPr>
      </w:pPr>
      <w:r>
        <w:rPr>
          <w:rFonts w:hint="eastAsia" w:ascii="宋体" w:hAnsi="宋体" w:eastAsia="宋体" w:cs="宋体"/>
        </w:rPr>
        <w:t>10.第10行“营业利润”：填报纳税人当期的营业利润。根据上述项目计算填报。已执行《财政部关于修订印发2019年度一般企业财务报表格式的通知》（财会〔2019〕6号）和《财政部关于修订印发2018年度金融企业财务报表格式的通知》（财会〔2018〕36号）的纳税人，根据《利润表》对应项目填列，不执行本行计算规则。</w:t>
      </w:r>
    </w:p>
    <w:p>
      <w:pPr>
        <w:pStyle w:val="94"/>
        <w:ind w:firstLine="480"/>
        <w:rPr>
          <w:rFonts w:hint="eastAsia" w:ascii="宋体" w:hAnsi="宋体" w:eastAsia="宋体" w:cs="宋体"/>
        </w:rPr>
      </w:pPr>
      <w:r>
        <w:rPr>
          <w:rFonts w:hint="eastAsia" w:ascii="宋体" w:hAnsi="宋体" w:eastAsia="宋体" w:cs="宋体"/>
        </w:rPr>
        <w:t>11.第11行“营业外收入”：填报纳税人取得的与其经营活动无直接关系的各项收入的金额。一般企业纳税人根据《一般企业收入明细表》（A101010）填报；金融企业纳税人根据《金融企业收入明细表》(A101020)填报；实行事业单位会计准则或民间非营利组织会计制度的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12.第12行“营业外支出”：填报纳税人发生的与其经营活动无直接关系的各项支出的金额。一般企业纳税人根据《一般企业成本支出明细表》(A102010)填报；金融企业纳税人根据《金融企业支出明细表》(A102020)填报；实行事业单位会计准则或民间非营利组织会计制度的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13.第13行“利润总额”：填报纳税人当期的利润总额。根据上述项目计算填报。</w:t>
      </w:r>
    </w:p>
    <w:p>
      <w:pPr>
        <w:pStyle w:val="94"/>
        <w:ind w:firstLine="480"/>
        <w:rPr>
          <w:rFonts w:hint="eastAsia" w:ascii="宋体" w:hAnsi="宋体" w:eastAsia="宋体" w:cs="宋体"/>
        </w:rPr>
      </w:pPr>
      <w:r>
        <w:rPr>
          <w:rFonts w:hint="eastAsia" w:ascii="宋体" w:hAnsi="宋体" w:eastAsia="宋体" w:cs="宋体"/>
        </w:rPr>
        <w:t>14.第14行“境外所得”：填报已计入利润总额以及按照税法相关规定已在《纳税调整项目明细表》（A105000）进行纳税调整的境外所得金额。本行根据《境外所得纳税调整后所得明细表》(A108010)填报。</w:t>
      </w:r>
    </w:p>
    <w:p>
      <w:pPr>
        <w:pStyle w:val="94"/>
        <w:ind w:firstLine="480"/>
        <w:rPr>
          <w:rFonts w:hint="eastAsia" w:ascii="宋体" w:hAnsi="宋体" w:eastAsia="宋体" w:cs="宋体"/>
        </w:rPr>
      </w:pPr>
      <w:r>
        <w:rPr>
          <w:rFonts w:hint="eastAsia" w:ascii="宋体" w:hAnsi="宋体" w:eastAsia="宋体" w:cs="宋体"/>
        </w:rPr>
        <w:t>15.第15行“纳税调整增加额”：填报纳税人会计处理与税收规定不一致，进行纳税调整增加的金额。本行根据《纳税调整项目明细表》（A105000）“调增金额”列填报。</w:t>
      </w:r>
    </w:p>
    <w:p>
      <w:pPr>
        <w:pStyle w:val="94"/>
        <w:ind w:firstLine="480"/>
        <w:rPr>
          <w:rFonts w:hint="eastAsia" w:ascii="宋体" w:hAnsi="宋体" w:eastAsia="宋体" w:cs="宋体"/>
        </w:rPr>
      </w:pPr>
      <w:r>
        <w:rPr>
          <w:rFonts w:hint="eastAsia" w:ascii="宋体" w:hAnsi="宋体" w:eastAsia="宋体" w:cs="宋体"/>
        </w:rPr>
        <w:t>16.第16行“纳税调整减少额”：填报纳税人会计处理与税收规定不一致，进行纳税调整减少的金额。本行根据《纳税调整项目明细表》（A105000）“调减金额”列填报。</w:t>
      </w:r>
    </w:p>
    <w:p>
      <w:pPr>
        <w:pStyle w:val="94"/>
        <w:ind w:firstLine="480"/>
        <w:rPr>
          <w:rFonts w:hint="eastAsia" w:ascii="宋体" w:hAnsi="宋体" w:eastAsia="宋体" w:cs="宋体"/>
        </w:rPr>
      </w:pPr>
      <w:r>
        <w:rPr>
          <w:rFonts w:hint="eastAsia" w:ascii="宋体" w:hAnsi="宋体" w:eastAsia="宋体" w:cs="宋体"/>
        </w:rPr>
        <w:t>17.第17行“免税、减计收入及加计扣除”：填报属于税收规定免税收入、减计收入、加计扣除金额。本行根据《免税、减计收入及加计扣除优惠明细表》（A107010）填报。</w:t>
      </w:r>
    </w:p>
    <w:p>
      <w:pPr>
        <w:pStyle w:val="94"/>
        <w:ind w:firstLine="480"/>
        <w:rPr>
          <w:rFonts w:hint="eastAsia" w:ascii="宋体" w:hAnsi="宋体" w:eastAsia="宋体" w:cs="宋体"/>
        </w:rPr>
      </w:pPr>
      <w:r>
        <w:rPr>
          <w:rFonts w:hint="eastAsia" w:ascii="宋体" w:hAnsi="宋体" w:eastAsia="宋体" w:cs="宋体"/>
        </w:rPr>
        <w:t>18.第18行“境外应税所得抵减境内亏损”：当纳税人选择不用境外所得抵减境内亏损时，填报0；当纳税人选择用境外所得抵减境内亏损时，填报境外所得抵减当年度境内亏损的金额。用境外所得弥补以前年度境内亏损的,还需填报《企业所得税弥补亏损明细表》（A106000）和《境外所得税收抵免明细表》（A108000）。</w:t>
      </w:r>
    </w:p>
    <w:p>
      <w:pPr>
        <w:pStyle w:val="94"/>
        <w:ind w:firstLine="480"/>
        <w:rPr>
          <w:rFonts w:hint="eastAsia" w:ascii="宋体" w:hAnsi="宋体" w:eastAsia="宋体" w:cs="宋体"/>
        </w:rPr>
      </w:pPr>
      <w:r>
        <w:rPr>
          <w:rFonts w:hint="eastAsia" w:ascii="宋体" w:hAnsi="宋体" w:eastAsia="宋体" w:cs="宋体"/>
        </w:rPr>
        <w:t>19.第19行“纳税调整后所得”：填报纳税人经过纳税调整、税收优惠、境外所得计算后的所得额。</w:t>
      </w:r>
    </w:p>
    <w:p>
      <w:pPr>
        <w:pStyle w:val="94"/>
        <w:ind w:firstLine="480"/>
        <w:rPr>
          <w:rFonts w:hint="eastAsia" w:ascii="宋体" w:hAnsi="宋体" w:eastAsia="宋体" w:cs="宋体"/>
        </w:rPr>
      </w:pPr>
      <w:r>
        <w:rPr>
          <w:rFonts w:hint="eastAsia" w:ascii="宋体" w:hAnsi="宋体" w:eastAsia="宋体" w:cs="宋体"/>
        </w:rPr>
        <w:t>20.第20行“所得减免”：填报属于税收规定的所得减免金额。本行根据《所得减免优惠明细表》（A107020）填报。</w:t>
      </w:r>
    </w:p>
    <w:p>
      <w:pPr>
        <w:pStyle w:val="94"/>
        <w:ind w:firstLine="480"/>
        <w:rPr>
          <w:rFonts w:hint="eastAsia" w:ascii="宋体" w:hAnsi="宋体" w:eastAsia="宋体" w:cs="宋体"/>
        </w:rPr>
      </w:pPr>
      <w:r>
        <w:rPr>
          <w:rFonts w:hint="eastAsia" w:ascii="宋体" w:hAnsi="宋体" w:eastAsia="宋体" w:cs="宋体"/>
        </w:rPr>
        <w:t>21.第21行“弥补以前年度亏损”：填报纳税人按照税收规定可在税前弥补的以前年度亏损数额。本行根据《企业所得税弥补亏损明细表》（A106000）填报。</w:t>
      </w:r>
    </w:p>
    <w:p>
      <w:pPr>
        <w:pStyle w:val="94"/>
        <w:ind w:firstLine="480"/>
        <w:rPr>
          <w:rFonts w:hint="eastAsia" w:ascii="宋体" w:hAnsi="宋体" w:eastAsia="宋体" w:cs="宋体"/>
        </w:rPr>
      </w:pPr>
      <w:r>
        <w:rPr>
          <w:rFonts w:hint="eastAsia" w:ascii="宋体" w:hAnsi="宋体" w:eastAsia="宋体" w:cs="宋体"/>
        </w:rPr>
        <w:t>22.第22行“抵扣应纳税所得额”：填报根据税收规定应抵扣的应纳税所得额。本行根据《抵扣应纳税所得额明细表》（A107030）填报。</w:t>
      </w:r>
    </w:p>
    <w:p>
      <w:pPr>
        <w:pStyle w:val="94"/>
        <w:ind w:firstLine="480"/>
        <w:rPr>
          <w:rFonts w:hint="eastAsia" w:ascii="宋体" w:hAnsi="宋体" w:eastAsia="宋体" w:cs="宋体"/>
        </w:rPr>
      </w:pPr>
      <w:r>
        <w:rPr>
          <w:rFonts w:hint="eastAsia" w:ascii="宋体" w:hAnsi="宋体" w:eastAsia="宋体" w:cs="宋体"/>
        </w:rPr>
        <w:t>23.第23行“应纳税所得额”：填报第19-20-21-22行金额。按照上述行次顺序计算结果为负数的，本行按0填报。</w:t>
      </w:r>
    </w:p>
    <w:p>
      <w:pPr>
        <w:pStyle w:val="94"/>
        <w:ind w:firstLine="480"/>
        <w:rPr>
          <w:rFonts w:hint="eastAsia" w:ascii="宋体" w:hAnsi="宋体" w:eastAsia="宋体" w:cs="宋体"/>
        </w:rPr>
      </w:pPr>
      <w:r>
        <w:rPr>
          <w:rFonts w:hint="eastAsia" w:ascii="宋体" w:hAnsi="宋体" w:eastAsia="宋体" w:cs="宋体"/>
        </w:rPr>
        <w:t>24.第24行“税率”：填报税收规定的税率25%。</w:t>
      </w:r>
    </w:p>
    <w:p>
      <w:pPr>
        <w:pStyle w:val="94"/>
        <w:ind w:firstLine="480"/>
        <w:rPr>
          <w:rFonts w:hint="eastAsia" w:ascii="宋体" w:hAnsi="宋体" w:eastAsia="宋体" w:cs="宋体"/>
        </w:rPr>
      </w:pPr>
      <w:r>
        <w:rPr>
          <w:rFonts w:hint="eastAsia" w:ascii="宋体" w:hAnsi="宋体" w:eastAsia="宋体" w:cs="宋体"/>
        </w:rPr>
        <w:t>25.第25行“应纳所得税额”：填报第23×24行金额。</w:t>
      </w:r>
    </w:p>
    <w:p>
      <w:pPr>
        <w:pStyle w:val="94"/>
        <w:ind w:firstLine="480"/>
        <w:rPr>
          <w:rFonts w:hint="eastAsia" w:ascii="宋体" w:hAnsi="宋体" w:eastAsia="宋体" w:cs="宋体"/>
        </w:rPr>
      </w:pPr>
      <w:r>
        <w:rPr>
          <w:rFonts w:hint="eastAsia" w:ascii="宋体" w:hAnsi="宋体" w:eastAsia="宋体" w:cs="宋体"/>
        </w:rPr>
        <w:t>26.第26行“减免所得税额”：填报纳税人按税收规定实际减免的企业所得税额。本行根据《减免所得税优惠明细表》（A107040）填报。</w:t>
      </w:r>
    </w:p>
    <w:p>
      <w:pPr>
        <w:pStyle w:val="94"/>
        <w:ind w:firstLine="480"/>
        <w:rPr>
          <w:rFonts w:hint="eastAsia" w:ascii="宋体" w:hAnsi="宋体" w:eastAsia="宋体" w:cs="宋体"/>
        </w:rPr>
      </w:pPr>
      <w:r>
        <w:rPr>
          <w:rFonts w:hint="eastAsia" w:ascii="宋体" w:hAnsi="宋体" w:eastAsia="宋体" w:cs="宋体"/>
        </w:rPr>
        <w:t>27.第27行“抵免所得税额”：填报企业当年的应纳所得税额中抵免的金额。本行根据《税额抵免优惠明细表》（A107050）填报。</w:t>
      </w:r>
    </w:p>
    <w:p>
      <w:pPr>
        <w:pStyle w:val="94"/>
        <w:ind w:firstLine="480"/>
        <w:rPr>
          <w:rFonts w:hint="eastAsia" w:ascii="宋体" w:hAnsi="宋体" w:eastAsia="宋体" w:cs="宋体"/>
        </w:rPr>
      </w:pPr>
      <w:r>
        <w:rPr>
          <w:rFonts w:hint="eastAsia" w:ascii="宋体" w:hAnsi="宋体" w:eastAsia="宋体" w:cs="宋体"/>
        </w:rPr>
        <w:t>28.第28行“应纳税额”：填报第25-26-27行金额。</w:t>
      </w:r>
    </w:p>
    <w:p>
      <w:pPr>
        <w:pStyle w:val="94"/>
        <w:ind w:firstLine="480"/>
        <w:rPr>
          <w:rFonts w:hint="eastAsia" w:ascii="宋体" w:hAnsi="宋体" w:eastAsia="宋体" w:cs="宋体"/>
        </w:rPr>
      </w:pPr>
      <w:r>
        <w:rPr>
          <w:rFonts w:hint="eastAsia" w:ascii="宋体" w:hAnsi="宋体" w:eastAsia="宋体" w:cs="宋体"/>
        </w:rPr>
        <w:t>29.第29行“境外所得应纳所得税额”：填报纳税人来源于中国境外的所得，按照我国税收规定计算的应纳所得税额。本行根据《境外所得税收抵免明细表》（A108000）填报。</w:t>
      </w:r>
    </w:p>
    <w:p>
      <w:pPr>
        <w:pStyle w:val="94"/>
        <w:ind w:firstLine="480"/>
        <w:rPr>
          <w:rFonts w:hint="eastAsia" w:ascii="宋体" w:hAnsi="宋体" w:eastAsia="宋体" w:cs="宋体"/>
        </w:rPr>
      </w:pPr>
      <w:r>
        <w:rPr>
          <w:rFonts w:hint="eastAsia" w:ascii="宋体" w:hAnsi="宋体" w:eastAsia="宋体" w:cs="宋体"/>
        </w:rPr>
        <w:t>30.第30行“境外所得抵免所得税额”：填报纳税人来源于中国境外所得依照中国境外税收法律以及相关规定应缴纳并实际缴纳（包括视同已实际缴纳）的企业所得税性质的税款（准予抵免税款）。本行根据《境外所得税收抵免明细表》（A108000）填报。</w:t>
      </w:r>
    </w:p>
    <w:p>
      <w:pPr>
        <w:pStyle w:val="94"/>
        <w:ind w:firstLine="480"/>
        <w:rPr>
          <w:rFonts w:hint="eastAsia" w:ascii="宋体" w:hAnsi="宋体" w:eastAsia="宋体" w:cs="宋体"/>
        </w:rPr>
      </w:pPr>
      <w:r>
        <w:rPr>
          <w:rFonts w:hint="eastAsia" w:ascii="宋体" w:hAnsi="宋体" w:eastAsia="宋体" w:cs="宋体"/>
        </w:rPr>
        <w:t>31.第31行“实际应纳所得税额”：填报第28+29-30行金额。其中，跨地区经营企业类型为“分支机构（须进行完整年度申报并按比例纳税）”的纳税人，填报（第28+29-30行）×“分支机构就地纳税比例”金额。</w:t>
      </w:r>
    </w:p>
    <w:p>
      <w:pPr>
        <w:pStyle w:val="94"/>
        <w:ind w:firstLine="480"/>
        <w:rPr>
          <w:rFonts w:hint="eastAsia" w:ascii="宋体" w:hAnsi="宋体" w:eastAsia="宋体" w:cs="宋体"/>
        </w:rPr>
      </w:pPr>
      <w:r>
        <w:rPr>
          <w:rFonts w:hint="eastAsia" w:ascii="宋体" w:hAnsi="宋体" w:eastAsia="宋体" w:cs="宋体"/>
        </w:rPr>
        <w:t>32.第32行“本年累计实际已缴纳的所得税额”：填报纳税人按照税收规定本纳税年度已在月（季）度累计预缴的所得税额，包括按照税收规定的特定业务已预缴（征）的所得税额，建筑企业总机构直接管理的跨地区设立的项目部按规定向项目所在地主管税务机关预缴的所得税额。</w:t>
      </w:r>
    </w:p>
    <w:p>
      <w:pPr>
        <w:pStyle w:val="94"/>
        <w:ind w:firstLine="480"/>
        <w:rPr>
          <w:rFonts w:hint="eastAsia" w:ascii="宋体" w:hAnsi="宋体" w:eastAsia="宋体" w:cs="宋体"/>
        </w:rPr>
      </w:pPr>
      <w:r>
        <w:rPr>
          <w:rFonts w:hint="eastAsia" w:ascii="宋体" w:hAnsi="宋体" w:eastAsia="宋体" w:cs="宋体"/>
        </w:rPr>
        <w:t>33.第33行“本年应补（退）的所得税额”：填报第31-32行金额。</w:t>
      </w:r>
    </w:p>
    <w:p>
      <w:pPr>
        <w:pStyle w:val="94"/>
        <w:ind w:firstLine="480"/>
        <w:rPr>
          <w:rFonts w:hint="eastAsia" w:ascii="宋体" w:hAnsi="宋体" w:eastAsia="宋体" w:cs="宋体"/>
        </w:rPr>
      </w:pPr>
      <w:r>
        <w:rPr>
          <w:rFonts w:hint="eastAsia" w:ascii="宋体" w:hAnsi="宋体" w:eastAsia="宋体" w:cs="宋体"/>
        </w:rPr>
        <w:t>34.第34行“总机构分摊本年应补（退）所得税额”：填报汇总纳税的总机构按照税收规定在总机构所在地分摊本年应补（退）所得税额。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35.第35行“财政集中分配本年应补（退）所得税额”：填报汇总纳税的总机构按照税收规定财政集中分配本年应补（退）所得税款。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36.第36行“总机构主体生产经营部门分摊本年应补（退）所得税额”：填报汇总纳税的总机构所属的具有主体生产经营职能的部门按照税收规定应分摊的本年应补（退）所得税额。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37.第37行“减：民族自治地区企业所得税地方分享部分：□ 免征 □ 减征:减征幅度</w:t>
      </w:r>
      <w:r>
        <w:rPr>
          <w:rFonts w:hint="eastAsia" w:ascii="宋体" w:hAnsi="宋体" w:eastAsia="宋体" w:cs="宋体"/>
          <w:kern w:val="0"/>
          <w:sz w:val="20"/>
          <w:szCs w:val="20"/>
          <w:u w:val="single"/>
        </w:rPr>
        <w:t xml:space="preserve">   </w:t>
      </w:r>
      <w:r>
        <w:rPr>
          <w:rFonts w:hint="eastAsia" w:ascii="宋体" w:hAnsi="宋体" w:eastAsia="宋体" w:cs="宋体"/>
        </w:rPr>
        <w:t>%）”：根据《中华人民共和国企业所得税法》《中华人民共和国民族区域自治法》《财政部 国家税务总局关于贯彻落实国务院关于实施企业所得税过渡优惠政策有关问题的通知》（财税〔2008〕21号）等规定，实行民族区域自治的自治区、自治州、自治县的自治机关对本民族自治地方的企业应缴纳的企业所得税中属于地方分享的部分，可以决定减征或免征，自治州、自治县决定减征或者免征的，须报省、自治区、直辖市人民政府批准。</w:t>
      </w:r>
    </w:p>
    <w:p>
      <w:pPr>
        <w:pStyle w:val="94"/>
        <w:ind w:firstLine="480"/>
        <w:rPr>
          <w:rFonts w:hint="eastAsia" w:ascii="宋体" w:hAnsi="宋体" w:eastAsia="宋体" w:cs="宋体"/>
        </w:rPr>
      </w:pPr>
      <w:r>
        <w:rPr>
          <w:rFonts w:hint="eastAsia" w:ascii="宋体" w:hAnsi="宋体" w:eastAsia="宋体" w:cs="宋体"/>
        </w:rPr>
        <w:t>纳税人填报该行次时，根据享受政策的类型选择“免征”或“减征”，二者必选其一。选择“免征”是指免征企业所得税税收地方分享部分；选择“减征:减征幅度____%”是指减征企业所得税税收地方分享部分。此时需填写“减征幅度”，减征幅度填写范围为1至100，表示企业所得税税收地方分享部分的减征比例。例如：地方分享部分减半征收，则选择“减征”，并在“减征幅度”后填写“50%”。</w:t>
      </w:r>
    </w:p>
    <w:p>
      <w:pPr>
        <w:pStyle w:val="94"/>
        <w:ind w:firstLine="480"/>
        <w:rPr>
          <w:rFonts w:hint="eastAsia" w:ascii="宋体" w:hAnsi="宋体" w:eastAsia="宋体" w:cs="宋体"/>
        </w:rPr>
      </w:pPr>
      <w:r>
        <w:rPr>
          <w:rFonts w:hint="eastAsia" w:ascii="宋体" w:hAnsi="宋体" w:eastAsia="宋体" w:cs="宋体"/>
        </w:rPr>
        <w:t>企业类型为“非跨地区经营企业”的，本行填报“实际应纳所得税额”×40%×减征幅度-本年度预缴申报累计已减免的地方分享部分减免金额的余额。企业类型为“跨地区经营汇总纳税企业总机构”的，本行填报《跨地区经营汇总纳税企业年度分摊企业所得税明细表》（A109000）第20行“总机构因民族地方优惠调整分配金额”的金额。</w:t>
      </w:r>
    </w:p>
    <w:p>
      <w:pPr>
        <w:pStyle w:val="94"/>
        <w:ind w:firstLine="480"/>
        <w:rPr>
          <w:rFonts w:hint="eastAsia" w:ascii="宋体" w:hAnsi="宋体" w:eastAsia="宋体" w:cs="宋体"/>
        </w:rPr>
      </w:pPr>
      <w:r>
        <w:rPr>
          <w:rFonts w:hint="eastAsia" w:ascii="宋体" w:hAnsi="宋体" w:eastAsia="宋体" w:cs="宋体"/>
        </w:rPr>
        <w:t>38.第38行“十、本年实际应补（退）所得税额”：填报纳税人当期实际应补（退）的所得税额。企业类型为“非跨地区经营企业”的，本行填报第33-37行金额。企业类型为“跨地区经营汇总纳税企业总机构”的，本行填报《跨地区经营汇总纳税企业年度分摊企业所得税明细表》（A109000）第21行“八、总机构本年实际应补（退）所得税额”的金额。</w:t>
      </w:r>
    </w:p>
    <w:p>
      <w:pPr>
        <w:pStyle w:val="94"/>
        <w:ind w:firstLine="480"/>
        <w:outlineLvl w:val="0"/>
        <w:rPr>
          <w:rFonts w:hint="eastAsia" w:ascii="宋体" w:hAnsi="宋体" w:eastAsia="宋体" w:cs="宋体"/>
        </w:rPr>
      </w:pPr>
      <w:bookmarkStart w:id="69" w:name="_Toc1721528180_WPSOffice_Level1"/>
      <w:bookmarkStart w:id="70" w:name="_Toc838873667_WPSOffice_Level1"/>
      <w:r>
        <w:rPr>
          <w:rFonts w:hint="eastAsia" w:ascii="宋体" w:hAnsi="宋体" w:eastAsia="宋体" w:cs="宋体"/>
        </w:rPr>
        <w:t>二、表内、表间关系</w:t>
      </w:r>
      <w:bookmarkEnd w:id="69"/>
      <w:bookmarkEnd w:id="70"/>
    </w:p>
    <w:p>
      <w:pPr>
        <w:pStyle w:val="94"/>
        <w:ind w:firstLine="480"/>
        <w:outlineLvl w:val="1"/>
        <w:rPr>
          <w:rFonts w:hint="eastAsia" w:ascii="宋体" w:hAnsi="宋体" w:eastAsia="宋体" w:cs="宋体"/>
        </w:rPr>
      </w:pPr>
      <w:bookmarkStart w:id="71" w:name="_Toc1432589415_WPSOffice_Level2"/>
      <w:bookmarkStart w:id="72" w:name="_Toc426540113_WPSOffice_Level2"/>
      <w:r>
        <w:rPr>
          <w:rFonts w:hint="eastAsia" w:ascii="宋体" w:hAnsi="宋体" w:eastAsia="宋体" w:cs="宋体"/>
        </w:rPr>
        <w:t>（一）表内关系</w:t>
      </w:r>
      <w:bookmarkEnd w:id="71"/>
      <w:bookmarkEnd w:id="72"/>
    </w:p>
    <w:p>
      <w:pPr>
        <w:pStyle w:val="94"/>
        <w:ind w:firstLine="480"/>
        <w:rPr>
          <w:rFonts w:hint="eastAsia" w:ascii="宋体" w:hAnsi="宋体" w:eastAsia="宋体" w:cs="宋体"/>
        </w:rPr>
      </w:pPr>
      <w:r>
        <w:rPr>
          <w:rFonts w:hint="eastAsia" w:ascii="宋体" w:hAnsi="宋体" w:eastAsia="宋体" w:cs="宋体"/>
        </w:rPr>
        <w:t>1.第10行＝第1-2-3-4-5-6-7+8+9行。已执行财会〔2019〕6号和财会〔2018〕36号的纳税人，不执行本规则。</w:t>
      </w:r>
    </w:p>
    <w:p>
      <w:pPr>
        <w:pStyle w:val="94"/>
        <w:ind w:firstLine="480"/>
        <w:rPr>
          <w:rFonts w:hint="eastAsia" w:ascii="宋体" w:hAnsi="宋体" w:eastAsia="宋体" w:cs="宋体"/>
        </w:rPr>
      </w:pPr>
      <w:r>
        <w:rPr>
          <w:rFonts w:hint="eastAsia" w:ascii="宋体" w:hAnsi="宋体" w:eastAsia="宋体" w:cs="宋体"/>
        </w:rPr>
        <w:t>2.第13行＝第10+11-12行。</w:t>
      </w:r>
    </w:p>
    <w:p>
      <w:pPr>
        <w:pStyle w:val="94"/>
        <w:ind w:firstLine="480"/>
        <w:rPr>
          <w:rFonts w:hint="eastAsia" w:ascii="宋体" w:hAnsi="宋体" w:eastAsia="宋体" w:cs="宋体"/>
        </w:rPr>
      </w:pPr>
      <w:r>
        <w:rPr>
          <w:rFonts w:hint="eastAsia" w:ascii="宋体" w:hAnsi="宋体" w:eastAsia="宋体" w:cs="宋体"/>
        </w:rPr>
        <w:t>3.第19行＝第13-14+15-16-17+18行。</w:t>
      </w:r>
    </w:p>
    <w:p>
      <w:pPr>
        <w:pStyle w:val="94"/>
        <w:ind w:firstLine="480"/>
        <w:rPr>
          <w:rFonts w:hint="eastAsia" w:ascii="宋体" w:hAnsi="宋体" w:eastAsia="宋体" w:cs="宋体"/>
        </w:rPr>
      </w:pPr>
      <w:r>
        <w:rPr>
          <w:rFonts w:hint="eastAsia" w:ascii="宋体" w:hAnsi="宋体" w:eastAsia="宋体" w:cs="宋体"/>
        </w:rPr>
        <w:t>4.第23行＝第19-20-21-22行。</w:t>
      </w:r>
    </w:p>
    <w:p>
      <w:pPr>
        <w:pStyle w:val="94"/>
        <w:ind w:firstLine="480"/>
        <w:rPr>
          <w:rFonts w:hint="eastAsia" w:ascii="宋体" w:hAnsi="宋体" w:eastAsia="宋体" w:cs="宋体"/>
        </w:rPr>
      </w:pPr>
      <w:r>
        <w:rPr>
          <w:rFonts w:hint="eastAsia" w:ascii="宋体" w:hAnsi="宋体" w:eastAsia="宋体" w:cs="宋体"/>
        </w:rPr>
        <w:t>5.第25行＝第23×24行。</w:t>
      </w:r>
    </w:p>
    <w:p>
      <w:pPr>
        <w:pStyle w:val="94"/>
        <w:ind w:firstLine="480"/>
        <w:rPr>
          <w:rFonts w:hint="eastAsia" w:ascii="宋体" w:hAnsi="宋体" w:eastAsia="宋体" w:cs="宋体"/>
        </w:rPr>
      </w:pPr>
      <w:r>
        <w:rPr>
          <w:rFonts w:hint="eastAsia" w:ascii="宋体" w:hAnsi="宋体" w:eastAsia="宋体" w:cs="宋体"/>
        </w:rPr>
        <w:t>6.第28行＝第25-26-27行。</w:t>
      </w:r>
    </w:p>
    <w:p>
      <w:pPr>
        <w:pStyle w:val="94"/>
        <w:ind w:firstLine="480"/>
        <w:rPr>
          <w:rFonts w:hint="eastAsia" w:ascii="宋体" w:hAnsi="宋体" w:eastAsia="宋体" w:cs="宋体"/>
        </w:rPr>
      </w:pPr>
      <w:r>
        <w:rPr>
          <w:rFonts w:hint="eastAsia" w:ascii="宋体" w:hAnsi="宋体" w:eastAsia="宋体" w:cs="宋体"/>
        </w:rPr>
        <w:t>7.第31行＝第28+29-30行。其中，跨地区经营企业类型为“分支机构（须进行完整年度申报并按比例纳税）”的纳税人，第31行＝（第28+29-30行）×表A000000“102分支机构就地纳税比例”。</w:t>
      </w:r>
    </w:p>
    <w:p>
      <w:pPr>
        <w:pStyle w:val="94"/>
        <w:ind w:firstLine="480"/>
        <w:rPr>
          <w:rFonts w:hint="eastAsia" w:ascii="宋体" w:hAnsi="宋体" w:eastAsia="宋体" w:cs="宋体"/>
        </w:rPr>
      </w:pPr>
      <w:r>
        <w:rPr>
          <w:rFonts w:hint="eastAsia" w:ascii="宋体" w:hAnsi="宋体" w:eastAsia="宋体" w:cs="宋体"/>
        </w:rPr>
        <w:t>8.第33行＝第31-32行。</w:t>
      </w:r>
    </w:p>
    <w:p>
      <w:pPr>
        <w:pStyle w:val="94"/>
        <w:ind w:firstLine="480"/>
        <w:rPr>
          <w:rFonts w:hint="eastAsia" w:ascii="宋体" w:hAnsi="宋体" w:eastAsia="宋体" w:cs="宋体"/>
        </w:rPr>
      </w:pPr>
      <w:r>
        <w:rPr>
          <w:rFonts w:hint="eastAsia" w:ascii="宋体" w:hAnsi="宋体" w:eastAsia="宋体" w:cs="宋体"/>
        </w:rPr>
        <w:t>9.企业类型为“非跨地区经营企业”的，第38行＝第33-37行。</w:t>
      </w:r>
    </w:p>
    <w:p>
      <w:pPr>
        <w:pStyle w:val="94"/>
        <w:ind w:firstLine="480"/>
        <w:outlineLvl w:val="1"/>
        <w:rPr>
          <w:rFonts w:hint="eastAsia" w:ascii="宋体" w:hAnsi="宋体" w:eastAsia="宋体" w:cs="宋体"/>
        </w:rPr>
      </w:pPr>
      <w:bookmarkStart w:id="73" w:name="_Toc211959255_WPSOffice_Level2"/>
      <w:bookmarkStart w:id="74" w:name="_Toc992607885_WPSOffice_Level2"/>
      <w:r>
        <w:rPr>
          <w:rFonts w:hint="eastAsia" w:ascii="宋体" w:hAnsi="宋体" w:eastAsia="宋体" w:cs="宋体"/>
        </w:rPr>
        <w:t>（二）表间关系</w:t>
      </w:r>
      <w:bookmarkEnd w:id="73"/>
      <w:bookmarkEnd w:id="74"/>
    </w:p>
    <w:p>
      <w:pPr>
        <w:pStyle w:val="94"/>
        <w:ind w:firstLine="480"/>
        <w:rPr>
          <w:rFonts w:hint="eastAsia" w:ascii="宋体" w:hAnsi="宋体" w:eastAsia="宋体" w:cs="宋体"/>
        </w:rPr>
      </w:pPr>
      <w:r>
        <w:rPr>
          <w:rFonts w:hint="eastAsia" w:ascii="宋体" w:hAnsi="宋体" w:eastAsia="宋体" w:cs="宋体"/>
        </w:rPr>
        <w:t>1.第1行＝表A101010第1行或表A101020第1行或表A103000第2+3+4+5+6行或表A103000第11+12+13+14+15行。</w:t>
      </w:r>
    </w:p>
    <w:p>
      <w:pPr>
        <w:pStyle w:val="94"/>
        <w:ind w:firstLine="480"/>
        <w:rPr>
          <w:rFonts w:hint="eastAsia" w:ascii="宋体" w:hAnsi="宋体" w:eastAsia="宋体" w:cs="宋体"/>
        </w:rPr>
      </w:pPr>
      <w:r>
        <w:rPr>
          <w:rFonts w:hint="eastAsia" w:ascii="宋体" w:hAnsi="宋体" w:eastAsia="宋体" w:cs="宋体"/>
        </w:rPr>
        <w:t>2.第2行＝表A102010第1行或表A102020第1行或表A103000第19+20+21+22行或表A103000第25+26+27行。</w:t>
      </w:r>
    </w:p>
    <w:p>
      <w:pPr>
        <w:pStyle w:val="94"/>
        <w:ind w:firstLine="480"/>
        <w:rPr>
          <w:rFonts w:hint="eastAsia" w:ascii="宋体" w:hAnsi="宋体" w:eastAsia="宋体" w:cs="宋体"/>
        </w:rPr>
      </w:pPr>
      <w:r>
        <w:rPr>
          <w:rFonts w:hint="eastAsia" w:ascii="宋体" w:hAnsi="宋体" w:eastAsia="宋体" w:cs="宋体"/>
        </w:rPr>
        <w:t>3.第4行＝表A104000第26行第1列。</w:t>
      </w:r>
    </w:p>
    <w:p>
      <w:pPr>
        <w:pStyle w:val="94"/>
        <w:ind w:firstLine="480"/>
        <w:rPr>
          <w:rFonts w:hint="eastAsia" w:ascii="宋体" w:hAnsi="宋体" w:eastAsia="宋体" w:cs="宋体"/>
        </w:rPr>
      </w:pPr>
      <w:r>
        <w:rPr>
          <w:rFonts w:hint="eastAsia" w:ascii="宋体" w:hAnsi="宋体" w:eastAsia="宋体" w:cs="宋体"/>
        </w:rPr>
        <w:t>4.第5行＝表A104000第26行第3列。</w:t>
      </w:r>
    </w:p>
    <w:p>
      <w:pPr>
        <w:pStyle w:val="94"/>
        <w:ind w:firstLine="480"/>
        <w:rPr>
          <w:rFonts w:hint="eastAsia" w:ascii="宋体" w:hAnsi="宋体" w:eastAsia="宋体" w:cs="宋体"/>
        </w:rPr>
      </w:pPr>
      <w:r>
        <w:rPr>
          <w:rFonts w:hint="eastAsia" w:ascii="宋体" w:hAnsi="宋体" w:eastAsia="宋体" w:cs="宋体"/>
        </w:rPr>
        <w:t>5.第6行＝表A104000第26行第5列。</w:t>
      </w:r>
    </w:p>
    <w:p>
      <w:pPr>
        <w:pStyle w:val="94"/>
        <w:ind w:firstLine="480"/>
        <w:rPr>
          <w:rFonts w:hint="eastAsia" w:ascii="宋体" w:hAnsi="宋体" w:eastAsia="宋体" w:cs="宋体"/>
        </w:rPr>
      </w:pPr>
      <w:r>
        <w:rPr>
          <w:rFonts w:hint="eastAsia" w:ascii="宋体" w:hAnsi="宋体" w:eastAsia="宋体" w:cs="宋体"/>
        </w:rPr>
        <w:t>6.第9行＝表A103000第8行或者第16行（仅限于填报表A103000的纳税人，其他纳税人根据财务核算情况自行填写）。</w:t>
      </w:r>
    </w:p>
    <w:p>
      <w:pPr>
        <w:pStyle w:val="94"/>
        <w:ind w:firstLine="480"/>
        <w:rPr>
          <w:rFonts w:hint="eastAsia" w:ascii="宋体" w:hAnsi="宋体" w:eastAsia="宋体" w:cs="宋体"/>
        </w:rPr>
      </w:pPr>
      <w:r>
        <w:rPr>
          <w:rFonts w:hint="eastAsia" w:ascii="宋体" w:hAnsi="宋体" w:eastAsia="宋体" w:cs="宋体"/>
        </w:rPr>
        <w:t>7.第11行＝表A101010第16行或表A101020第35行或表A103000第9行或第17行。</w:t>
      </w:r>
    </w:p>
    <w:p>
      <w:pPr>
        <w:pStyle w:val="94"/>
        <w:ind w:firstLine="480"/>
        <w:rPr>
          <w:rFonts w:hint="eastAsia" w:ascii="宋体" w:hAnsi="宋体" w:eastAsia="宋体" w:cs="宋体"/>
        </w:rPr>
      </w:pPr>
      <w:r>
        <w:rPr>
          <w:rFonts w:hint="eastAsia" w:ascii="宋体" w:hAnsi="宋体" w:eastAsia="宋体" w:cs="宋体"/>
        </w:rPr>
        <w:t>8.第12行＝表A102010第16行或表A102020第33行或表A103000第23行或第28行。</w:t>
      </w:r>
    </w:p>
    <w:p>
      <w:pPr>
        <w:pStyle w:val="94"/>
        <w:ind w:firstLine="480"/>
        <w:rPr>
          <w:rFonts w:hint="eastAsia" w:ascii="宋体" w:hAnsi="宋体" w:eastAsia="宋体" w:cs="宋体"/>
        </w:rPr>
      </w:pPr>
      <w:r>
        <w:rPr>
          <w:rFonts w:hint="eastAsia" w:ascii="宋体" w:hAnsi="宋体" w:eastAsia="宋体" w:cs="宋体"/>
        </w:rPr>
        <w:t>9.第14行＝表A108010第14列合计-第11列合计。</w:t>
      </w:r>
    </w:p>
    <w:p>
      <w:pPr>
        <w:pStyle w:val="94"/>
        <w:ind w:firstLine="480"/>
        <w:rPr>
          <w:rFonts w:hint="eastAsia" w:ascii="宋体" w:hAnsi="宋体" w:eastAsia="宋体" w:cs="宋体"/>
        </w:rPr>
      </w:pPr>
      <w:r>
        <w:rPr>
          <w:rFonts w:hint="eastAsia" w:ascii="宋体" w:hAnsi="宋体" w:eastAsia="宋体" w:cs="宋体"/>
        </w:rPr>
        <w:t>10.第15行＝表A105000第46行第3列。</w:t>
      </w:r>
    </w:p>
    <w:p>
      <w:pPr>
        <w:pStyle w:val="94"/>
        <w:ind w:firstLine="480"/>
        <w:rPr>
          <w:rFonts w:hint="eastAsia" w:ascii="宋体" w:hAnsi="宋体" w:eastAsia="宋体" w:cs="宋体"/>
        </w:rPr>
      </w:pPr>
      <w:r>
        <w:rPr>
          <w:rFonts w:hint="eastAsia" w:ascii="宋体" w:hAnsi="宋体" w:eastAsia="宋体" w:cs="宋体"/>
        </w:rPr>
        <w:t>11.第16行＝表A105000第46行第4列。</w:t>
      </w:r>
    </w:p>
    <w:p>
      <w:pPr>
        <w:pStyle w:val="94"/>
        <w:ind w:firstLine="480"/>
        <w:rPr>
          <w:rFonts w:hint="eastAsia" w:ascii="宋体" w:hAnsi="宋体" w:eastAsia="宋体" w:cs="宋体"/>
        </w:rPr>
      </w:pPr>
      <w:r>
        <w:rPr>
          <w:rFonts w:hint="eastAsia" w:ascii="宋体" w:hAnsi="宋体" w:eastAsia="宋体" w:cs="宋体"/>
        </w:rPr>
        <w:t>12.第17行＝表A107010第31行。</w:t>
      </w:r>
    </w:p>
    <w:p>
      <w:pPr>
        <w:pStyle w:val="94"/>
        <w:ind w:firstLine="480"/>
        <w:rPr>
          <w:rFonts w:hint="eastAsia" w:ascii="宋体" w:hAnsi="宋体" w:eastAsia="宋体" w:cs="宋体"/>
        </w:rPr>
      </w:pPr>
      <w:r>
        <w:rPr>
          <w:rFonts w:hint="eastAsia" w:ascii="宋体" w:hAnsi="宋体" w:eastAsia="宋体" w:cs="宋体"/>
        </w:rPr>
        <w:t>13.第18行：</w:t>
      </w:r>
    </w:p>
    <w:p>
      <w:pPr>
        <w:pStyle w:val="94"/>
        <w:ind w:left="1545" w:leftChars="450" w:hanging="600" w:hangingChars="250"/>
        <w:rPr>
          <w:rFonts w:hint="eastAsia" w:ascii="宋体" w:hAnsi="宋体" w:eastAsia="宋体" w:cs="宋体"/>
        </w:rPr>
      </w:pPr>
      <w:r>
        <w:rPr>
          <w:rFonts w:hint="eastAsia" w:ascii="宋体" w:hAnsi="宋体" w:eastAsia="宋体" w:cs="宋体"/>
        </w:rPr>
        <w:t>（1）当第13-14+15-16-17行≥0,第18行＝0；</w:t>
      </w:r>
    </w:p>
    <w:p>
      <w:pPr>
        <w:pStyle w:val="94"/>
        <w:ind w:left="1545" w:leftChars="450" w:hanging="600" w:hangingChars="250"/>
        <w:rPr>
          <w:rFonts w:hint="eastAsia" w:ascii="宋体" w:hAnsi="宋体" w:eastAsia="宋体" w:cs="宋体"/>
        </w:rPr>
      </w:pPr>
      <w:r>
        <w:rPr>
          <w:rFonts w:hint="eastAsia" w:ascii="宋体" w:hAnsi="宋体" w:eastAsia="宋体" w:cs="宋体"/>
        </w:rPr>
        <w:t>（2）当第13-14+15-16-17＜0且表A108000第5列合计行≥0,表A108000第6列合计行＞0时,第18行＝表A108000第5列合计行与表A100000第13-14+15-16-17行绝对值的孰小值；</w:t>
      </w:r>
    </w:p>
    <w:p>
      <w:pPr>
        <w:pStyle w:val="94"/>
        <w:ind w:left="1545" w:leftChars="450" w:hanging="600" w:hangingChars="250"/>
        <w:rPr>
          <w:rFonts w:hint="eastAsia" w:ascii="宋体" w:hAnsi="宋体" w:eastAsia="宋体" w:cs="宋体"/>
        </w:rPr>
      </w:pPr>
      <w:r>
        <w:rPr>
          <w:rFonts w:hint="eastAsia" w:ascii="宋体" w:hAnsi="宋体" w:eastAsia="宋体" w:cs="宋体"/>
        </w:rPr>
        <w:t>（3）当第13-14+15-16-17＜0且表A108000第5列合计行≥0,表A108000第6列合计行＝0时,第18行＝0。</w:t>
      </w:r>
    </w:p>
    <w:p>
      <w:pPr>
        <w:pStyle w:val="94"/>
        <w:ind w:firstLine="480"/>
        <w:rPr>
          <w:rFonts w:hint="eastAsia" w:ascii="宋体" w:hAnsi="宋体" w:eastAsia="宋体" w:cs="宋体"/>
        </w:rPr>
      </w:pPr>
      <w:r>
        <w:rPr>
          <w:rFonts w:hint="eastAsia" w:ascii="宋体" w:hAnsi="宋体" w:eastAsia="宋体" w:cs="宋体"/>
        </w:rPr>
        <w:t>14.第20行：</w:t>
      </w:r>
    </w:p>
    <w:p>
      <w:pPr>
        <w:pStyle w:val="94"/>
        <w:ind w:left="315" w:leftChars="150" w:firstLine="480"/>
        <w:rPr>
          <w:rFonts w:hint="eastAsia" w:ascii="宋体" w:hAnsi="宋体" w:eastAsia="宋体" w:cs="宋体"/>
        </w:rPr>
      </w:pPr>
      <w:r>
        <w:rPr>
          <w:rFonts w:hint="eastAsia" w:ascii="宋体" w:hAnsi="宋体" w:eastAsia="宋体" w:cs="宋体"/>
        </w:rPr>
        <w:t>当第19行≤0时，第20行＝0；</w:t>
      </w:r>
    </w:p>
    <w:p>
      <w:pPr>
        <w:pStyle w:val="94"/>
        <w:ind w:left="315" w:leftChars="150" w:firstLine="480"/>
        <w:rPr>
          <w:rFonts w:hint="eastAsia" w:ascii="宋体" w:hAnsi="宋体" w:eastAsia="宋体" w:cs="宋体"/>
        </w:rPr>
      </w:pPr>
      <w:r>
        <w:rPr>
          <w:rFonts w:hint="eastAsia" w:ascii="宋体" w:hAnsi="宋体" w:eastAsia="宋体" w:cs="宋体"/>
        </w:rPr>
        <w:t>当第19行＞0时，</w:t>
      </w:r>
    </w:p>
    <w:p>
      <w:pPr>
        <w:pStyle w:val="94"/>
        <w:ind w:left="1545" w:leftChars="450" w:hanging="600" w:hangingChars="250"/>
        <w:rPr>
          <w:rFonts w:hint="eastAsia" w:ascii="宋体" w:hAnsi="宋体" w:eastAsia="宋体" w:cs="宋体"/>
        </w:rPr>
      </w:pPr>
      <w:r>
        <w:rPr>
          <w:rFonts w:hint="eastAsia" w:ascii="宋体" w:hAnsi="宋体" w:eastAsia="宋体" w:cs="宋体"/>
        </w:rPr>
        <w:t>（1）第19行≥表A107020合计行第11列，第20行＝表A107020合计行第11列；</w:t>
      </w:r>
    </w:p>
    <w:p>
      <w:pPr>
        <w:pStyle w:val="94"/>
        <w:ind w:left="1545" w:leftChars="450" w:hanging="600" w:hangingChars="250"/>
        <w:rPr>
          <w:rFonts w:hint="eastAsia" w:ascii="宋体" w:hAnsi="宋体" w:eastAsia="宋体" w:cs="宋体"/>
        </w:rPr>
      </w:pPr>
      <w:r>
        <w:rPr>
          <w:rFonts w:hint="eastAsia" w:ascii="宋体" w:hAnsi="宋体" w:eastAsia="宋体" w:cs="宋体"/>
        </w:rPr>
        <w:t>（2）第19行＜表A107020合计行第11列，第20行＝第19行。</w:t>
      </w:r>
    </w:p>
    <w:p>
      <w:pPr>
        <w:pStyle w:val="94"/>
        <w:ind w:firstLine="480"/>
        <w:rPr>
          <w:rFonts w:hint="eastAsia" w:ascii="宋体" w:hAnsi="宋体" w:eastAsia="宋体" w:cs="宋体"/>
        </w:rPr>
      </w:pPr>
      <w:r>
        <w:rPr>
          <w:rFonts w:hint="eastAsia" w:ascii="宋体" w:hAnsi="宋体" w:eastAsia="宋体" w:cs="宋体"/>
        </w:rPr>
        <w:t>15.第21行＝表A106000第11行第10列。</w:t>
      </w:r>
    </w:p>
    <w:p>
      <w:pPr>
        <w:pStyle w:val="94"/>
        <w:ind w:firstLine="480"/>
        <w:rPr>
          <w:rFonts w:hint="eastAsia" w:ascii="宋体" w:hAnsi="宋体" w:eastAsia="宋体" w:cs="宋体"/>
        </w:rPr>
      </w:pPr>
      <w:r>
        <w:rPr>
          <w:rFonts w:hint="eastAsia" w:ascii="宋体" w:hAnsi="宋体" w:eastAsia="宋体" w:cs="宋体"/>
        </w:rPr>
        <w:t>16.第22行＝表A107030第15行第1列。</w:t>
      </w:r>
    </w:p>
    <w:p>
      <w:pPr>
        <w:pStyle w:val="94"/>
        <w:ind w:firstLine="480"/>
        <w:rPr>
          <w:rFonts w:hint="eastAsia" w:ascii="宋体" w:hAnsi="宋体" w:eastAsia="宋体" w:cs="宋体"/>
        </w:rPr>
      </w:pPr>
      <w:r>
        <w:rPr>
          <w:rFonts w:hint="eastAsia" w:ascii="宋体" w:hAnsi="宋体" w:eastAsia="宋体" w:cs="宋体"/>
        </w:rPr>
        <w:t>17.第26行＝表A107040第33行。</w:t>
      </w:r>
    </w:p>
    <w:p>
      <w:pPr>
        <w:pStyle w:val="94"/>
        <w:ind w:firstLine="480"/>
        <w:rPr>
          <w:rFonts w:hint="eastAsia" w:ascii="宋体" w:hAnsi="宋体" w:eastAsia="宋体" w:cs="宋体"/>
        </w:rPr>
      </w:pPr>
      <w:r>
        <w:rPr>
          <w:rFonts w:hint="eastAsia" w:ascii="宋体" w:hAnsi="宋体" w:eastAsia="宋体" w:cs="宋体"/>
        </w:rPr>
        <w:t>18.第27行＝表A107050第7行第11列。</w:t>
      </w:r>
    </w:p>
    <w:p>
      <w:pPr>
        <w:pStyle w:val="94"/>
        <w:ind w:firstLine="480"/>
        <w:rPr>
          <w:rFonts w:hint="eastAsia" w:ascii="宋体" w:hAnsi="宋体" w:eastAsia="宋体" w:cs="宋体"/>
        </w:rPr>
      </w:pPr>
      <w:r>
        <w:rPr>
          <w:rFonts w:hint="eastAsia" w:ascii="宋体" w:hAnsi="宋体" w:eastAsia="宋体" w:cs="宋体"/>
        </w:rPr>
        <w:t>19.第29行＝表A108000合计行第9列。</w:t>
      </w:r>
    </w:p>
    <w:p>
      <w:pPr>
        <w:pStyle w:val="94"/>
        <w:ind w:firstLine="480"/>
        <w:rPr>
          <w:rFonts w:hint="eastAsia" w:ascii="宋体" w:hAnsi="宋体" w:eastAsia="宋体" w:cs="宋体"/>
        </w:rPr>
      </w:pPr>
      <w:r>
        <w:rPr>
          <w:rFonts w:hint="eastAsia" w:ascii="宋体" w:hAnsi="宋体" w:eastAsia="宋体" w:cs="宋体"/>
        </w:rPr>
        <w:t>20.第30行＝表A108000合计行第19列。</w:t>
      </w:r>
    </w:p>
    <w:p>
      <w:pPr>
        <w:pStyle w:val="94"/>
        <w:ind w:firstLine="480"/>
        <w:rPr>
          <w:rFonts w:hint="eastAsia" w:ascii="宋体" w:hAnsi="宋体" w:eastAsia="宋体" w:cs="宋体"/>
        </w:rPr>
      </w:pPr>
      <w:r>
        <w:rPr>
          <w:rFonts w:hint="eastAsia" w:ascii="宋体" w:hAnsi="宋体" w:eastAsia="宋体" w:cs="宋体"/>
        </w:rPr>
        <w:t>21.第34行＝表A109000第12+16行。</w:t>
      </w:r>
    </w:p>
    <w:p>
      <w:pPr>
        <w:pStyle w:val="94"/>
        <w:ind w:firstLine="480"/>
        <w:rPr>
          <w:rFonts w:hint="eastAsia" w:ascii="宋体" w:hAnsi="宋体" w:eastAsia="宋体" w:cs="宋体"/>
        </w:rPr>
      </w:pPr>
      <w:r>
        <w:rPr>
          <w:rFonts w:hint="eastAsia" w:ascii="宋体" w:hAnsi="宋体" w:eastAsia="宋体" w:cs="宋体"/>
        </w:rPr>
        <w:t>22.第35行＝表A109000第13行。</w:t>
      </w:r>
    </w:p>
    <w:p>
      <w:pPr>
        <w:pStyle w:val="94"/>
        <w:ind w:firstLine="480"/>
        <w:rPr>
          <w:rFonts w:hint="eastAsia" w:ascii="宋体" w:hAnsi="宋体" w:eastAsia="宋体" w:cs="宋体"/>
        </w:rPr>
      </w:pPr>
      <w:r>
        <w:rPr>
          <w:rFonts w:hint="eastAsia" w:ascii="宋体" w:hAnsi="宋体" w:eastAsia="宋体" w:cs="宋体"/>
        </w:rPr>
        <w:t>23.第36行＝表A109000第15行。</w:t>
      </w:r>
    </w:p>
    <w:p>
      <w:pPr>
        <w:pStyle w:val="94"/>
        <w:ind w:firstLine="480"/>
        <w:rPr>
          <w:rFonts w:hint="eastAsia" w:ascii="宋体" w:hAnsi="宋体" w:eastAsia="宋体" w:cs="宋体"/>
        </w:rPr>
      </w:pPr>
      <w:r>
        <w:rPr>
          <w:rFonts w:hint="eastAsia" w:ascii="宋体" w:hAnsi="宋体" w:eastAsia="宋体" w:cs="宋体"/>
        </w:rPr>
        <w:t>24.企业类型为“跨地区经营汇总纳税企业总机构”的，第37行＝表A109000第20行。</w:t>
      </w:r>
    </w:p>
    <w:p>
      <w:pPr>
        <w:pStyle w:val="94"/>
        <w:ind w:firstLine="480"/>
        <w:rPr>
          <w:rFonts w:hint="eastAsia" w:ascii="宋体" w:hAnsi="宋体" w:eastAsia="宋体" w:cs="宋体"/>
        </w:rPr>
      </w:pPr>
      <w:r>
        <w:rPr>
          <w:rFonts w:hint="eastAsia" w:ascii="宋体" w:hAnsi="宋体" w:eastAsia="宋体" w:cs="宋体"/>
        </w:rPr>
        <w:t>25.企业类型为“跨地区经营汇总纳税企业总机构”的，第38行＝表A109000第21行。</w:t>
      </w:r>
    </w:p>
    <w:p>
      <w:pPr>
        <w:rPr>
          <w:rFonts w:hint="eastAsia"/>
        </w:rPr>
      </w:pPr>
      <w:r>
        <w:rPr>
          <w:rFonts w:hint="eastAsia"/>
        </w:rPr>
        <w:br w:type="page"/>
      </w:r>
    </w:p>
    <w:p>
      <w:pPr>
        <w:pStyle w:val="66"/>
      </w:pPr>
      <w:bookmarkStart w:id="75" w:name="_Toc27778"/>
      <w:r>
        <w:rPr>
          <w:rFonts w:hint="eastAsia"/>
        </w:rPr>
        <w:t>A101010</w:t>
      </w:r>
      <w:r>
        <w:tab/>
      </w:r>
      <w:r>
        <w:rPr>
          <w:rFonts w:hint="eastAsia"/>
        </w:rPr>
        <w:t>一般企业收入明细表</w:t>
      </w:r>
      <w:bookmarkEnd w:id="75"/>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921898314"/>
              </w:rPr>
              <w:t>金</w:t>
            </w:r>
            <w:r>
              <w:rPr>
                <w:rFonts w:hint="eastAsia" w:ascii="宋体" w:hAnsi="宋体" w:cs="宋体"/>
                <w:spacing w:val="0"/>
                <w:kern w:val="0"/>
                <w:sz w:val="20"/>
                <w:szCs w:val="20"/>
                <w:fitText w:val="1000" w:id="921898314"/>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一、营业收入（2+9）</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（一）主营业务收入（3+5+6+7+8）</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2.提供劳务收入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3.建造合同收入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4.让渡资产使用权收入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（二）其他业务收入（10+12+13+14+15）</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1.销售材料收入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2.出租固定资产收入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3.出租无形资产收入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4.出租包装物和商品收入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二、营业外收入（17+18+19+20+21+22+23+24+25+26）</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（三）债务重组利得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（四）政府补助利得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（五）盘盈利得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（六）捐赠利得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（七）罚没利得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（八）确实无法偿付的应付款项</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（九）汇兑收益</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94"/>
        <w:ind w:firstLine="480"/>
        <w:rPr>
          <w:rFonts w:hint="eastAsia" w:ascii="宋体" w:hAnsi="宋体" w:eastAsia="宋体" w:cs="宋体"/>
        </w:rPr>
        <w:sectPr>
          <w:type w:val="evenPage"/>
          <w:pgSz w:w="11906" w:h="16838"/>
          <w:pgMar w:top="1928" w:right="1418" w:bottom="1985" w:left="1418" w:header="851" w:footer="992" w:gutter="113"/>
          <w:pgNumType w:fmt="decimal"/>
          <w:cols w:space="720" w:num="1"/>
          <w:docGrid w:linePitch="312" w:charSpace="0"/>
        </w:sectPr>
      </w:pPr>
    </w:p>
    <w:p>
      <w:pPr>
        <w:pStyle w:val="88"/>
        <w:spacing w:before="240" w:after="360"/>
        <w:rPr>
          <w:rFonts w:ascii="宋体" w:eastAsia="宋体"/>
          <w:b/>
        </w:rPr>
      </w:pPr>
      <w:bookmarkStart w:id="76" w:name="_Toc7351"/>
      <w:r>
        <w:rPr>
          <w:rFonts w:ascii="宋体" w:eastAsia="宋体"/>
          <w:b/>
        </w:rPr>
        <w:t>A10101</w:t>
      </w:r>
      <w:r>
        <w:rPr>
          <w:rFonts w:hint="eastAsia" w:ascii="宋体" w:eastAsia="宋体"/>
          <w:b/>
        </w:rPr>
        <w:t>0《一般企业收入明细表》填报说明</w:t>
      </w:r>
      <w:bookmarkEnd w:id="62"/>
      <w:bookmarkEnd w:id="76"/>
    </w:p>
    <w:p>
      <w:pPr>
        <w:pStyle w:val="65"/>
      </w:pPr>
      <w:r>
        <w:rPr>
          <w:rFonts w:hint="eastAsia"/>
        </w:rPr>
        <w:t>本表适用于除金融企业、事业单位和民间非营利组织外的企业填报。纳税人应根据国家统一会计制度的规定，填报“主营业务收入”“其他业务收入”和“营业外收入”。</w:t>
      </w:r>
    </w:p>
    <w:p>
      <w:pPr>
        <w:pStyle w:val="69"/>
        <w:ind w:firstLine="482"/>
        <w:outlineLvl w:val="0"/>
      </w:pPr>
      <w:bookmarkStart w:id="77" w:name="_Toc393480186"/>
      <w:r>
        <w:rPr>
          <w:rFonts w:hint="eastAsia"/>
        </w:rPr>
        <w:t>一、有关项目填报说明</w:t>
      </w:r>
      <w:bookmarkEnd w:id="77"/>
    </w:p>
    <w:p>
      <w:pPr>
        <w:pStyle w:val="65"/>
      </w:pPr>
      <w:r>
        <w:t>1</w:t>
      </w:r>
      <w:r>
        <w:rPr>
          <w:rFonts w:hint="eastAsia"/>
        </w:rPr>
        <w:t>.第</w:t>
      </w:r>
      <w:r>
        <w:t>1</w:t>
      </w:r>
      <w:r>
        <w:rPr>
          <w:rFonts w:hint="eastAsia"/>
        </w:rPr>
        <w:t>行“营业收入”：根据主营业务收入、其他业务收入的数额计算填报。</w:t>
      </w:r>
    </w:p>
    <w:p>
      <w:pPr>
        <w:pStyle w:val="65"/>
      </w:pPr>
      <w:r>
        <w:t>2.</w:t>
      </w:r>
      <w:r>
        <w:rPr>
          <w:rFonts w:hint="eastAsia"/>
        </w:rPr>
        <w:t>第</w:t>
      </w:r>
      <w:r>
        <w:t>2</w:t>
      </w:r>
      <w:r>
        <w:rPr>
          <w:rFonts w:hint="eastAsia"/>
        </w:rPr>
        <w:t>行“主营业务收入”：根据不同行业的业务性质分别填报纳税人核算的主营业务收入。</w:t>
      </w:r>
    </w:p>
    <w:p>
      <w:pPr>
        <w:pStyle w:val="65"/>
      </w:pPr>
      <w:r>
        <w:rPr>
          <w:rFonts w:cs="宋体"/>
        </w:rPr>
        <w:t>3.</w:t>
      </w:r>
      <w:r>
        <w:rPr>
          <w:rFonts w:hint="eastAsia" w:cs="宋体"/>
        </w:rPr>
        <w:t>第</w:t>
      </w:r>
      <w:r>
        <w:rPr>
          <w:rFonts w:cs="宋体"/>
        </w:rPr>
        <w:t>3</w:t>
      </w:r>
      <w:r>
        <w:rPr>
          <w:rFonts w:hint="eastAsia" w:cs="宋体"/>
        </w:rPr>
        <w:t>行“销售商品收入”：</w:t>
      </w:r>
      <w:r>
        <w:rPr>
          <w:rFonts w:hint="eastAsia"/>
        </w:rPr>
        <w:t>填报纳税人从事工业制造、商品流通、农业生产以及其他商品销售活动取得的主营业务收入。房地产开发企业销售开发产品（销售未完工开发产品除外）取得的收入也在此行填报。</w:t>
      </w:r>
    </w:p>
    <w:p>
      <w:pPr>
        <w:pStyle w:val="65"/>
      </w:pPr>
      <w:r>
        <w:rPr>
          <w:rFonts w:cs="宋体"/>
        </w:rPr>
        <w:t>4.</w:t>
      </w:r>
      <w:r>
        <w:rPr>
          <w:rFonts w:hint="eastAsia" w:cs="宋体"/>
        </w:rPr>
        <w:t>第</w:t>
      </w:r>
      <w:r>
        <w:rPr>
          <w:rFonts w:cs="宋体"/>
        </w:rPr>
        <w:t>4</w:t>
      </w:r>
      <w:r>
        <w:rPr>
          <w:rFonts w:hint="eastAsia" w:cs="宋体"/>
        </w:rPr>
        <w:t>行“其中：非货币性资产交换收入”：填报纳税人发生的非货币性资产交换按照国家统一会计制度应确认的销售商品收入。</w:t>
      </w:r>
    </w:p>
    <w:p>
      <w:pPr>
        <w:pStyle w:val="65"/>
      </w:pPr>
      <w:r>
        <w:rPr>
          <w:rFonts w:cs="宋体"/>
        </w:rPr>
        <w:t>5.</w:t>
      </w:r>
      <w:r>
        <w:rPr>
          <w:rFonts w:hint="eastAsia" w:cs="宋体"/>
        </w:rPr>
        <w:t>第</w:t>
      </w:r>
      <w:r>
        <w:rPr>
          <w:rFonts w:cs="宋体"/>
        </w:rPr>
        <w:t>5</w:t>
      </w:r>
      <w:r>
        <w:rPr>
          <w:rFonts w:hint="eastAsia" w:cs="宋体"/>
        </w:rPr>
        <w:t>行“提供劳务收入”：</w:t>
      </w:r>
      <w:r>
        <w:rPr>
          <w:rFonts w:hint="eastAsia"/>
        </w:rPr>
        <w:t>填报纳税人从事建筑安装、修理修配、交通运输、仓储租赁、邮电通信、咨询经纪、文化体育、科学研究、技术服务、教育培训、餐饮住宿、中介代理、卫生保健、社区服务、旅游、娱乐、加工以及其他劳务活动取得的主营业务收入。</w:t>
      </w:r>
    </w:p>
    <w:p>
      <w:pPr>
        <w:pStyle w:val="65"/>
      </w:pPr>
      <w:r>
        <w:rPr>
          <w:rFonts w:cs="宋体"/>
        </w:rPr>
        <w:t>6.</w:t>
      </w:r>
      <w:r>
        <w:rPr>
          <w:rFonts w:hint="eastAsia" w:cs="宋体"/>
        </w:rPr>
        <w:t>第</w:t>
      </w:r>
      <w:r>
        <w:rPr>
          <w:rFonts w:cs="宋体"/>
        </w:rPr>
        <w:t>6</w:t>
      </w:r>
      <w:r>
        <w:rPr>
          <w:rFonts w:hint="eastAsia" w:cs="宋体"/>
        </w:rPr>
        <w:t>行“建造合同收入”：填报纳税人建造房屋、道路、桥梁、水坝等建筑物，以及生产船舶、飞机、大型机械设备等取得的主营业务收入。</w:t>
      </w:r>
    </w:p>
    <w:p>
      <w:pPr>
        <w:pStyle w:val="65"/>
      </w:pPr>
      <w:r>
        <w:t>7.</w:t>
      </w:r>
      <w:r>
        <w:rPr>
          <w:rFonts w:hint="eastAsia"/>
        </w:rPr>
        <w:t>第</w:t>
      </w:r>
      <w:r>
        <w:t>7</w:t>
      </w:r>
      <w:r>
        <w:rPr>
          <w:rFonts w:hint="eastAsia"/>
        </w:rPr>
        <w:t>行“让渡资产使用权收入”：填报纳税人在主营业务收入核算的，让渡无形资产使用权而取得的使用费收入以及出租固定资产、无形资产、投资性房地产取得的租金收入。</w:t>
      </w:r>
    </w:p>
    <w:p>
      <w:pPr>
        <w:pStyle w:val="65"/>
      </w:pPr>
      <w:r>
        <w:rPr>
          <w:rFonts w:cs="宋体"/>
        </w:rPr>
        <w:t>8.</w:t>
      </w:r>
      <w:r>
        <w:rPr>
          <w:rFonts w:hint="eastAsia" w:cs="宋体"/>
        </w:rPr>
        <w:t>第</w:t>
      </w:r>
      <w:r>
        <w:rPr>
          <w:rFonts w:cs="宋体"/>
        </w:rPr>
        <w:t>8</w:t>
      </w:r>
      <w:r>
        <w:rPr>
          <w:rFonts w:hint="eastAsia" w:cs="宋体"/>
        </w:rPr>
        <w:t>行“其他”：填报纳税人按照国家统一会计制度核算、上述未列举的其他主营业务收入。</w:t>
      </w:r>
    </w:p>
    <w:p>
      <w:pPr>
        <w:pStyle w:val="65"/>
      </w:pPr>
      <w:r>
        <w:rPr>
          <w:rFonts w:cs="宋体"/>
        </w:rPr>
        <w:t>9.</w:t>
      </w:r>
      <w:r>
        <w:rPr>
          <w:rFonts w:hint="eastAsia" w:cs="宋体"/>
        </w:rPr>
        <w:t>第</w:t>
      </w:r>
      <w:r>
        <w:rPr>
          <w:rFonts w:cs="宋体"/>
        </w:rPr>
        <w:t>9</w:t>
      </w:r>
      <w:r>
        <w:rPr>
          <w:rFonts w:hint="eastAsia" w:cs="宋体"/>
        </w:rPr>
        <w:t>行“其他业务收入”：填报根据不同行业的业务性质分别填报纳税人核算的其他业务收入。</w:t>
      </w:r>
    </w:p>
    <w:p>
      <w:pPr>
        <w:pStyle w:val="65"/>
        <w:rPr>
          <w:rFonts w:cs="宋体"/>
        </w:rPr>
      </w:pPr>
      <w:r>
        <w:rPr>
          <w:rFonts w:cs="宋体"/>
        </w:rPr>
        <w:t>10.</w:t>
      </w:r>
      <w:r>
        <w:rPr>
          <w:rFonts w:hint="eastAsia" w:cs="宋体"/>
        </w:rPr>
        <w:t>第</w:t>
      </w:r>
      <w:r>
        <w:rPr>
          <w:rFonts w:cs="宋体"/>
        </w:rPr>
        <w:t>10</w:t>
      </w:r>
      <w:r>
        <w:rPr>
          <w:rFonts w:hint="eastAsia" w:cs="宋体"/>
        </w:rPr>
        <w:t>行“销售材料收入”：填报纳税人销售材料、下脚料、废料、废旧物资等取得的收入。</w:t>
      </w:r>
    </w:p>
    <w:p>
      <w:pPr>
        <w:pStyle w:val="65"/>
      </w:pPr>
      <w:r>
        <w:t>11</w:t>
      </w:r>
      <w:r>
        <w:rPr>
          <w:rFonts w:hint="eastAsia"/>
        </w:rPr>
        <w:t>.第</w:t>
      </w:r>
      <w:r>
        <w:t>11</w:t>
      </w:r>
      <w:r>
        <w:rPr>
          <w:rFonts w:hint="eastAsia"/>
        </w:rPr>
        <w:t>行“其中：非货币性资产交换收入”：</w:t>
      </w:r>
      <w:r>
        <w:rPr>
          <w:rFonts w:hint="eastAsia" w:cs="宋体"/>
        </w:rPr>
        <w:t>填报纳税人发生的非货币性资产交换按照国家统一会计制度应确认的材料销售收入。</w:t>
      </w:r>
    </w:p>
    <w:p>
      <w:pPr>
        <w:pStyle w:val="65"/>
      </w:pPr>
      <w:r>
        <w:rPr>
          <w:rFonts w:cs="宋体"/>
        </w:rPr>
        <w:t>12.</w:t>
      </w:r>
      <w:r>
        <w:rPr>
          <w:rFonts w:hint="eastAsia" w:cs="宋体"/>
        </w:rPr>
        <w:t>第</w:t>
      </w:r>
      <w:r>
        <w:rPr>
          <w:rFonts w:cs="宋体"/>
        </w:rPr>
        <w:t>12</w:t>
      </w:r>
      <w:r>
        <w:rPr>
          <w:rFonts w:hint="eastAsia" w:cs="宋体"/>
        </w:rPr>
        <w:t>行“出租固定资产收入”：填报纳税人将固定资产使用权让与承租人获取的其他业务收入。</w:t>
      </w:r>
    </w:p>
    <w:p>
      <w:pPr>
        <w:pStyle w:val="65"/>
      </w:pPr>
      <w:r>
        <w:rPr>
          <w:rFonts w:cs="宋体"/>
        </w:rPr>
        <w:t>13.</w:t>
      </w:r>
      <w:r>
        <w:rPr>
          <w:rFonts w:hint="eastAsia" w:cs="宋体"/>
        </w:rPr>
        <w:t>第</w:t>
      </w:r>
      <w:r>
        <w:rPr>
          <w:rFonts w:cs="宋体"/>
        </w:rPr>
        <w:t>13</w:t>
      </w:r>
      <w:r>
        <w:rPr>
          <w:rFonts w:hint="eastAsia" w:cs="宋体"/>
        </w:rPr>
        <w:t>行“出租无形资产收入”：填报纳税人让渡无形资产使用权取得的其他业务收入。</w:t>
      </w:r>
    </w:p>
    <w:p>
      <w:pPr>
        <w:pStyle w:val="65"/>
        <w:rPr>
          <w:rFonts w:cs="宋体"/>
        </w:rPr>
      </w:pPr>
      <w:r>
        <w:rPr>
          <w:rFonts w:cs="宋体"/>
        </w:rPr>
        <w:t>14.</w:t>
      </w:r>
      <w:r>
        <w:rPr>
          <w:rFonts w:hint="eastAsia" w:cs="宋体"/>
        </w:rPr>
        <w:t>第</w:t>
      </w:r>
      <w:r>
        <w:rPr>
          <w:rFonts w:cs="宋体"/>
        </w:rPr>
        <w:t>14</w:t>
      </w:r>
      <w:r>
        <w:rPr>
          <w:rFonts w:hint="eastAsia" w:cs="宋体"/>
        </w:rPr>
        <w:t>行“出租包装物和商品收入”：填报纳税人出租、出借包装物和商品取得的其他业务收入。</w:t>
      </w:r>
    </w:p>
    <w:p>
      <w:pPr>
        <w:pStyle w:val="65"/>
        <w:rPr>
          <w:rFonts w:cs="宋体"/>
        </w:rPr>
      </w:pPr>
      <w:r>
        <w:rPr>
          <w:rFonts w:cs="宋体"/>
        </w:rPr>
        <w:t>15.</w:t>
      </w:r>
      <w:r>
        <w:rPr>
          <w:rFonts w:hint="eastAsia" w:cs="宋体"/>
        </w:rPr>
        <w:t>第</w:t>
      </w:r>
      <w:r>
        <w:rPr>
          <w:rFonts w:cs="宋体"/>
        </w:rPr>
        <w:t>15</w:t>
      </w:r>
      <w:r>
        <w:rPr>
          <w:rFonts w:hint="eastAsia" w:cs="宋体"/>
        </w:rPr>
        <w:t>行“其他”：填报纳税人按照国家统一会计制度核算，上述未列举的其他业务收入。</w:t>
      </w:r>
    </w:p>
    <w:p>
      <w:pPr>
        <w:pStyle w:val="65"/>
        <w:rPr>
          <w:rFonts w:cs="宋体"/>
        </w:rPr>
      </w:pPr>
      <w:r>
        <w:rPr>
          <w:rFonts w:cs="宋体"/>
        </w:rPr>
        <w:t>16.</w:t>
      </w:r>
      <w:r>
        <w:rPr>
          <w:rFonts w:hint="eastAsia" w:cs="宋体"/>
        </w:rPr>
        <w:t>第</w:t>
      </w:r>
      <w:r>
        <w:rPr>
          <w:rFonts w:cs="宋体"/>
        </w:rPr>
        <w:t>16</w:t>
      </w:r>
      <w:r>
        <w:rPr>
          <w:rFonts w:hint="eastAsia" w:cs="宋体"/>
        </w:rPr>
        <w:t>行“营业外收入”：填报纳税人计入本科目核算的与生产经营无直接关系的各项收入。</w:t>
      </w:r>
    </w:p>
    <w:p>
      <w:pPr>
        <w:pStyle w:val="65"/>
        <w:rPr>
          <w:rFonts w:cs="宋体"/>
        </w:rPr>
      </w:pPr>
      <w:r>
        <w:rPr>
          <w:rFonts w:cs="宋体"/>
        </w:rPr>
        <w:t>17.</w:t>
      </w:r>
      <w:r>
        <w:rPr>
          <w:rFonts w:hint="eastAsia" w:cs="宋体"/>
        </w:rPr>
        <w:t>第</w:t>
      </w:r>
      <w:r>
        <w:rPr>
          <w:rFonts w:cs="宋体"/>
        </w:rPr>
        <w:t>17</w:t>
      </w:r>
      <w:r>
        <w:rPr>
          <w:rFonts w:hint="eastAsia" w:cs="宋体"/>
        </w:rPr>
        <w:t>行“非流动资产处置利得”：填报纳税人处置固定资产、无形资产等取得的净收益。</w:t>
      </w:r>
    </w:p>
    <w:p>
      <w:pPr>
        <w:pStyle w:val="65"/>
        <w:rPr>
          <w:rFonts w:cs="宋体"/>
        </w:rPr>
      </w:pPr>
      <w:r>
        <w:rPr>
          <w:rFonts w:cs="宋体"/>
        </w:rPr>
        <w:t>18.</w:t>
      </w:r>
      <w:r>
        <w:rPr>
          <w:rFonts w:hint="eastAsia" w:cs="宋体"/>
        </w:rPr>
        <w:t>第</w:t>
      </w:r>
      <w:r>
        <w:rPr>
          <w:rFonts w:cs="宋体"/>
        </w:rPr>
        <w:t>18</w:t>
      </w:r>
      <w:r>
        <w:rPr>
          <w:rFonts w:hint="eastAsia" w:cs="宋体"/>
        </w:rPr>
        <w:t>行“非货币性资产交换利得”：填报纳税人发生非货币性资产交换应确认的净收益。</w:t>
      </w:r>
    </w:p>
    <w:p>
      <w:pPr>
        <w:pStyle w:val="65"/>
        <w:rPr>
          <w:rFonts w:cs="宋体"/>
        </w:rPr>
      </w:pPr>
      <w:r>
        <w:rPr>
          <w:rFonts w:cs="宋体"/>
        </w:rPr>
        <w:t>19.</w:t>
      </w:r>
      <w:r>
        <w:rPr>
          <w:rFonts w:hint="eastAsia" w:cs="宋体"/>
        </w:rPr>
        <w:t>第</w:t>
      </w:r>
      <w:r>
        <w:rPr>
          <w:rFonts w:cs="宋体"/>
        </w:rPr>
        <w:t>19</w:t>
      </w:r>
      <w:r>
        <w:rPr>
          <w:rFonts w:hint="eastAsia" w:cs="宋体"/>
        </w:rPr>
        <w:t>行“债务重组利得”：填报纳税人发生的债务重组业务确认的净收益。</w:t>
      </w:r>
    </w:p>
    <w:p>
      <w:pPr>
        <w:pStyle w:val="65"/>
        <w:rPr>
          <w:rFonts w:cs="宋体"/>
        </w:rPr>
      </w:pPr>
      <w:r>
        <w:rPr>
          <w:rFonts w:cs="宋体"/>
        </w:rPr>
        <w:t>20.</w:t>
      </w:r>
      <w:r>
        <w:rPr>
          <w:rFonts w:hint="eastAsia" w:cs="宋体"/>
        </w:rPr>
        <w:t>第</w:t>
      </w:r>
      <w:r>
        <w:rPr>
          <w:rFonts w:cs="宋体"/>
        </w:rPr>
        <w:t>20</w:t>
      </w:r>
      <w:r>
        <w:rPr>
          <w:rFonts w:hint="eastAsia" w:cs="宋体"/>
        </w:rPr>
        <w:t>行“政府补助利得”：填报纳税人从政府无偿取得货币性资产或非货币性资产应确认的净收益。</w:t>
      </w:r>
    </w:p>
    <w:p>
      <w:pPr>
        <w:pStyle w:val="65"/>
        <w:rPr>
          <w:rFonts w:cs="宋体"/>
        </w:rPr>
      </w:pPr>
      <w:r>
        <w:rPr>
          <w:rFonts w:cs="宋体"/>
        </w:rPr>
        <w:t>21.</w:t>
      </w:r>
      <w:r>
        <w:rPr>
          <w:rFonts w:hint="eastAsia" w:cs="宋体"/>
        </w:rPr>
        <w:t>第</w:t>
      </w:r>
      <w:r>
        <w:rPr>
          <w:rFonts w:cs="宋体"/>
        </w:rPr>
        <w:t>21</w:t>
      </w:r>
      <w:r>
        <w:rPr>
          <w:rFonts w:hint="eastAsia" w:cs="宋体"/>
        </w:rPr>
        <w:t>行“盘盈利得”：填报纳税人在清查财产过程中查明的各种财产盘盈应确认的净收益。</w:t>
      </w:r>
    </w:p>
    <w:p>
      <w:pPr>
        <w:pStyle w:val="65"/>
        <w:rPr>
          <w:rFonts w:cs="宋体"/>
        </w:rPr>
      </w:pPr>
      <w:r>
        <w:rPr>
          <w:rFonts w:cs="宋体"/>
        </w:rPr>
        <w:t>22.</w:t>
      </w:r>
      <w:r>
        <w:rPr>
          <w:rFonts w:hint="eastAsia" w:cs="宋体"/>
        </w:rPr>
        <w:t>第</w:t>
      </w:r>
      <w:r>
        <w:rPr>
          <w:rFonts w:cs="宋体"/>
        </w:rPr>
        <w:t>22</w:t>
      </w:r>
      <w:r>
        <w:rPr>
          <w:rFonts w:hint="eastAsia" w:cs="宋体"/>
        </w:rPr>
        <w:t>行“捐赠利得”：填报纳税人接受的来自企业、组织或个人无偿给予的货币性资产、非货币性资产捐赠应确认的净收益。</w:t>
      </w:r>
    </w:p>
    <w:p>
      <w:pPr>
        <w:pStyle w:val="65"/>
        <w:rPr>
          <w:rFonts w:cs="宋体"/>
        </w:rPr>
      </w:pPr>
      <w:r>
        <w:rPr>
          <w:rFonts w:cs="宋体"/>
        </w:rPr>
        <w:t>23.</w:t>
      </w:r>
      <w:r>
        <w:rPr>
          <w:rFonts w:hint="eastAsia" w:cs="宋体"/>
        </w:rPr>
        <w:t>第</w:t>
      </w:r>
      <w:r>
        <w:rPr>
          <w:rFonts w:cs="宋体"/>
        </w:rPr>
        <w:t>23</w:t>
      </w:r>
      <w:r>
        <w:rPr>
          <w:rFonts w:hint="eastAsia" w:cs="宋体"/>
        </w:rPr>
        <w:t>行“罚没利得”：填报纳税人在日常经营管理活动中取得的罚款、没收收入应确认的净收益。</w:t>
      </w:r>
    </w:p>
    <w:p>
      <w:pPr>
        <w:pStyle w:val="65"/>
        <w:rPr>
          <w:rFonts w:cs="宋体"/>
        </w:rPr>
      </w:pPr>
      <w:r>
        <w:rPr>
          <w:rFonts w:cs="宋体"/>
        </w:rPr>
        <w:t>24.</w:t>
      </w:r>
      <w:r>
        <w:rPr>
          <w:rFonts w:hint="eastAsia" w:cs="宋体"/>
        </w:rPr>
        <w:t>第</w:t>
      </w:r>
      <w:r>
        <w:rPr>
          <w:rFonts w:cs="宋体"/>
        </w:rPr>
        <w:t>24</w:t>
      </w:r>
      <w:r>
        <w:rPr>
          <w:rFonts w:hint="eastAsia" w:cs="宋体"/>
        </w:rPr>
        <w:t>行“确实无法偿付的应付款项”：填报纳税人因确实无法偿付的应付款项而确认的收入。</w:t>
      </w:r>
    </w:p>
    <w:p>
      <w:pPr>
        <w:pStyle w:val="65"/>
        <w:rPr>
          <w:rFonts w:cs="宋体"/>
        </w:rPr>
      </w:pPr>
      <w:r>
        <w:rPr>
          <w:rFonts w:cs="宋体"/>
        </w:rPr>
        <w:t>25</w:t>
      </w:r>
      <w:r>
        <w:rPr>
          <w:rFonts w:hint="eastAsia" w:cs="宋体"/>
        </w:rPr>
        <w:t>.第</w:t>
      </w:r>
      <w:r>
        <w:rPr>
          <w:rFonts w:cs="宋体"/>
        </w:rPr>
        <w:t>25</w:t>
      </w:r>
      <w:r>
        <w:rPr>
          <w:rFonts w:hint="eastAsia" w:cs="宋体"/>
        </w:rPr>
        <w:t>行“汇兑收益”：填报纳税人取得企业外币货币性项目因汇率变动形成的收益应确认的收入。（该项目为执行小企业会计准则企业填报）</w:t>
      </w:r>
    </w:p>
    <w:p>
      <w:pPr>
        <w:pStyle w:val="65"/>
        <w:rPr>
          <w:rFonts w:cs="宋体"/>
        </w:rPr>
      </w:pPr>
      <w:r>
        <w:rPr>
          <w:rFonts w:cs="宋体"/>
        </w:rPr>
        <w:t>26.</w:t>
      </w:r>
      <w:r>
        <w:rPr>
          <w:rFonts w:hint="eastAsia" w:cs="宋体"/>
        </w:rPr>
        <w:t>第</w:t>
      </w:r>
      <w:r>
        <w:rPr>
          <w:rFonts w:cs="宋体"/>
        </w:rPr>
        <w:t>26</w:t>
      </w:r>
      <w:r>
        <w:rPr>
          <w:rFonts w:hint="eastAsia" w:cs="宋体"/>
        </w:rPr>
        <w:t>行“其他”：</w:t>
      </w:r>
      <w:r>
        <w:rPr>
          <w:rFonts w:hint="eastAsia"/>
        </w:rPr>
        <w:t>填报纳税人取得的上述项目未列举的其他营业外收入，</w:t>
      </w:r>
      <w:r>
        <w:rPr>
          <w:rFonts w:hint="eastAsia" w:cs="宋体"/>
        </w:rPr>
        <w:t>包括执行企业会计准则纳税人按权益法核算长期股权投资对初始投资成本调整确认的收益，执行小企业会计准则纳税人取得的出租包装物和商品的租金收入、逾期未退包装物押金收益等。</w:t>
      </w:r>
    </w:p>
    <w:p>
      <w:pPr>
        <w:pStyle w:val="69"/>
        <w:ind w:firstLine="482"/>
        <w:outlineLvl w:val="0"/>
      </w:pPr>
      <w:bookmarkStart w:id="78" w:name="_Toc393480187"/>
      <w:r>
        <w:rPr>
          <w:rFonts w:hint="eastAsia"/>
        </w:rPr>
        <w:t>二、表内、表间关系</w:t>
      </w:r>
      <w:bookmarkEnd w:id="78"/>
    </w:p>
    <w:p>
      <w:pPr>
        <w:pStyle w:val="79"/>
        <w:outlineLvl w:val="1"/>
      </w:pPr>
      <w:r>
        <w:rPr>
          <w:rFonts w:hint="eastAsia"/>
        </w:rPr>
        <w:t>（一）表内关系</w:t>
      </w:r>
    </w:p>
    <w:p>
      <w:pPr>
        <w:pStyle w:val="65"/>
      </w:pPr>
      <w:r>
        <w:t>1.</w:t>
      </w:r>
      <w:r>
        <w:rPr>
          <w:rFonts w:hint="eastAsia"/>
        </w:rPr>
        <w:t>第</w:t>
      </w:r>
      <w:r>
        <w:t>1</w:t>
      </w:r>
      <w:r>
        <w:rPr>
          <w:rFonts w:hint="eastAsia"/>
        </w:rPr>
        <w:t>行</w:t>
      </w:r>
      <w:r>
        <w:t>＝</w:t>
      </w:r>
      <w:r>
        <w:rPr>
          <w:rFonts w:hint="eastAsia"/>
        </w:rPr>
        <w:t>第</w:t>
      </w:r>
      <w:r>
        <w:t>2+9</w:t>
      </w:r>
      <w:r>
        <w:rPr>
          <w:rFonts w:hint="eastAsia"/>
        </w:rPr>
        <w:t>行。</w:t>
      </w:r>
    </w:p>
    <w:p>
      <w:pPr>
        <w:pStyle w:val="65"/>
      </w:pPr>
      <w:r>
        <w:t>2.</w:t>
      </w:r>
      <w:r>
        <w:rPr>
          <w:rFonts w:hint="eastAsia"/>
        </w:rPr>
        <w:t>第</w:t>
      </w:r>
      <w:r>
        <w:t>2</w:t>
      </w:r>
      <w:r>
        <w:rPr>
          <w:rFonts w:hint="eastAsia"/>
        </w:rPr>
        <w:t>行</w:t>
      </w:r>
      <w:r>
        <w:t>＝</w:t>
      </w:r>
      <w:r>
        <w:rPr>
          <w:rFonts w:hint="eastAsia"/>
        </w:rPr>
        <w:t>第</w:t>
      </w:r>
      <w:r>
        <w:t>3+5+6+7</w:t>
      </w:r>
      <w:r>
        <w:rPr>
          <w:rFonts w:hint="eastAsia"/>
        </w:rPr>
        <w:t>+8行。</w:t>
      </w:r>
    </w:p>
    <w:p>
      <w:pPr>
        <w:pStyle w:val="65"/>
      </w:pPr>
      <w:r>
        <w:t>3.</w:t>
      </w:r>
      <w:r>
        <w:rPr>
          <w:rFonts w:hint="eastAsia"/>
        </w:rPr>
        <w:t>第</w:t>
      </w:r>
      <w:r>
        <w:t>9</w:t>
      </w:r>
      <w:r>
        <w:rPr>
          <w:rFonts w:hint="eastAsia"/>
        </w:rPr>
        <w:t>行</w:t>
      </w:r>
      <w:r>
        <w:t>＝</w:t>
      </w:r>
      <w:r>
        <w:rPr>
          <w:rFonts w:hint="eastAsia"/>
        </w:rPr>
        <w:t>第</w:t>
      </w:r>
      <w:r>
        <w:t>10+12+13+14+15</w:t>
      </w:r>
      <w:r>
        <w:rPr>
          <w:rFonts w:hint="eastAsia"/>
        </w:rPr>
        <w:t>行。</w:t>
      </w:r>
    </w:p>
    <w:p>
      <w:pPr>
        <w:pStyle w:val="65"/>
      </w:pPr>
      <w:r>
        <w:t>4.</w:t>
      </w:r>
      <w:r>
        <w:rPr>
          <w:rFonts w:hint="eastAsia"/>
        </w:rPr>
        <w:t>第</w:t>
      </w:r>
      <w:r>
        <w:t>16</w:t>
      </w:r>
      <w:r>
        <w:rPr>
          <w:rFonts w:hint="eastAsia"/>
        </w:rPr>
        <w:t>行</w:t>
      </w:r>
      <w:r>
        <w:t>＝</w:t>
      </w:r>
      <w:r>
        <w:rPr>
          <w:rFonts w:hint="eastAsia"/>
        </w:rPr>
        <w:t>第</w:t>
      </w:r>
      <w:r>
        <w:t>17+18+</w:t>
      </w:r>
      <w:r>
        <w:rPr>
          <w:rFonts w:hint="eastAsia"/>
        </w:rPr>
        <w:t>19+20+21+22+23+24+25</w:t>
      </w:r>
      <w:r>
        <w:t>+26</w:t>
      </w:r>
      <w:r>
        <w:rPr>
          <w:rFonts w:hint="eastAsia"/>
        </w:rPr>
        <w:t>行。</w:t>
      </w:r>
    </w:p>
    <w:p>
      <w:pPr>
        <w:pStyle w:val="79"/>
        <w:outlineLvl w:val="1"/>
      </w:pPr>
      <w:r>
        <w:rPr>
          <w:rFonts w:hint="eastAsia"/>
        </w:rPr>
        <w:t>（二）表间关系</w:t>
      </w:r>
    </w:p>
    <w:p>
      <w:pPr>
        <w:pStyle w:val="65"/>
      </w:pPr>
      <w:r>
        <w:rPr>
          <w:rFonts w:hint="eastAsia"/>
        </w:rPr>
        <w:t>1.第</w:t>
      </w:r>
      <w:r>
        <w:t>1</w:t>
      </w:r>
      <w:r>
        <w:rPr>
          <w:rFonts w:hint="eastAsia"/>
        </w:rPr>
        <w:t>行</w:t>
      </w:r>
      <w:r>
        <w:t>＝</w:t>
      </w:r>
      <w:r>
        <w:rPr>
          <w:rFonts w:hint="eastAsia"/>
        </w:rPr>
        <w:t>表</w:t>
      </w:r>
      <w:r>
        <w:t>A10000</w:t>
      </w:r>
      <w:r>
        <w:rPr>
          <w:rFonts w:hint="eastAsia"/>
        </w:rPr>
        <w:t>0第</w:t>
      </w:r>
      <w:r>
        <w:t>1</w:t>
      </w:r>
      <w:r>
        <w:rPr>
          <w:rFonts w:hint="eastAsia"/>
        </w:rPr>
        <w:t>行。</w:t>
      </w:r>
    </w:p>
    <w:p>
      <w:pPr>
        <w:pStyle w:val="65"/>
        <w:sectPr>
          <w:footerReference r:id="rId15" w:type="default"/>
          <w:pgSz w:w="11906" w:h="16838"/>
          <w:pgMar w:top="1985" w:right="1418" w:bottom="1928" w:left="1418" w:header="851" w:footer="992" w:gutter="113"/>
          <w:pgNumType w:fmt="decimal"/>
          <w:cols w:space="720" w:num="1"/>
          <w:docGrid w:linePitch="312" w:charSpace="0"/>
        </w:sectPr>
      </w:pPr>
      <w:r>
        <w:rPr>
          <w:rFonts w:hint="eastAsia"/>
        </w:rPr>
        <w:t>2.第</w:t>
      </w:r>
      <w:r>
        <w:t>16</w:t>
      </w:r>
      <w:r>
        <w:rPr>
          <w:rFonts w:hint="eastAsia"/>
        </w:rPr>
        <w:t>行</w:t>
      </w:r>
      <w:r>
        <w:t>＝</w:t>
      </w:r>
      <w:r>
        <w:rPr>
          <w:rFonts w:hint="eastAsia"/>
        </w:rPr>
        <w:t>表</w:t>
      </w:r>
      <w:r>
        <w:t>A10000</w:t>
      </w:r>
      <w:r>
        <w:rPr>
          <w:rFonts w:hint="eastAsia"/>
        </w:rPr>
        <w:t>0第</w:t>
      </w:r>
      <w:r>
        <w:t>11</w:t>
      </w:r>
      <w:r>
        <w:rPr>
          <w:rFonts w:hint="eastAsia"/>
        </w:rPr>
        <w:t>行。</w:t>
      </w:r>
    </w:p>
    <w:p>
      <w:pPr>
        <w:pStyle w:val="66"/>
      </w:pPr>
      <w:bookmarkStart w:id="79" w:name="_Toc28639"/>
      <w:r>
        <w:rPr>
          <w:rFonts w:hint="eastAsia"/>
        </w:rPr>
        <w:t>A101020</w:t>
      </w:r>
      <w:r>
        <w:tab/>
      </w:r>
      <w:r>
        <w:rPr>
          <w:rFonts w:hint="eastAsia"/>
        </w:rPr>
        <w:t>金融企业收入明细表</w:t>
      </w:r>
      <w:bookmarkEnd w:id="79"/>
    </w:p>
    <w:tbl>
      <w:tblPr>
        <w:tblStyle w:val="25"/>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28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28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7168"/>
              </w:rPr>
              <w:t>金</w:t>
            </w:r>
            <w:r>
              <w:rPr>
                <w:rFonts w:hint="eastAsia" w:ascii="宋体" w:hAnsi="宋体" w:cs="宋体"/>
                <w:spacing w:val="0"/>
                <w:kern w:val="0"/>
                <w:sz w:val="20"/>
                <w:szCs w:val="20"/>
                <w:fitText w:val="1000" w:id="1540487168"/>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一、营业收入（2+18+27+32+33+34）</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（一）银行业务收入（3+10）</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1.利息收入（4+5+6+7+8+9）</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（1）存放同业</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（2）存放中央银行</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（3）拆出资金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（4）发放贷款及垫资</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（5）买入返售金融资产</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2.手续费及佣金收入（11+12+13+14+15+16+17）</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（1）结算与清算手续费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（2）代理业务手续费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（3）信用承诺手续费及佣金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（4）银行卡手续费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（5）顾问和咨询费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（6）托管及其他受托业务佣金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（7）其他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（二）证券业务收入（19+26）</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1.证券业务手续费及佣金收入（20+21+22+23+24+25）</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（1）证券承销业务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（2）证券经纪业务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（3）受托客户资产管理业务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（4）代理兑付证券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（5）代理保管证券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2.其他证券业务收入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（三）已赚保费（28-30-31）</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1.保险业务收入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280" w:type="dxa"/>
            <w:noWrap/>
            <w:vAlign w:val="center"/>
          </w:tcPr>
          <w:p>
            <w:pPr>
              <w:widowControl/>
              <w:ind w:firstLine="1060" w:firstLineChars="530"/>
              <w:jc w:val="left"/>
              <w:rPr>
                <w:rFonts w:ascii="宋体" w:hAnsi="宋体" w:cs="宋体"/>
                <w:kern w:val="0"/>
                <w:sz w:val="20"/>
                <w:szCs w:val="20"/>
              </w:rPr>
            </w:pPr>
            <w:r>
              <w:rPr>
                <w:rFonts w:hint="eastAsia" w:ascii="宋体" w:hAnsi="宋体" w:cs="宋体"/>
                <w:kern w:val="0"/>
                <w:sz w:val="20"/>
                <w:szCs w:val="20"/>
              </w:rPr>
              <w:t>其中：分保费收入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2.分出保费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3.提取未到期责任准备金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（四）其他金融业务收入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（五）汇兑收益（损失以“-”号填列）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（六）其他业务收入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二、营业外收入（36+37+38+39+40+41+42）</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（三）债务重组利得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（四）政府补助利得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（五）盘盈利得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（六）捐赠利得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（七）其他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1755"/>
        </w:tabs>
        <w:sectPr>
          <w:footerReference r:id="rId16" w:type="first"/>
          <w:pgSz w:w="11906" w:h="16838"/>
          <w:pgMar w:top="1758" w:right="1418" w:bottom="1588" w:left="1418" w:header="851" w:footer="992" w:gutter="113"/>
          <w:pgNumType w:fmt="decimal"/>
          <w:cols w:space="720" w:num="1"/>
          <w:docGrid w:linePitch="312" w:charSpace="0"/>
        </w:sectPr>
      </w:pPr>
    </w:p>
    <w:p>
      <w:pPr>
        <w:pStyle w:val="88"/>
        <w:spacing w:before="240" w:after="360"/>
        <w:rPr>
          <w:rFonts w:ascii="宋体" w:eastAsia="宋体"/>
          <w:b/>
        </w:rPr>
      </w:pPr>
      <w:bookmarkStart w:id="80" w:name="_Toc16004"/>
      <w:r>
        <w:rPr>
          <w:rFonts w:hint="eastAsia" w:ascii="宋体" w:eastAsia="宋体"/>
          <w:b/>
        </w:rPr>
        <w:t>A101020《金融企业收入明细表》填报说明</w:t>
      </w:r>
      <w:bookmarkEnd w:id="80"/>
    </w:p>
    <w:p>
      <w:pPr>
        <w:pStyle w:val="65"/>
      </w:pPr>
      <w:r>
        <w:rPr>
          <w:rFonts w:hint="eastAsia"/>
        </w:rPr>
        <w:t>本表适用于执行企业会计准则的金融企业纳税人填报，包括银行（信用社）、保险公司、证券公司等金融企业。金融企业应根据企业会计准则的规定填报“营业收入”“营业外收入”。</w:t>
      </w:r>
    </w:p>
    <w:p>
      <w:pPr>
        <w:pStyle w:val="69"/>
        <w:ind w:firstLine="482"/>
        <w:outlineLvl w:val="0"/>
      </w:pPr>
      <w:r>
        <w:rPr>
          <w:rFonts w:hint="eastAsia"/>
        </w:rPr>
        <w:t>一、有关项目填报说明</w:t>
      </w:r>
    </w:p>
    <w:p>
      <w:pPr>
        <w:pStyle w:val="65"/>
      </w:pPr>
      <w:r>
        <w:rPr>
          <w:rFonts w:hint="eastAsia"/>
        </w:rPr>
        <w:t>1.第1行“营业收入”：填报纳税人提供金融商品服务取得的收入。</w:t>
      </w:r>
    </w:p>
    <w:p>
      <w:pPr>
        <w:pStyle w:val="65"/>
      </w:pPr>
      <w:r>
        <w:rPr>
          <w:rFonts w:hint="eastAsia"/>
        </w:rPr>
        <w:t>2.第2行“银行业务收入”：填报纳税人从事银行业务取得的收入。</w:t>
      </w:r>
    </w:p>
    <w:p>
      <w:pPr>
        <w:pStyle w:val="65"/>
      </w:pPr>
      <w:r>
        <w:rPr>
          <w:rFonts w:hint="eastAsia"/>
        </w:rPr>
        <w:t>3.第3行“利息收入”：填报银行存贷款业务等取得的各项利息收入，包括发放的各类贷款（银团贷款、贸易融资、贴现和转贴现融出资金、协议透支、信用卡透支、转贷款、垫款等）、与其他金融机构（中央银行、同业等）之间发生资金往来业务、买入返售金融资产等实现的利息收入等。</w:t>
      </w:r>
    </w:p>
    <w:p>
      <w:pPr>
        <w:pStyle w:val="65"/>
      </w:pPr>
      <w:r>
        <w:rPr>
          <w:rFonts w:hint="eastAsia"/>
        </w:rPr>
        <w:t>4.第4行“存放同业”：填报纳税人存放于境内、境外银行和非银行金融机构款项取得的利息收入。</w:t>
      </w:r>
    </w:p>
    <w:p>
      <w:pPr>
        <w:pStyle w:val="65"/>
      </w:pPr>
      <w:r>
        <w:rPr>
          <w:rFonts w:hint="eastAsia"/>
        </w:rPr>
        <w:t>5.第5行“存放中央银行”：填报纳税人存放于中国人民银行的各种款项利息收入。</w:t>
      </w:r>
    </w:p>
    <w:p>
      <w:pPr>
        <w:pStyle w:val="65"/>
      </w:pPr>
      <w:r>
        <w:rPr>
          <w:rFonts w:hint="eastAsia"/>
        </w:rPr>
        <w:t>6.第6行“拆出资金”：填报纳税人拆借给境内、境外其他金融机构款项的利息收入。</w:t>
      </w:r>
    </w:p>
    <w:p>
      <w:pPr>
        <w:pStyle w:val="65"/>
      </w:pPr>
      <w:r>
        <w:rPr>
          <w:rFonts w:hint="eastAsia"/>
        </w:rPr>
        <w:t>7.第7行“发放贷款及垫资”：填报纳税人发放贷款及垫资的利息收入。</w:t>
      </w:r>
    </w:p>
    <w:p>
      <w:pPr>
        <w:pStyle w:val="65"/>
      </w:pPr>
      <w:r>
        <w:rPr>
          <w:rFonts w:hint="eastAsia"/>
        </w:rPr>
        <w:t>8.第8行“买入返售金融资产”：填报纳税人按照返售协议约定先买入再按固定价格返售的票据、证券、贷款等金融资产所融出资金的利息收入。</w:t>
      </w:r>
    </w:p>
    <w:p>
      <w:pPr>
        <w:pStyle w:val="65"/>
      </w:pPr>
      <w:r>
        <w:rPr>
          <w:rFonts w:hint="eastAsia"/>
        </w:rPr>
        <w:t>9.第9行“其他”：填报纳税人除本表第4行至第8行以外的其他利息收入，包括债券投资利息等收入。</w:t>
      </w:r>
    </w:p>
    <w:p>
      <w:pPr>
        <w:pStyle w:val="65"/>
      </w:pPr>
      <w:r>
        <w:rPr>
          <w:rFonts w:hint="eastAsia"/>
        </w:rPr>
        <w:t>10.第10行“手续费及佣金收入”：填报银行在提供相关金融业务服务时向客户收取的收入，包括结算与清算手续费、代理业务手续费、信用承诺手续费及佣金、银行卡手续费、顾问和咨询费、托管及其他受托业务佣金等。</w:t>
      </w:r>
    </w:p>
    <w:p>
      <w:pPr>
        <w:pStyle w:val="65"/>
      </w:pPr>
      <w:r>
        <w:rPr>
          <w:rFonts w:hint="eastAsia"/>
        </w:rPr>
        <w:t>11.第18行“证券业务收入”：填报纳税人从事证券业务取得的收入。</w:t>
      </w:r>
    </w:p>
    <w:p>
      <w:pPr>
        <w:pStyle w:val="65"/>
      </w:pPr>
      <w:r>
        <w:rPr>
          <w:rFonts w:hint="eastAsia"/>
        </w:rPr>
        <w:t>12.第19行“证券业务手续费及佣金收入”：填报纳税人承销、代理兑付等业务取得的各项手续费、佣金等收入。</w:t>
      </w:r>
    </w:p>
    <w:p>
      <w:pPr>
        <w:pStyle w:val="65"/>
      </w:pPr>
      <w:r>
        <w:rPr>
          <w:rFonts w:hint="eastAsia"/>
        </w:rPr>
        <w:t>13.第26行“其他证券业务收入”：填报纳税人在国家许可的范围内从事的除经纪、自营和承销业务以外的与证券有关的业务收入。</w:t>
      </w:r>
    </w:p>
    <w:p>
      <w:pPr>
        <w:pStyle w:val="65"/>
      </w:pPr>
      <w:r>
        <w:rPr>
          <w:rFonts w:hint="eastAsia"/>
        </w:rPr>
        <w:t>14.第27行“已赚保费”：填报纳税人从事保险业务确认的本年实际保费收入。</w:t>
      </w:r>
    </w:p>
    <w:p>
      <w:pPr>
        <w:pStyle w:val="65"/>
      </w:pPr>
      <w:r>
        <w:rPr>
          <w:rFonts w:hint="eastAsia"/>
        </w:rPr>
        <w:t>15.第28行“保险业务收入”：填报纳税人从事保险业务确认的保费收入。</w:t>
      </w:r>
    </w:p>
    <w:p>
      <w:pPr>
        <w:pStyle w:val="65"/>
      </w:pPr>
      <w:r>
        <w:rPr>
          <w:rFonts w:hint="eastAsia"/>
        </w:rPr>
        <w:t>16.第29行“分保费收入”：填报纳税人（再保险公司或分入公司）从原保险公司或分出公司分入的保费收入。</w:t>
      </w:r>
    </w:p>
    <w:p>
      <w:pPr>
        <w:pStyle w:val="65"/>
      </w:pPr>
      <w:r>
        <w:rPr>
          <w:rFonts w:hint="eastAsia"/>
        </w:rPr>
        <w:t>17.第30行“分出保费”：填报纳税人（再保险分出人）向再保险接受人分出的保费。</w:t>
      </w:r>
    </w:p>
    <w:p>
      <w:pPr>
        <w:pStyle w:val="65"/>
      </w:pPr>
      <w:r>
        <w:rPr>
          <w:rFonts w:hint="eastAsia"/>
        </w:rPr>
        <w:t>18.第31行“提取未到期责任准备金”：填报纳税人（保险企业）提取的非寿险原保险合同未到期责任准备金和再保险合同分保未到期责任准备金。</w:t>
      </w:r>
    </w:p>
    <w:p>
      <w:pPr>
        <w:pStyle w:val="65"/>
      </w:pPr>
      <w:r>
        <w:rPr>
          <w:rFonts w:hint="eastAsia"/>
        </w:rPr>
        <w:t>19.第32行“其他金融业务收入”：填报纳税人提供除银行业、保险业、证券业以外的金融商品服务取得的收入。</w:t>
      </w:r>
    </w:p>
    <w:p>
      <w:pPr>
        <w:pStyle w:val="65"/>
      </w:pPr>
      <w:r>
        <w:rPr>
          <w:rFonts w:hint="eastAsia"/>
        </w:rPr>
        <w:t>20.第33行“汇兑收益”：填报纳税人发生的外币交易因汇率变动而产生的汇兑损益，</w:t>
      </w:r>
      <w:r>
        <w:rPr>
          <w:rFonts w:hint="eastAsia" w:cs="Arial"/>
        </w:rPr>
        <w:t>损失以“-”号填列</w:t>
      </w:r>
      <w:r>
        <w:rPr>
          <w:rFonts w:hint="eastAsia"/>
        </w:rPr>
        <w:t>。</w:t>
      </w:r>
    </w:p>
    <w:p>
      <w:pPr>
        <w:pStyle w:val="65"/>
      </w:pPr>
      <w:r>
        <w:rPr>
          <w:rFonts w:hint="eastAsia"/>
        </w:rPr>
        <w:t>21.第34行“其他业务收入”：填报纳税人发生的除主营业务活动以外的其他经营活动实现的收入。</w:t>
      </w:r>
    </w:p>
    <w:p>
      <w:pPr>
        <w:pStyle w:val="65"/>
      </w:pPr>
      <w:r>
        <w:rPr>
          <w:rFonts w:hint="eastAsia"/>
        </w:rPr>
        <w:t>22.第35行“营业外收入”：填报纳税人发生的各项营业外收入，主要包括非流动资产处置利得、非货币性资产交换利得、债务重组利得、政府补助利得、盘盈利得、捐赠利得等。</w:t>
      </w:r>
    </w:p>
    <w:p>
      <w:pPr>
        <w:pStyle w:val="65"/>
      </w:pPr>
      <w:r>
        <w:rPr>
          <w:rFonts w:hint="eastAsia"/>
        </w:rPr>
        <w:t>23.第36行“非流动资产处置利得”：填报纳税人处置固定资产、无形资产等取得的净收益。</w:t>
      </w:r>
    </w:p>
    <w:p>
      <w:pPr>
        <w:pStyle w:val="65"/>
      </w:pPr>
      <w:r>
        <w:rPr>
          <w:rFonts w:hint="eastAsia"/>
        </w:rPr>
        <w:t>24.第37行“非货币资产交换利得”：填报纳税人发生非货币性资产交换应确认的净收益。</w:t>
      </w:r>
    </w:p>
    <w:p>
      <w:pPr>
        <w:pStyle w:val="65"/>
      </w:pPr>
      <w:r>
        <w:rPr>
          <w:rFonts w:hint="eastAsia"/>
        </w:rPr>
        <w:t>25.第38行“债务重组利得”：填报纳税人发生的债务重组业务确认的净收益。</w:t>
      </w:r>
    </w:p>
    <w:p>
      <w:pPr>
        <w:pStyle w:val="65"/>
      </w:pPr>
      <w:r>
        <w:rPr>
          <w:rFonts w:hint="eastAsia"/>
        </w:rPr>
        <w:t>26.第39行“政府补助利得”：填报纳税人从政府无偿取得货币性资产或非货币性资产应确认的净收益。</w:t>
      </w:r>
    </w:p>
    <w:p>
      <w:pPr>
        <w:pStyle w:val="65"/>
      </w:pPr>
      <w:r>
        <w:rPr>
          <w:rFonts w:hint="eastAsia"/>
        </w:rPr>
        <w:t>27.第40行“盘盈利得”：填报纳税人在清查财产过程中查明的各种财产盘盈应确认的净收益。</w:t>
      </w:r>
    </w:p>
    <w:p>
      <w:pPr>
        <w:pStyle w:val="65"/>
      </w:pPr>
      <w:r>
        <w:rPr>
          <w:rFonts w:hint="eastAsia"/>
        </w:rPr>
        <w:t>28.第41行“捐赠利得”：填报纳税人接受的来自企业、组织或个人无偿给予的货币性资产、非货币性资产捐赠应确认的净收益。</w:t>
      </w:r>
    </w:p>
    <w:p>
      <w:pPr>
        <w:pStyle w:val="65"/>
      </w:pPr>
      <w:r>
        <w:rPr>
          <w:rFonts w:hint="eastAsia"/>
        </w:rPr>
        <w:t>29.第42行“其他”：填报纳税人取得的上述项目未列举的其他营业外收入，包括执行《企业会计准则》纳税人对按权益法核算的长期股权投资初始投资成本调整确认的收益。</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1.第1行＝第2+18+27+32+33+34行。</w:t>
      </w:r>
    </w:p>
    <w:p>
      <w:pPr>
        <w:pStyle w:val="65"/>
      </w:pPr>
      <w:r>
        <w:rPr>
          <w:rFonts w:hint="eastAsia"/>
        </w:rPr>
        <w:t>2.第2行＝第3+10行。</w:t>
      </w:r>
    </w:p>
    <w:p>
      <w:pPr>
        <w:pStyle w:val="65"/>
      </w:pPr>
      <w:r>
        <w:rPr>
          <w:rFonts w:hint="eastAsia"/>
        </w:rPr>
        <w:t>3.第3行＝第4+5+</w:t>
      </w:r>
      <w:r>
        <w:t>…</w:t>
      </w:r>
      <w:r>
        <w:rPr>
          <w:rFonts w:hint="eastAsia"/>
        </w:rPr>
        <w:t>+9行。</w:t>
      </w:r>
    </w:p>
    <w:p>
      <w:pPr>
        <w:pStyle w:val="65"/>
      </w:pPr>
      <w:r>
        <w:rPr>
          <w:rFonts w:hint="eastAsia"/>
        </w:rPr>
        <w:t>4.第10行＝第11+12+</w:t>
      </w:r>
      <w:r>
        <w:t>…</w:t>
      </w:r>
      <w:r>
        <w:rPr>
          <w:rFonts w:hint="eastAsia"/>
        </w:rPr>
        <w:t>+17行。</w:t>
      </w:r>
    </w:p>
    <w:p>
      <w:pPr>
        <w:pStyle w:val="65"/>
      </w:pPr>
      <w:r>
        <w:rPr>
          <w:rFonts w:hint="eastAsia"/>
        </w:rPr>
        <w:t>5.第18行＝第19+26行。</w:t>
      </w:r>
    </w:p>
    <w:p>
      <w:pPr>
        <w:pStyle w:val="65"/>
      </w:pPr>
      <w:r>
        <w:rPr>
          <w:rFonts w:hint="eastAsia"/>
        </w:rPr>
        <w:t>6.第19行＝第20+21+</w:t>
      </w:r>
      <w:r>
        <w:t>…</w:t>
      </w:r>
      <w:r>
        <w:rPr>
          <w:rFonts w:hint="eastAsia"/>
        </w:rPr>
        <w:t>+25行。</w:t>
      </w:r>
    </w:p>
    <w:p>
      <w:pPr>
        <w:pStyle w:val="65"/>
      </w:pPr>
      <w:r>
        <w:rPr>
          <w:rFonts w:hint="eastAsia"/>
        </w:rPr>
        <w:t>7.第27行＝第28-30-31行。</w:t>
      </w:r>
    </w:p>
    <w:p>
      <w:pPr>
        <w:pStyle w:val="65"/>
      </w:pPr>
      <w:r>
        <w:rPr>
          <w:rFonts w:hint="eastAsia"/>
        </w:rPr>
        <w:t>8.第35行＝第36+37+</w:t>
      </w:r>
      <w:r>
        <w:t>…</w:t>
      </w:r>
      <w:r>
        <w:rPr>
          <w:rFonts w:hint="eastAsia"/>
        </w:rPr>
        <w:t>+42行。</w:t>
      </w:r>
    </w:p>
    <w:p>
      <w:pPr>
        <w:pStyle w:val="79"/>
        <w:outlineLvl w:val="1"/>
      </w:pPr>
      <w:r>
        <w:rPr>
          <w:rFonts w:hint="eastAsia"/>
        </w:rPr>
        <w:t>（二）表间关系</w:t>
      </w:r>
    </w:p>
    <w:p>
      <w:pPr>
        <w:pStyle w:val="65"/>
      </w:pPr>
      <w:r>
        <w:rPr>
          <w:rFonts w:hint="eastAsia"/>
        </w:rPr>
        <w:t>1.第1行＝表A100000第1行。</w:t>
      </w:r>
    </w:p>
    <w:p>
      <w:pPr>
        <w:pStyle w:val="65"/>
        <w:sectPr>
          <w:pgSz w:w="11906" w:h="16838"/>
          <w:pgMar w:top="1985" w:right="1418" w:bottom="1928" w:left="1418" w:header="851" w:footer="992" w:gutter="113"/>
          <w:pgNumType w:fmt="decimal"/>
          <w:cols w:space="720" w:num="1"/>
          <w:docGrid w:linePitch="312" w:charSpace="0"/>
        </w:sectPr>
      </w:pPr>
      <w:r>
        <w:rPr>
          <w:rFonts w:hint="eastAsia"/>
        </w:rPr>
        <w:t>2.第35行＝表A100000第11行。</w:t>
      </w:r>
    </w:p>
    <w:p>
      <w:pPr>
        <w:pStyle w:val="66"/>
      </w:pPr>
      <w:bookmarkStart w:id="81" w:name="_Toc24556"/>
      <w:r>
        <w:rPr>
          <w:rFonts w:hint="eastAsia"/>
        </w:rPr>
        <w:t>A102010</w:t>
      </w:r>
      <w:r>
        <w:tab/>
      </w:r>
      <w:r>
        <w:rPr>
          <w:rFonts w:hint="eastAsia"/>
        </w:rPr>
        <w:t>一般企业成本支出明细表</w:t>
      </w:r>
      <w:bookmarkEnd w:id="81"/>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472"/>
              </w:rPr>
              <w:t>项</w:t>
            </w:r>
            <w:r>
              <w:rPr>
                <w:rFonts w:hint="eastAsia" w:ascii="宋体" w:hAnsi="宋体" w:cs="宋体"/>
                <w:spacing w:val="0"/>
                <w:kern w:val="0"/>
                <w:sz w:val="20"/>
                <w:szCs w:val="20"/>
                <w:fitText w:val="1400" w:id="1540489472"/>
              </w:rPr>
              <w:t>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473"/>
              </w:rPr>
              <w:t>金</w:t>
            </w:r>
            <w:r>
              <w:rPr>
                <w:rFonts w:hint="eastAsia" w:ascii="宋体" w:hAnsi="宋体" w:cs="宋体"/>
                <w:spacing w:val="0"/>
                <w:kern w:val="0"/>
                <w:sz w:val="20"/>
                <w:szCs w:val="20"/>
                <w:fitText w:val="1000" w:id="154048947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一、营业成本（2+9）</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（一）主营业务成本（3+5+6+7+8）</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1.销售商品成本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2.提供劳务成本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3.建造合同成本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4.让渡资产使用权成本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（二）其他业务成本（10+12+13+14+15）</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 销售材料成本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2.出租固定资产成本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3.出租无形资产成本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4.包装物出租成本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二、营业外支出（17+18+19+20+21+22+23+24+25+26）</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（四）非常损失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（五）捐赠支出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（六）赞助支出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（七）罚没支出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（八）坏账损失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（九）无法收回的债券股权投资损失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（十）其他</w:t>
            </w:r>
          </w:p>
        </w:tc>
        <w:tc>
          <w:tcPr>
            <w:tcW w:w="2300" w:type="dxa"/>
            <w:noWrap/>
            <w:vAlign w:val="center"/>
          </w:tcPr>
          <w:p>
            <w:pPr>
              <w:widowControl/>
              <w:jc w:val="right"/>
              <w:rPr>
                <w:rFonts w:ascii="宋体" w:hAnsi="宋体" w:cs="宋体"/>
                <w:kern w:val="0"/>
                <w:sz w:val="20"/>
                <w:szCs w:val="20"/>
              </w:rPr>
            </w:pPr>
          </w:p>
        </w:tc>
      </w:tr>
    </w:tbl>
    <w:p>
      <w:pPr>
        <w:pStyle w:val="65"/>
      </w:pPr>
    </w:p>
    <w:p>
      <w:pPr>
        <w:pStyle w:val="3"/>
        <w:spacing w:before="0" w:after="0" w:line="360" w:lineRule="auto"/>
        <w:jc w:val="center"/>
        <w:rPr>
          <w:rFonts w:ascii="宋体" w:hAnsi="宋体" w:cs="宋体"/>
          <w:bCs/>
          <w:sz w:val="28"/>
          <w:szCs w:val="28"/>
        </w:rPr>
        <w:sectPr>
          <w:pgSz w:w="11906" w:h="16838"/>
          <w:pgMar w:top="1985" w:right="1418" w:bottom="1644" w:left="1418" w:header="851" w:footer="992" w:gutter="113"/>
          <w:pgNumType w:fmt="decimal"/>
          <w:cols w:space="720" w:num="1"/>
          <w:titlePg/>
          <w:docGrid w:linePitch="312" w:charSpace="0"/>
        </w:sectPr>
      </w:pPr>
      <w:bookmarkStart w:id="82" w:name="_Toc393480198"/>
    </w:p>
    <w:p>
      <w:pPr>
        <w:pStyle w:val="66"/>
        <w:jc w:val="center"/>
      </w:pPr>
      <w:bookmarkStart w:id="83" w:name="_Toc25247"/>
      <w:r>
        <w:rPr>
          <w:rFonts w:hint="eastAsia"/>
        </w:rPr>
        <w:t>A102010《一般企业成本支出明细表》填报说明</w:t>
      </w:r>
      <w:bookmarkEnd w:id="82"/>
      <w:bookmarkEnd w:id="83"/>
    </w:p>
    <w:p>
      <w:pPr>
        <w:pStyle w:val="65"/>
      </w:pPr>
      <w:r>
        <w:rPr>
          <w:rFonts w:hint="eastAsia"/>
        </w:rPr>
        <w:t>本表适用于除金融企业、事业单位和民间非营利组织外的企业填报。纳税人应根据国家统一会计制度的规定，填报“主营业务成本”“其他业务成本”和“营业外支出”。</w:t>
      </w:r>
    </w:p>
    <w:p>
      <w:pPr>
        <w:pStyle w:val="69"/>
        <w:ind w:firstLine="482"/>
        <w:outlineLvl w:val="0"/>
      </w:pPr>
      <w:bookmarkStart w:id="84" w:name="_Toc393480201"/>
      <w:r>
        <w:rPr>
          <w:rFonts w:hint="eastAsia"/>
        </w:rPr>
        <w:t>一、有关项目填报说明</w:t>
      </w:r>
      <w:bookmarkEnd w:id="84"/>
    </w:p>
    <w:p>
      <w:pPr>
        <w:pStyle w:val="65"/>
      </w:pPr>
      <w:r>
        <w:t>1</w:t>
      </w:r>
      <w:r>
        <w:rPr>
          <w:rFonts w:hint="eastAsia"/>
        </w:rPr>
        <w:t>.第</w:t>
      </w:r>
      <w:r>
        <w:t>1</w:t>
      </w:r>
      <w:r>
        <w:rPr>
          <w:rFonts w:hint="eastAsia"/>
        </w:rPr>
        <w:t>行“营业成本”：填报纳税人主要经营业务和其他经营业务发生的成本总额。本行根据“主营业务成本”和“其他业务成本”的数额计算填报。</w:t>
      </w:r>
    </w:p>
    <w:p>
      <w:pPr>
        <w:pStyle w:val="65"/>
      </w:pPr>
      <w:r>
        <w:t>2.</w:t>
      </w:r>
      <w:r>
        <w:rPr>
          <w:rFonts w:hint="eastAsia"/>
        </w:rPr>
        <w:t>第</w:t>
      </w:r>
      <w:r>
        <w:t>2</w:t>
      </w:r>
      <w:r>
        <w:rPr>
          <w:rFonts w:hint="eastAsia"/>
        </w:rPr>
        <w:t>行“主营业务成本”：根据不同行业的业务性质分别填报纳税人核算的主营业务成本。</w:t>
      </w:r>
    </w:p>
    <w:p>
      <w:pPr>
        <w:pStyle w:val="65"/>
      </w:pPr>
      <w:r>
        <w:t>3</w:t>
      </w:r>
      <w:r>
        <w:rPr>
          <w:rFonts w:hint="eastAsia"/>
        </w:rPr>
        <w:t>.第</w:t>
      </w:r>
      <w:r>
        <w:t>3</w:t>
      </w:r>
      <w:r>
        <w:rPr>
          <w:rFonts w:hint="eastAsia"/>
        </w:rPr>
        <w:t>行“销售商品成本”：填报纳税人从事工业制造、商品流通、农业生产以及其他商品销售活动发生的主营业务成本。房地产开发企业销售开发产品（销售未完工开发产品除外）发生的成本也在此行填报。</w:t>
      </w:r>
    </w:p>
    <w:p>
      <w:pPr>
        <w:pStyle w:val="65"/>
      </w:pPr>
      <w:r>
        <w:t>4.</w:t>
      </w:r>
      <w:r>
        <w:rPr>
          <w:rFonts w:hint="eastAsia"/>
        </w:rPr>
        <w:t>第</w:t>
      </w:r>
      <w:r>
        <w:t>4</w:t>
      </w:r>
      <w:r>
        <w:rPr>
          <w:rFonts w:hint="eastAsia"/>
        </w:rPr>
        <w:t>行“其中：非货币性资产交换成本”：填报纳税人发生的非货币性资产交换按照国家统一会计制度应确认的销售商品成本。</w:t>
      </w:r>
    </w:p>
    <w:p>
      <w:pPr>
        <w:pStyle w:val="65"/>
      </w:pPr>
      <w:r>
        <w:t>5.</w:t>
      </w:r>
      <w:r>
        <w:rPr>
          <w:rFonts w:hint="eastAsia"/>
        </w:rPr>
        <w:t>第</w:t>
      </w:r>
      <w:r>
        <w:t>5</w:t>
      </w:r>
      <w:r>
        <w:rPr>
          <w:rFonts w:hint="eastAsia"/>
        </w:rPr>
        <w:t>行“提供劳务成本”：填报纳税人从事建筑安装、修理修配、交通运输、仓储租赁、邮电通信、咨询经纪、文化体育、科学研究、技术服务、教育培训、餐饮住宿、中介代理、卫生保健、社区服务、旅游、娱乐、加工以及其他劳务活动发生的主营业务成本。</w:t>
      </w:r>
    </w:p>
    <w:p>
      <w:pPr>
        <w:pStyle w:val="65"/>
      </w:pPr>
      <w:r>
        <w:t>6.</w:t>
      </w:r>
      <w:r>
        <w:rPr>
          <w:rFonts w:hint="eastAsia"/>
        </w:rPr>
        <w:t>第</w:t>
      </w:r>
      <w:r>
        <w:t>6</w:t>
      </w:r>
      <w:r>
        <w:rPr>
          <w:rFonts w:hint="eastAsia"/>
        </w:rPr>
        <w:t>行“建造合同成本”：填报纳税人建造房屋、道路、桥梁、水坝等建筑物，以及生产船舶、飞机、大型机械设备等发生的主营业务成本。</w:t>
      </w:r>
    </w:p>
    <w:p>
      <w:pPr>
        <w:pStyle w:val="65"/>
      </w:pPr>
      <w:r>
        <w:t>7</w:t>
      </w:r>
      <w:r>
        <w:rPr>
          <w:rFonts w:hint="eastAsia"/>
        </w:rPr>
        <w:t>.第</w:t>
      </w:r>
      <w:r>
        <w:t>7</w:t>
      </w:r>
      <w:r>
        <w:rPr>
          <w:rFonts w:hint="eastAsia"/>
        </w:rPr>
        <w:t>行“让渡资产使用权成本”：填报纳税人在主营业务成本核算的，让渡无形资产使用权而发生的使用费成本以及出租固定资产、无形资产、投资性房地产发生的租金成本。</w:t>
      </w:r>
    </w:p>
    <w:p>
      <w:pPr>
        <w:pStyle w:val="65"/>
      </w:pPr>
      <w:r>
        <w:t>8</w:t>
      </w:r>
      <w:r>
        <w:rPr>
          <w:rFonts w:hint="eastAsia"/>
        </w:rPr>
        <w:t>.第</w:t>
      </w:r>
      <w:r>
        <w:t>8</w:t>
      </w:r>
      <w:r>
        <w:rPr>
          <w:rFonts w:hint="eastAsia"/>
        </w:rPr>
        <w:t>行“其他”：填报纳税人按照国家统一会计制度核算、上述未列举的其他主营业务成本。</w:t>
      </w:r>
    </w:p>
    <w:p>
      <w:pPr>
        <w:pStyle w:val="65"/>
      </w:pPr>
      <w:r>
        <w:t>9.</w:t>
      </w:r>
      <w:r>
        <w:rPr>
          <w:rFonts w:hint="eastAsia"/>
        </w:rPr>
        <w:t>第9行“其他业务成本”：根据不同行业的业务性质分别填报纳税人按照国家统一会计制度核算的其他业务成本。</w:t>
      </w:r>
    </w:p>
    <w:p>
      <w:pPr>
        <w:pStyle w:val="65"/>
      </w:pPr>
      <w:r>
        <w:t>10.</w:t>
      </w:r>
      <w:r>
        <w:rPr>
          <w:rFonts w:hint="eastAsia"/>
        </w:rPr>
        <w:t>第</w:t>
      </w:r>
      <w:r>
        <w:t>10</w:t>
      </w:r>
      <w:r>
        <w:rPr>
          <w:rFonts w:hint="eastAsia"/>
        </w:rPr>
        <w:t>行“销售材料成本”：填报纳税人销售材料、下脚料、废料、废旧物资等发生的成本。</w:t>
      </w:r>
    </w:p>
    <w:p>
      <w:pPr>
        <w:pStyle w:val="65"/>
      </w:pPr>
      <w:r>
        <w:t>11</w:t>
      </w:r>
      <w:r>
        <w:rPr>
          <w:rFonts w:hint="eastAsia"/>
        </w:rPr>
        <w:t>.第</w:t>
      </w:r>
      <w:r>
        <w:t>11</w:t>
      </w:r>
      <w:r>
        <w:rPr>
          <w:rFonts w:hint="eastAsia"/>
        </w:rPr>
        <w:t>行“其中：非货币性资产交换成本”：填报纳税人发生的非货币性资产交换按照国家统一会计制度应确认的材料销售成本。</w:t>
      </w:r>
    </w:p>
    <w:p>
      <w:pPr>
        <w:pStyle w:val="65"/>
      </w:pPr>
      <w:r>
        <w:t>12.</w:t>
      </w:r>
      <w:r>
        <w:rPr>
          <w:rFonts w:hint="eastAsia"/>
        </w:rPr>
        <w:t>第</w:t>
      </w:r>
      <w:r>
        <w:t>12</w:t>
      </w:r>
      <w:r>
        <w:rPr>
          <w:rFonts w:hint="eastAsia"/>
        </w:rPr>
        <w:t>行“出租固定资产成本”：填报纳税人将固定资产使用权让与承租人形成的出租固定资产成本。</w:t>
      </w:r>
    </w:p>
    <w:p>
      <w:pPr>
        <w:pStyle w:val="65"/>
      </w:pPr>
      <w:r>
        <w:t>13.</w:t>
      </w:r>
      <w:r>
        <w:rPr>
          <w:rFonts w:hint="eastAsia"/>
        </w:rPr>
        <w:t>第</w:t>
      </w:r>
      <w:r>
        <w:t>13</w:t>
      </w:r>
      <w:r>
        <w:rPr>
          <w:rFonts w:hint="eastAsia"/>
        </w:rPr>
        <w:t>行“出租无形资产成本”：填报纳税人让渡无形资产使用权形成的出租无形资产成本。</w:t>
      </w:r>
    </w:p>
    <w:p>
      <w:pPr>
        <w:pStyle w:val="65"/>
      </w:pPr>
      <w:r>
        <w:t>14.</w:t>
      </w:r>
      <w:r>
        <w:rPr>
          <w:rFonts w:hint="eastAsia"/>
        </w:rPr>
        <w:t>第</w:t>
      </w:r>
      <w:r>
        <w:t>14</w:t>
      </w:r>
      <w:r>
        <w:rPr>
          <w:rFonts w:hint="eastAsia"/>
        </w:rPr>
        <w:t>行“包装物出租成本”：填报纳税人出租、出借包装物形成的包装物出租成本。</w:t>
      </w:r>
    </w:p>
    <w:p>
      <w:pPr>
        <w:pStyle w:val="65"/>
      </w:pPr>
      <w:r>
        <w:t>15.</w:t>
      </w:r>
      <w:r>
        <w:rPr>
          <w:rFonts w:hint="eastAsia"/>
        </w:rPr>
        <w:t>第</w:t>
      </w:r>
      <w:r>
        <w:t>15</w:t>
      </w:r>
      <w:r>
        <w:rPr>
          <w:rFonts w:hint="eastAsia"/>
        </w:rPr>
        <w:t>行“其他”：填报纳税人按照国家统一会计制度核算，上述未列举的其他业务成本。</w:t>
      </w:r>
    </w:p>
    <w:p>
      <w:pPr>
        <w:pStyle w:val="65"/>
      </w:pPr>
      <w:r>
        <w:t>16.</w:t>
      </w:r>
      <w:r>
        <w:rPr>
          <w:rFonts w:hint="eastAsia"/>
        </w:rPr>
        <w:t>第</w:t>
      </w:r>
      <w:r>
        <w:t>16</w:t>
      </w:r>
      <w:r>
        <w:rPr>
          <w:rFonts w:hint="eastAsia"/>
        </w:rPr>
        <w:t>行“营业外支出”：填报纳税人计入本科目核算的与生产经营无直接关系的各项支出。</w:t>
      </w:r>
    </w:p>
    <w:p>
      <w:pPr>
        <w:pStyle w:val="65"/>
      </w:pPr>
      <w:r>
        <w:t>17.</w:t>
      </w:r>
      <w:r>
        <w:rPr>
          <w:rFonts w:hint="eastAsia"/>
        </w:rPr>
        <w:t>第</w:t>
      </w:r>
      <w:r>
        <w:t>17</w:t>
      </w:r>
      <w:r>
        <w:rPr>
          <w:rFonts w:hint="eastAsia"/>
        </w:rPr>
        <w:t>行“非流动资产处置损失”：填报纳税人处置非流动资产形成的净损失。</w:t>
      </w:r>
    </w:p>
    <w:p>
      <w:pPr>
        <w:pStyle w:val="65"/>
      </w:pPr>
      <w:r>
        <w:t>18.</w:t>
      </w:r>
      <w:r>
        <w:rPr>
          <w:rFonts w:hint="eastAsia"/>
        </w:rPr>
        <w:t>第</w:t>
      </w:r>
      <w:r>
        <w:t>18</w:t>
      </w:r>
      <w:r>
        <w:rPr>
          <w:rFonts w:hint="eastAsia"/>
        </w:rPr>
        <w:t>行“非货币性资产交换损失”：填报纳税人发生非货币性资产交换应确认的净损失。</w:t>
      </w:r>
    </w:p>
    <w:p>
      <w:pPr>
        <w:pStyle w:val="65"/>
      </w:pPr>
      <w:r>
        <w:t>19.</w:t>
      </w:r>
      <w:r>
        <w:rPr>
          <w:rFonts w:hint="eastAsia"/>
        </w:rPr>
        <w:t>第</w:t>
      </w:r>
      <w:r>
        <w:t>19</w:t>
      </w:r>
      <w:r>
        <w:rPr>
          <w:rFonts w:hint="eastAsia"/>
        </w:rPr>
        <w:t>行“债务重组损失”：填报纳税人进行债务重组应确认的净损失。</w:t>
      </w:r>
    </w:p>
    <w:p>
      <w:pPr>
        <w:pStyle w:val="65"/>
      </w:pPr>
      <w:r>
        <w:t>20.</w:t>
      </w:r>
      <w:r>
        <w:rPr>
          <w:rFonts w:hint="eastAsia"/>
        </w:rPr>
        <w:t>第</w:t>
      </w:r>
      <w:r>
        <w:t>20</w:t>
      </w:r>
      <w:r>
        <w:rPr>
          <w:rFonts w:hint="eastAsia"/>
        </w:rPr>
        <w:t>行“非常损失”：填报纳税人在营业外支出中核算的各项非正常的财产损失。</w:t>
      </w:r>
    </w:p>
    <w:p>
      <w:pPr>
        <w:pStyle w:val="65"/>
      </w:pPr>
      <w:r>
        <w:t>21.</w:t>
      </w:r>
      <w:r>
        <w:rPr>
          <w:rFonts w:hint="eastAsia"/>
        </w:rPr>
        <w:t>第</w:t>
      </w:r>
      <w:r>
        <w:t>21</w:t>
      </w:r>
      <w:r>
        <w:rPr>
          <w:rFonts w:hint="eastAsia"/>
        </w:rPr>
        <w:t>行“捐赠支出”：填报纳税人无偿给予其他企业、组织或个人的货币性资产、非货币性资产的捐赠支出。</w:t>
      </w:r>
    </w:p>
    <w:p>
      <w:pPr>
        <w:pStyle w:val="65"/>
      </w:pPr>
      <w:r>
        <w:t>22.</w:t>
      </w:r>
      <w:r>
        <w:rPr>
          <w:rFonts w:hint="eastAsia"/>
        </w:rPr>
        <w:t>第</w:t>
      </w:r>
      <w:r>
        <w:t>22</w:t>
      </w:r>
      <w:r>
        <w:rPr>
          <w:rFonts w:hint="eastAsia"/>
        </w:rPr>
        <w:t>行“赞助支出”：填报纳税人发生的货币性资产、非货币性资产赞助支出。</w:t>
      </w:r>
    </w:p>
    <w:p>
      <w:pPr>
        <w:pStyle w:val="65"/>
      </w:pPr>
      <w:r>
        <w:t>23</w:t>
      </w:r>
      <w:r>
        <w:rPr>
          <w:rFonts w:hint="eastAsia"/>
        </w:rPr>
        <w:t>.第</w:t>
      </w:r>
      <w:r>
        <w:t>23</w:t>
      </w:r>
      <w:r>
        <w:rPr>
          <w:rFonts w:hint="eastAsia"/>
        </w:rPr>
        <w:t>行“罚没支出”：填报纳税人在日常经营管理活动中对外支付的各项罚款、没收收入的支出。</w:t>
      </w:r>
    </w:p>
    <w:p>
      <w:pPr>
        <w:pStyle w:val="65"/>
      </w:pPr>
      <w:r>
        <w:t>24</w:t>
      </w:r>
      <w:r>
        <w:rPr>
          <w:rFonts w:hint="eastAsia"/>
        </w:rPr>
        <w:t>.第</w:t>
      </w:r>
      <w:r>
        <w:t>24</w:t>
      </w:r>
      <w:r>
        <w:rPr>
          <w:rFonts w:hint="eastAsia"/>
        </w:rPr>
        <w:t>行“坏帐损失”：填报纳税人发生的各项坏帐损失。（该项目为使用小企业会计准则企业填报）</w:t>
      </w:r>
    </w:p>
    <w:p>
      <w:pPr>
        <w:pStyle w:val="65"/>
      </w:pPr>
      <w:r>
        <w:t>25</w:t>
      </w:r>
      <w:r>
        <w:rPr>
          <w:rFonts w:hint="eastAsia"/>
        </w:rPr>
        <w:t>.第</w:t>
      </w:r>
      <w:r>
        <w:t>25</w:t>
      </w:r>
      <w:r>
        <w:rPr>
          <w:rFonts w:hint="eastAsia"/>
        </w:rPr>
        <w:t>行“无法收回的债券股权投资损失”：填报纳税人各项无法收回的债券股权投资损失。（该项目为使用小企业会计准则企业填报）</w:t>
      </w:r>
    </w:p>
    <w:p>
      <w:pPr>
        <w:pStyle w:val="65"/>
      </w:pPr>
      <w:r>
        <w:t>26.</w:t>
      </w:r>
      <w:r>
        <w:rPr>
          <w:rFonts w:hint="eastAsia"/>
        </w:rPr>
        <w:t>第</w:t>
      </w:r>
      <w:r>
        <w:t>26</w:t>
      </w:r>
      <w:r>
        <w:rPr>
          <w:rFonts w:hint="eastAsia"/>
        </w:rPr>
        <w:t>行“其他”：填报纳税人本期实际发生的在营业外支出核算的其他损失及支出。</w:t>
      </w:r>
    </w:p>
    <w:p>
      <w:pPr>
        <w:pStyle w:val="69"/>
        <w:ind w:firstLine="482"/>
        <w:outlineLvl w:val="0"/>
      </w:pPr>
      <w:bookmarkStart w:id="85" w:name="_Toc393480202"/>
      <w:r>
        <w:rPr>
          <w:rFonts w:hint="eastAsia"/>
        </w:rPr>
        <w:t>二、表内、表间关系</w:t>
      </w:r>
      <w:bookmarkEnd w:id="85"/>
    </w:p>
    <w:p>
      <w:pPr>
        <w:pStyle w:val="79"/>
        <w:outlineLvl w:val="1"/>
      </w:pPr>
      <w:r>
        <w:rPr>
          <w:rFonts w:hint="eastAsia"/>
        </w:rPr>
        <w:t>（一）表内关系</w:t>
      </w:r>
    </w:p>
    <w:p>
      <w:pPr>
        <w:pStyle w:val="65"/>
      </w:pPr>
      <w:r>
        <w:t>1.</w:t>
      </w:r>
      <w:r>
        <w:rPr>
          <w:rFonts w:hint="eastAsia"/>
        </w:rPr>
        <w:t>第</w:t>
      </w:r>
      <w:r>
        <w:t>1</w:t>
      </w:r>
      <w:r>
        <w:rPr>
          <w:rFonts w:hint="eastAsia"/>
        </w:rPr>
        <w:t>行</w:t>
      </w:r>
      <w:r>
        <w:t>＝</w:t>
      </w:r>
      <w:r>
        <w:rPr>
          <w:rFonts w:hint="eastAsia"/>
        </w:rPr>
        <w:t>第</w:t>
      </w:r>
      <w:r>
        <w:t>2+</w:t>
      </w:r>
      <w:r>
        <w:rPr>
          <w:rFonts w:hint="eastAsia"/>
        </w:rPr>
        <w:t>9行。</w:t>
      </w:r>
    </w:p>
    <w:p>
      <w:pPr>
        <w:pStyle w:val="65"/>
      </w:pPr>
      <w:r>
        <w:t>2.</w:t>
      </w:r>
      <w:r>
        <w:rPr>
          <w:rFonts w:hint="eastAsia"/>
        </w:rPr>
        <w:t>第</w:t>
      </w:r>
      <w:r>
        <w:t>2</w:t>
      </w:r>
      <w:r>
        <w:rPr>
          <w:rFonts w:hint="eastAsia"/>
        </w:rPr>
        <w:t>行</w:t>
      </w:r>
      <w:r>
        <w:t>＝</w:t>
      </w:r>
      <w:r>
        <w:rPr>
          <w:rFonts w:hint="eastAsia"/>
        </w:rPr>
        <w:t>第</w:t>
      </w:r>
      <w:r>
        <w:t>3+5+6+7+8</w:t>
      </w:r>
      <w:r>
        <w:rPr>
          <w:rFonts w:hint="eastAsia"/>
        </w:rPr>
        <w:t>行。</w:t>
      </w:r>
    </w:p>
    <w:p>
      <w:pPr>
        <w:pStyle w:val="65"/>
      </w:pPr>
      <w:r>
        <w:t>3.</w:t>
      </w:r>
      <w:r>
        <w:rPr>
          <w:rFonts w:hint="eastAsia"/>
        </w:rPr>
        <w:t>第</w:t>
      </w:r>
      <w:r>
        <w:t>9</w:t>
      </w:r>
      <w:r>
        <w:rPr>
          <w:rFonts w:hint="eastAsia"/>
        </w:rPr>
        <w:t>行</w:t>
      </w:r>
      <w:r>
        <w:t>＝</w:t>
      </w:r>
      <w:r>
        <w:rPr>
          <w:rFonts w:hint="eastAsia"/>
        </w:rPr>
        <w:t>第</w:t>
      </w:r>
      <w:r>
        <w:t>10+12+13+14+15</w:t>
      </w:r>
      <w:r>
        <w:rPr>
          <w:rFonts w:hint="eastAsia"/>
        </w:rPr>
        <w:t>行。</w:t>
      </w:r>
    </w:p>
    <w:p>
      <w:pPr>
        <w:pStyle w:val="65"/>
      </w:pPr>
      <w:r>
        <w:t>4.</w:t>
      </w:r>
      <w:r>
        <w:rPr>
          <w:rFonts w:hint="eastAsia"/>
        </w:rPr>
        <w:t>第</w:t>
      </w:r>
      <w:r>
        <w:t>16</w:t>
      </w:r>
      <w:r>
        <w:rPr>
          <w:rFonts w:hint="eastAsia"/>
        </w:rPr>
        <w:t>行</w:t>
      </w:r>
      <w:r>
        <w:t>＝</w:t>
      </w:r>
      <w:r>
        <w:rPr>
          <w:rFonts w:hint="eastAsia"/>
        </w:rPr>
        <w:t>第</w:t>
      </w:r>
      <w:r>
        <w:t>17+18+…</w:t>
      </w:r>
      <w:r>
        <w:rPr>
          <w:rFonts w:hint="eastAsia"/>
        </w:rPr>
        <w:t>+</w:t>
      </w:r>
      <w:r>
        <w:t>26</w:t>
      </w:r>
      <w:r>
        <w:rPr>
          <w:rFonts w:hint="eastAsia"/>
        </w:rPr>
        <w:t>行。</w:t>
      </w:r>
    </w:p>
    <w:p>
      <w:pPr>
        <w:pStyle w:val="79"/>
        <w:outlineLvl w:val="1"/>
      </w:pPr>
      <w:r>
        <w:rPr>
          <w:rFonts w:hint="eastAsia"/>
        </w:rPr>
        <w:t>（二）表间关系</w:t>
      </w:r>
    </w:p>
    <w:p>
      <w:pPr>
        <w:pStyle w:val="65"/>
      </w:pPr>
      <w:r>
        <w:t>1</w:t>
      </w:r>
      <w:r>
        <w:rPr>
          <w:rFonts w:hint="eastAsia"/>
        </w:rPr>
        <w:t>.第</w:t>
      </w:r>
      <w:r>
        <w:t>1</w:t>
      </w:r>
      <w:r>
        <w:rPr>
          <w:rFonts w:hint="eastAsia"/>
        </w:rPr>
        <w:t>行</w:t>
      </w:r>
      <w:r>
        <w:t>＝</w:t>
      </w:r>
      <w:r>
        <w:rPr>
          <w:rFonts w:hint="eastAsia"/>
        </w:rPr>
        <w:t>表</w:t>
      </w:r>
      <w:r>
        <w:t>A10000</w:t>
      </w:r>
      <w:r>
        <w:rPr>
          <w:rFonts w:hint="eastAsia"/>
        </w:rPr>
        <w:t>0第</w:t>
      </w:r>
      <w:r>
        <w:t>2</w:t>
      </w:r>
      <w:r>
        <w:rPr>
          <w:rFonts w:hint="eastAsia"/>
        </w:rPr>
        <w:t>行。</w:t>
      </w:r>
    </w:p>
    <w:p>
      <w:pPr>
        <w:pStyle w:val="65"/>
        <w:sectPr>
          <w:pgSz w:w="11906" w:h="16838"/>
          <w:pgMar w:top="1985" w:right="1418" w:bottom="1928" w:left="1418" w:header="851" w:footer="992" w:gutter="113"/>
          <w:pgNumType w:fmt="decimal"/>
          <w:cols w:space="720" w:num="1"/>
          <w:docGrid w:linePitch="312" w:charSpace="0"/>
        </w:sectPr>
      </w:pPr>
      <w:r>
        <w:t>2</w:t>
      </w:r>
      <w:r>
        <w:rPr>
          <w:rFonts w:hint="eastAsia"/>
        </w:rPr>
        <w:t>.第</w:t>
      </w:r>
      <w:r>
        <w:t>16</w:t>
      </w:r>
      <w:r>
        <w:rPr>
          <w:rFonts w:hint="eastAsia"/>
        </w:rPr>
        <w:t>行</w:t>
      </w:r>
      <w:r>
        <w:t>＝</w:t>
      </w:r>
      <w:r>
        <w:rPr>
          <w:rFonts w:hint="eastAsia"/>
        </w:rPr>
        <w:t>表</w:t>
      </w:r>
      <w:r>
        <w:t>A10000</w:t>
      </w:r>
      <w:r>
        <w:rPr>
          <w:rFonts w:hint="eastAsia"/>
        </w:rPr>
        <w:t>0第</w:t>
      </w:r>
      <w:r>
        <w:t>12</w:t>
      </w:r>
      <w:r>
        <w:rPr>
          <w:rFonts w:hint="eastAsia"/>
        </w:rPr>
        <w:t>行。</w:t>
      </w:r>
    </w:p>
    <w:p>
      <w:pPr>
        <w:pStyle w:val="66"/>
      </w:pPr>
      <w:bookmarkStart w:id="86" w:name="_Toc14579"/>
      <w:r>
        <w:rPr>
          <w:rFonts w:hint="eastAsia"/>
        </w:rPr>
        <w:t>A102020</w:t>
      </w:r>
      <w:r>
        <w:tab/>
      </w:r>
      <w:r>
        <w:rPr>
          <w:rFonts w:hint="eastAsia"/>
        </w:rPr>
        <w:t>金融企业支出明细表</w:t>
      </w:r>
      <w:bookmarkEnd w:id="86"/>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218"/>
              </w:rPr>
              <w:t>项</w:t>
            </w:r>
            <w:r>
              <w:rPr>
                <w:rFonts w:hint="eastAsia" w:ascii="宋体" w:hAnsi="宋体" w:cs="宋体"/>
                <w:spacing w:val="0"/>
                <w:kern w:val="0"/>
                <w:sz w:val="20"/>
                <w:szCs w:val="20"/>
                <w:fitText w:val="1400" w:id="1540489218"/>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216"/>
              </w:rPr>
              <w:t>金</w:t>
            </w:r>
            <w:r>
              <w:rPr>
                <w:rFonts w:hint="eastAsia" w:ascii="宋体" w:hAnsi="宋体" w:cs="宋体"/>
                <w:spacing w:val="0"/>
                <w:kern w:val="0"/>
                <w:sz w:val="20"/>
                <w:szCs w:val="20"/>
                <w:fitText w:val="1000" w:id="1540489216"/>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一、营业支出（2+15+25+31+32）</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（一）银行业务支出（3+11）</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1.银行利息支出（4+5+6+7+8+9+10）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（1）同业存放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（2）向中央银行借款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（3）拆入资金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（4）吸收存款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（5）卖出回购金融资产</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（6）发行债券</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（7）其他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2.银行手续费及佣金支出（12+13+14）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（二）保险业务支出（16+17-18+19-20+21+22-23+24）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1.退保金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3.提取保险责任准备金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4.保单红利支出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6.保险业务手续费及佣金支出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（三）证券业务支出（26+30）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1.证券业务手续费及佣金支出（27+28+29）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（1）证券经纪业务手续费支出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2.其他证券业务支出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（四）其他金融业务支出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（五）其他业务成本</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二、营业外支出（34+35+36+37+38+39）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（四）捐赠支出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（五）非常损失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（六）其他</w:t>
            </w:r>
          </w:p>
        </w:tc>
        <w:tc>
          <w:tcPr>
            <w:tcW w:w="2320" w:type="dxa"/>
            <w:noWrap/>
            <w:vAlign w:val="center"/>
          </w:tcPr>
          <w:p>
            <w:pPr>
              <w:widowControl/>
              <w:jc w:val="right"/>
              <w:rPr>
                <w:rFonts w:ascii="宋体" w:hAnsi="宋体" w:cs="宋体"/>
                <w:kern w:val="0"/>
                <w:sz w:val="20"/>
                <w:szCs w:val="20"/>
              </w:rPr>
            </w:pPr>
          </w:p>
        </w:tc>
      </w:tr>
    </w:tbl>
    <w:p>
      <w:pPr>
        <w:tabs>
          <w:tab w:val="left" w:pos="915"/>
        </w:tabs>
        <w:sectPr>
          <w:pgSz w:w="11906" w:h="16838"/>
          <w:pgMar w:top="1985" w:right="1418" w:bottom="1928" w:left="1418" w:header="851" w:footer="992" w:gutter="113"/>
          <w:pgNumType w:fmt="decimal"/>
          <w:cols w:space="720" w:num="1"/>
          <w:titlePg/>
          <w:docGrid w:linePitch="312" w:charSpace="0"/>
        </w:sectPr>
      </w:pPr>
    </w:p>
    <w:p>
      <w:pPr>
        <w:pStyle w:val="88"/>
        <w:spacing w:before="240" w:after="360"/>
        <w:rPr>
          <w:rFonts w:ascii="宋体" w:eastAsia="宋体"/>
          <w:b/>
        </w:rPr>
      </w:pPr>
      <w:bookmarkStart w:id="87" w:name="_Toc8475"/>
      <w:r>
        <w:rPr>
          <w:rFonts w:hint="eastAsia" w:ascii="宋体" w:eastAsia="宋体"/>
          <w:b/>
        </w:rPr>
        <w:t>A102020《金融企业支出明细表》填报说明</w:t>
      </w:r>
      <w:bookmarkEnd w:id="87"/>
    </w:p>
    <w:p>
      <w:pPr>
        <w:spacing w:line="360" w:lineRule="auto"/>
        <w:ind w:firstLine="480" w:firstLineChars="200"/>
        <w:rPr>
          <w:rFonts w:ascii="宋体" w:hAnsi="宋体"/>
          <w:sz w:val="24"/>
        </w:rPr>
      </w:pPr>
      <w:r>
        <w:rPr>
          <w:rFonts w:hint="eastAsia" w:ascii="宋体" w:hAnsi="宋体"/>
          <w:sz w:val="24"/>
        </w:rPr>
        <w:t>本表适用于执行企业会计准则的金融企业纳税人填报，包括银行（信用社）、保险公司、证券公司等金融企业。纳税人根据企业会计准则的规定填报“营业支出”“营业外支出”。金融企业发生的业务及管理费填报表A104000《期间费用明细表》第1列“销售费用”相应的行次。</w:t>
      </w:r>
    </w:p>
    <w:p>
      <w:pPr>
        <w:pStyle w:val="69"/>
        <w:ind w:firstLine="482"/>
        <w:outlineLvl w:val="0"/>
      </w:pPr>
      <w:r>
        <w:rPr>
          <w:rFonts w:hint="eastAsia"/>
        </w:rPr>
        <w:t>一、有关项目填报说明</w:t>
      </w:r>
    </w:p>
    <w:p>
      <w:pPr>
        <w:pStyle w:val="65"/>
      </w:pPr>
      <w:r>
        <w:rPr>
          <w:rFonts w:hint="eastAsia"/>
        </w:rPr>
        <w:t>1.第1行“营业支出”：填报金融企业提供金融商品服务发生的支出。</w:t>
      </w:r>
    </w:p>
    <w:p>
      <w:pPr>
        <w:pStyle w:val="65"/>
      </w:pPr>
      <w:r>
        <w:rPr>
          <w:rFonts w:hint="eastAsia"/>
        </w:rPr>
        <w:t>2.第2行“银行业务支出”：填报纳税人从事银行业务发生的支出。</w:t>
      </w:r>
    </w:p>
    <w:p>
      <w:pPr>
        <w:pStyle w:val="65"/>
      </w:pPr>
      <w:r>
        <w:rPr>
          <w:rFonts w:hint="eastAsia"/>
        </w:rPr>
        <w:t>3.第3行“银行利息支出”：填报纳税人经营存贷款业务等发生的利息支出，包括同业存放、向中央银行借款、拆入资金、吸收存款、卖出回购金融资产、发行债券和其他业务利息支出。</w:t>
      </w:r>
    </w:p>
    <w:p>
      <w:pPr>
        <w:pStyle w:val="65"/>
      </w:pPr>
      <w:r>
        <w:rPr>
          <w:rFonts w:hint="eastAsia"/>
        </w:rPr>
        <w:t>4.第11行“银行手续费及佣金支出”：填报纳税人发生的与银行业务活动相关的各项手续费、佣金等支出。</w:t>
      </w:r>
    </w:p>
    <w:p>
      <w:pPr>
        <w:pStyle w:val="65"/>
      </w:pPr>
      <w:r>
        <w:rPr>
          <w:rFonts w:hint="eastAsia"/>
        </w:rPr>
        <w:t>5.第15行“保险业务支出”：填报保险企业发生的与保险业务相关的费用支出。</w:t>
      </w:r>
    </w:p>
    <w:p>
      <w:pPr>
        <w:pStyle w:val="65"/>
      </w:pPr>
      <w:r>
        <w:rPr>
          <w:rFonts w:hint="eastAsia"/>
        </w:rPr>
        <w:t>6.第16行“退保金”：填报保险企业寿险原保险合同提前解除时按照约定应当退还投保人的保单现金价值。</w:t>
      </w:r>
    </w:p>
    <w:p>
      <w:pPr>
        <w:pStyle w:val="65"/>
      </w:pPr>
      <w:r>
        <w:rPr>
          <w:rFonts w:hint="eastAsia"/>
        </w:rPr>
        <w:t>7.第17行“赔付支出”：填报保险企业支付的原保险合同赔付款项和再保险合同赔付款项。</w:t>
      </w:r>
    </w:p>
    <w:p>
      <w:pPr>
        <w:pStyle w:val="65"/>
      </w:pPr>
      <w:r>
        <w:rPr>
          <w:rFonts w:hint="eastAsia"/>
        </w:rPr>
        <w:t>8.第18行“减：摊回赔付支出”：填报保险企业（再保险分出人）向再保险接受人摊回的赔付成本。</w:t>
      </w:r>
    </w:p>
    <w:p>
      <w:pPr>
        <w:pStyle w:val="65"/>
      </w:pPr>
      <w:r>
        <w:rPr>
          <w:rFonts w:hint="eastAsia"/>
        </w:rPr>
        <w:t>9.第19行“提取保险责任准备金”：填报保险企业提取的原保险合同保险责任准备金，包括提取的未决赔款准备金、提取的寿险责任准备金、提取的长期健康责任准备金。</w:t>
      </w:r>
    </w:p>
    <w:p>
      <w:pPr>
        <w:pStyle w:val="65"/>
      </w:pPr>
      <w:r>
        <w:rPr>
          <w:rFonts w:hint="eastAsia"/>
        </w:rPr>
        <w:t>10.第20行“减：摊回保险责任准备金”：填报保险企业（再保险分出人）从事再保险业务应向再保险接受人摊回的保险责任准备金，包括未决赔款准备金、寿险责任准备金、长期健康险责任准备金。</w:t>
      </w:r>
    </w:p>
    <w:p>
      <w:pPr>
        <w:pStyle w:val="65"/>
      </w:pPr>
      <w:r>
        <w:rPr>
          <w:rFonts w:hint="eastAsia"/>
        </w:rPr>
        <w:t>11.第21行“保单红利支出”：填报保险企业按原保险合同约定支付给投保人的红利。</w:t>
      </w:r>
    </w:p>
    <w:p>
      <w:pPr>
        <w:pStyle w:val="65"/>
      </w:pPr>
      <w:r>
        <w:rPr>
          <w:rFonts w:hint="eastAsia"/>
        </w:rPr>
        <w:t>12.第22行“分保费用”：填报保险企业（再保险接受人）向再保险分出人支付的分保费用。</w:t>
      </w:r>
    </w:p>
    <w:p>
      <w:pPr>
        <w:pStyle w:val="65"/>
      </w:pPr>
      <w:r>
        <w:rPr>
          <w:rFonts w:hint="eastAsia"/>
        </w:rPr>
        <w:t>13.第23行“减：摊回分保费用”：填报保险企业（再保险分出人）向再保险接受人摊回的分保费用。</w:t>
      </w:r>
    </w:p>
    <w:p>
      <w:pPr>
        <w:pStyle w:val="65"/>
      </w:pPr>
      <w:r>
        <w:rPr>
          <w:rFonts w:hint="eastAsia"/>
        </w:rPr>
        <w:t>14.第24行“保险业务手续费及佣金支出”：填报保险企业发生的与其保险业务活动相关的各项手续费、佣金支出。</w:t>
      </w:r>
    </w:p>
    <w:p>
      <w:pPr>
        <w:pStyle w:val="65"/>
      </w:pPr>
      <w:r>
        <w:rPr>
          <w:rFonts w:hint="eastAsia"/>
        </w:rPr>
        <w:t>15.第25行“证券业务支出”：填报纳税人从事证券业务发生的证券手续费支出和其他证券业务支出。</w:t>
      </w:r>
    </w:p>
    <w:p>
      <w:pPr>
        <w:pStyle w:val="65"/>
      </w:pPr>
      <w:r>
        <w:rPr>
          <w:rFonts w:hint="eastAsia"/>
        </w:rPr>
        <w:t>16.第26行“证券业务手续费及佣金支出”：填报纳税人代理承销、兑付和买卖证券等业务发生的各项手续费、风险结算金、承销业务直接相关的各项费用及佣金支出。</w:t>
      </w:r>
    </w:p>
    <w:p>
      <w:pPr>
        <w:pStyle w:val="65"/>
      </w:pPr>
      <w:r>
        <w:rPr>
          <w:rFonts w:hint="eastAsia"/>
        </w:rPr>
        <w:t>17.第30行“其他证券业务支出”：填报纳税人从事除经纪、自营和承销业务以外的与证券有关的业务支出。</w:t>
      </w:r>
    </w:p>
    <w:p>
      <w:pPr>
        <w:pStyle w:val="65"/>
      </w:pPr>
      <w:r>
        <w:rPr>
          <w:rFonts w:hint="eastAsia"/>
        </w:rPr>
        <w:t>18.第31行“其他金融业务支出”：填报纳税人提供除银行业、保险业、证券业以外的金融商品服务发生的相关业务支出。</w:t>
      </w:r>
    </w:p>
    <w:p>
      <w:pPr>
        <w:pStyle w:val="65"/>
      </w:pPr>
      <w:r>
        <w:rPr>
          <w:rFonts w:hint="eastAsia"/>
        </w:rPr>
        <w:t>19.第32行“其他业务成本”：填报纳税人发生的除主营业务活动以外的其他经营活动发生的支出。</w:t>
      </w:r>
    </w:p>
    <w:p>
      <w:pPr>
        <w:pStyle w:val="65"/>
      </w:pPr>
      <w:r>
        <w:rPr>
          <w:rFonts w:hint="eastAsia"/>
        </w:rPr>
        <w:t>20.第33行“营业外支出”：填报纳税人发生的各项营业外支出，包括非流动资产处置损失、非货币性资产交换损失、债务重组损失、捐赠支出、非常损失等。</w:t>
      </w:r>
    </w:p>
    <w:p>
      <w:pPr>
        <w:pStyle w:val="65"/>
      </w:pPr>
      <w:r>
        <w:rPr>
          <w:rFonts w:hint="eastAsia"/>
        </w:rPr>
        <w:t>21.第34行“非流动资产处置损失”：填报纳税人处置非流动资产形成的净损失。</w:t>
      </w:r>
    </w:p>
    <w:p>
      <w:pPr>
        <w:pStyle w:val="65"/>
      </w:pPr>
      <w:r>
        <w:rPr>
          <w:rFonts w:hint="eastAsia" w:cs="宋体"/>
        </w:rPr>
        <w:t>22.第35行“非货币性资产交换损失”：填报纳税人发生非货币性资产交换应确认的净损失。</w:t>
      </w:r>
    </w:p>
    <w:p>
      <w:pPr>
        <w:pStyle w:val="65"/>
      </w:pPr>
      <w:r>
        <w:rPr>
          <w:rFonts w:hint="eastAsia" w:cs="宋体"/>
        </w:rPr>
        <w:t>23.第36行“债务重组损失”：填报纳税人进行债务重组应确认的净损失。</w:t>
      </w:r>
    </w:p>
    <w:p>
      <w:pPr>
        <w:pStyle w:val="65"/>
        <w:rPr>
          <w:rFonts w:cs="宋体"/>
        </w:rPr>
      </w:pPr>
      <w:r>
        <w:rPr>
          <w:rFonts w:hint="eastAsia" w:cs="宋体"/>
        </w:rPr>
        <w:t>24.第37行“捐赠支出”：填报纳税人无偿给予其他企业、组织或个人的货币性资产、非货币性资产的捐赠支出。</w:t>
      </w:r>
    </w:p>
    <w:p>
      <w:pPr>
        <w:pStyle w:val="65"/>
        <w:rPr>
          <w:rFonts w:cs="宋体"/>
        </w:rPr>
      </w:pPr>
      <w:r>
        <w:rPr>
          <w:rFonts w:hint="eastAsia" w:cs="宋体"/>
        </w:rPr>
        <w:t>25.第38行“非常损失”：填报纳税人在营业外支出中核算的各项非正常的财产损失。</w:t>
      </w:r>
    </w:p>
    <w:p>
      <w:pPr>
        <w:pStyle w:val="65"/>
      </w:pPr>
      <w:r>
        <w:rPr>
          <w:rFonts w:hint="eastAsia" w:cs="宋体"/>
        </w:rPr>
        <w:t>26.第39行“其他”：填报纳税人本期实际发生的在营业外支出核算的其他损失及支出。</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1.第1行＝第2+15+25+31+32行。</w:t>
      </w:r>
    </w:p>
    <w:p>
      <w:pPr>
        <w:pStyle w:val="65"/>
      </w:pPr>
      <w:r>
        <w:rPr>
          <w:rFonts w:hint="eastAsia"/>
        </w:rPr>
        <w:t>2.第2行＝第3+11行。</w:t>
      </w:r>
    </w:p>
    <w:p>
      <w:pPr>
        <w:pStyle w:val="65"/>
      </w:pPr>
      <w:r>
        <w:rPr>
          <w:rFonts w:hint="eastAsia"/>
        </w:rPr>
        <w:t>3.第3行＝第4+5+</w:t>
      </w:r>
      <w:r>
        <w:t>…</w:t>
      </w:r>
      <w:r>
        <w:rPr>
          <w:rFonts w:hint="eastAsia"/>
        </w:rPr>
        <w:t>+10行。</w:t>
      </w:r>
    </w:p>
    <w:p>
      <w:pPr>
        <w:pStyle w:val="65"/>
      </w:pPr>
      <w:r>
        <w:rPr>
          <w:rFonts w:hint="eastAsia"/>
        </w:rPr>
        <w:t>4.第11行＝第12+13+14行。</w:t>
      </w:r>
    </w:p>
    <w:p>
      <w:pPr>
        <w:pStyle w:val="65"/>
      </w:pPr>
      <w:r>
        <w:rPr>
          <w:rFonts w:hint="eastAsia"/>
        </w:rPr>
        <w:t>5.第15行＝第16+17-18+19-20+21+22-23+24行。</w:t>
      </w:r>
    </w:p>
    <w:p>
      <w:pPr>
        <w:pStyle w:val="65"/>
      </w:pPr>
      <w:r>
        <w:rPr>
          <w:rFonts w:hint="eastAsia"/>
        </w:rPr>
        <w:t>6.第25行＝第26+30行。</w:t>
      </w:r>
    </w:p>
    <w:p>
      <w:pPr>
        <w:pStyle w:val="65"/>
      </w:pPr>
      <w:r>
        <w:rPr>
          <w:rFonts w:hint="eastAsia"/>
        </w:rPr>
        <w:t>7.第26行＝第27+28+29行。</w:t>
      </w:r>
    </w:p>
    <w:p>
      <w:pPr>
        <w:pStyle w:val="65"/>
      </w:pPr>
      <w:r>
        <w:rPr>
          <w:rFonts w:hint="eastAsia"/>
        </w:rPr>
        <w:t>8.第33行＝第34+35+</w:t>
      </w:r>
      <w:r>
        <w:t>…</w:t>
      </w:r>
      <w:r>
        <w:rPr>
          <w:rFonts w:hint="eastAsia"/>
        </w:rPr>
        <w:t>39行。</w:t>
      </w:r>
    </w:p>
    <w:p>
      <w:pPr>
        <w:pStyle w:val="79"/>
        <w:outlineLvl w:val="1"/>
      </w:pPr>
      <w:r>
        <w:rPr>
          <w:rFonts w:hint="eastAsia"/>
        </w:rPr>
        <w:t>（二）表间关系</w:t>
      </w:r>
    </w:p>
    <w:p>
      <w:pPr>
        <w:pStyle w:val="65"/>
      </w:pPr>
      <w:r>
        <w:rPr>
          <w:rFonts w:hint="eastAsia"/>
        </w:rPr>
        <w:t>1.第1行＝表A100000第2行。</w:t>
      </w:r>
    </w:p>
    <w:p>
      <w:pPr>
        <w:pStyle w:val="65"/>
        <w:sectPr>
          <w:pgSz w:w="11906" w:h="16838"/>
          <w:pgMar w:top="1985" w:right="1418" w:bottom="1928" w:left="1418" w:header="851" w:footer="992" w:gutter="113"/>
          <w:pgNumType w:fmt="decimal"/>
          <w:cols w:space="720" w:num="1"/>
          <w:docGrid w:linePitch="312" w:charSpace="0"/>
        </w:sectPr>
      </w:pPr>
      <w:r>
        <w:rPr>
          <w:rFonts w:hint="eastAsia"/>
        </w:rPr>
        <w:t>2.第33行＝表A100000第12行。</w:t>
      </w:r>
    </w:p>
    <w:p>
      <w:pPr>
        <w:pStyle w:val="66"/>
      </w:pPr>
      <w:bookmarkStart w:id="88" w:name="_Toc21480"/>
      <w:r>
        <w:rPr>
          <w:rFonts w:hint="eastAsia"/>
        </w:rPr>
        <w:t>A103000</w:t>
      </w:r>
      <w:r>
        <w:tab/>
      </w:r>
      <w:r>
        <w:rPr>
          <w:rFonts w:hint="eastAsia"/>
        </w:rPr>
        <w:t>事业单位、民间非营利组织收入、支出明细表</w:t>
      </w:r>
      <w:bookmarkEnd w:id="88"/>
    </w:p>
    <w:tbl>
      <w:tblPr>
        <w:tblStyle w:val="25"/>
        <w:tblW w:w="89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4880"/>
        <w:gridCol w:w="3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48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4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一、事业单位收入（2+3+4+5+6+7）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（一）财政补助收入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（二）事业收入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（三）上级补助收入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（四）附属单位上缴收入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（五）经营收入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（六）其他收入（8+9）</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488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4880" w:type="dxa"/>
            <w:noWrap/>
            <w:vAlign w:val="center"/>
          </w:tcPr>
          <w:p>
            <w:pPr>
              <w:widowControl/>
              <w:ind w:firstLine="1600" w:firstLineChars="800"/>
              <w:jc w:val="left"/>
              <w:rPr>
                <w:rFonts w:ascii="宋体" w:hAnsi="宋体" w:cs="宋体"/>
                <w:kern w:val="0"/>
                <w:sz w:val="20"/>
                <w:szCs w:val="20"/>
              </w:rPr>
            </w:pPr>
            <w:r>
              <w:rPr>
                <w:rFonts w:hint="eastAsia" w:ascii="宋体" w:hAnsi="宋体" w:cs="宋体"/>
                <w:kern w:val="0"/>
                <w:sz w:val="20"/>
                <w:szCs w:val="20"/>
              </w:rPr>
              <w:t>其他</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二、民间非营利组织收入(11+12+13+14+15+16+17)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（一）接受捐赠收入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（二）会费收入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（三）提供劳务收入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（四）商品销售收入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（五）政府补助收入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（七）其他收入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三、事业单位支出（19+20+21+22+23）</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（一）事业支出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（二）上缴上级支出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（三）对附属单位补助支出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（四）经营支出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四、民间非营利组织支出（25+26+27+28）</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（一）业务活动成本</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（二）管理费用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（三）筹资费用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（四）其他费用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tabs>
          <w:tab w:val="left" w:pos="2820"/>
        </w:tabs>
        <w:sectPr>
          <w:pgSz w:w="11906" w:h="16838"/>
          <w:pgMar w:top="1985" w:right="1418" w:bottom="1928" w:left="1418" w:header="851" w:footer="992" w:gutter="113"/>
          <w:pgNumType w:fmt="decimal"/>
          <w:cols w:space="720" w:num="1"/>
          <w:titlePg/>
          <w:docGrid w:linePitch="312" w:charSpace="0"/>
        </w:sectPr>
      </w:pPr>
      <w:r>
        <w:tab/>
      </w:r>
    </w:p>
    <w:p>
      <w:pPr>
        <w:pStyle w:val="88"/>
        <w:spacing w:before="240" w:after="360"/>
        <w:rPr>
          <w:rFonts w:ascii="宋体" w:eastAsia="宋体"/>
          <w:b/>
        </w:rPr>
      </w:pPr>
      <w:bookmarkStart w:id="89" w:name="_Toc13216"/>
      <w:bookmarkStart w:id="90" w:name="_Toc393480208"/>
      <w:r>
        <w:rPr>
          <w:rFonts w:ascii="宋体" w:eastAsia="宋体"/>
          <w:b/>
        </w:rPr>
        <w:t>A103000</w:t>
      </w:r>
      <w:r>
        <w:rPr>
          <w:rFonts w:hint="eastAsia" w:ascii="宋体" w:eastAsia="宋体"/>
          <w:b/>
        </w:rPr>
        <w:t>《事业单位、民间非营利组织收入、支出明细表》填报说明</w:t>
      </w:r>
      <w:bookmarkEnd w:id="89"/>
    </w:p>
    <w:p>
      <w:pPr>
        <w:pStyle w:val="65"/>
      </w:pPr>
      <w:r>
        <w:rPr>
          <w:rFonts w:hint="eastAsia"/>
        </w:rPr>
        <w:t>本表适用于实行事业单位会计准则的事业单位以及执行民间非营利组织会计制度的社会团体、民办非企业单位、非营利性组织等查账征收居民纳税人填报。纳税人应根据事业单位会计准则、民间非营利组织会计制度的规定，填报“事业单位收入”“民间非营利组织收入”“事业单位支出”“民间非营利组织支出”等。</w:t>
      </w:r>
    </w:p>
    <w:p>
      <w:pPr>
        <w:pStyle w:val="69"/>
        <w:ind w:firstLine="482"/>
        <w:outlineLvl w:val="0"/>
      </w:pPr>
      <w:r>
        <w:rPr>
          <w:rFonts w:hint="eastAsia"/>
        </w:rPr>
        <w:t>一、有关项目填报说明</w:t>
      </w:r>
    </w:p>
    <w:p>
      <w:pPr>
        <w:pStyle w:val="79"/>
        <w:outlineLvl w:val="1"/>
      </w:pPr>
      <w:r>
        <w:rPr>
          <w:rFonts w:hint="eastAsia"/>
        </w:rPr>
        <w:t>（一）事业单位填报说明</w:t>
      </w:r>
    </w:p>
    <w:p>
      <w:pPr>
        <w:pStyle w:val="65"/>
      </w:pPr>
      <w:r>
        <w:rPr>
          <w:rFonts w:hint="eastAsia"/>
        </w:rPr>
        <w:t>第1行至第9行由执行事业单位会计准则的纳税人填报。</w:t>
      </w:r>
    </w:p>
    <w:p>
      <w:pPr>
        <w:pStyle w:val="65"/>
      </w:pPr>
      <w:r>
        <w:rPr>
          <w:rFonts w:hint="eastAsia"/>
        </w:rPr>
        <w:t>1.第1行“事业单位收入”：填报纳税人取得的所有收入的金额（包括不征税收入和免税收入），按照会计核算口径填报。</w:t>
      </w:r>
    </w:p>
    <w:p>
      <w:pPr>
        <w:pStyle w:val="65"/>
      </w:pPr>
      <w:r>
        <w:rPr>
          <w:rFonts w:hint="eastAsia"/>
        </w:rPr>
        <w:t>2.第2行“财政补助收入”：填报纳税人直接从同级财政部门取得的各类财政拨款，包括基本支出补助和项目支出补助。</w:t>
      </w:r>
    </w:p>
    <w:p>
      <w:pPr>
        <w:pStyle w:val="65"/>
      </w:pPr>
      <w:r>
        <w:rPr>
          <w:rFonts w:hint="eastAsia"/>
        </w:rPr>
        <w:t>3.第3行“事业收入”：填报纳税人通过开展专业业务活动及辅助活动所取得的收入。</w:t>
      </w:r>
    </w:p>
    <w:p>
      <w:pPr>
        <w:pStyle w:val="65"/>
      </w:pPr>
      <w:r>
        <w:rPr>
          <w:rFonts w:hint="eastAsia"/>
        </w:rPr>
        <w:t>4.第4行“上级补助收入”：填报纳税人从主管部门和上级单位取得的非财政补助收入。</w:t>
      </w:r>
    </w:p>
    <w:p>
      <w:pPr>
        <w:pStyle w:val="65"/>
      </w:pPr>
      <w:r>
        <w:rPr>
          <w:rFonts w:hint="eastAsia"/>
        </w:rPr>
        <w:t>5.第5行“附属单位上缴收入”：填报纳税人附属独立核算单位按有关规定上缴的收入。包括附属事业单位上缴的收入和附属企业上缴的利润等。</w:t>
      </w:r>
    </w:p>
    <w:p>
      <w:pPr>
        <w:pStyle w:val="65"/>
      </w:pPr>
      <w:r>
        <w:rPr>
          <w:rFonts w:hint="eastAsia"/>
        </w:rPr>
        <w:t>6.第6行“经营收入”：填报纳税人开展专业业务活动及其辅助活动之外开展非独立核算经营活动取得的收入。</w:t>
      </w:r>
    </w:p>
    <w:p>
      <w:pPr>
        <w:pStyle w:val="65"/>
      </w:pPr>
      <w:r>
        <w:rPr>
          <w:rFonts w:hint="eastAsia"/>
        </w:rPr>
        <w:t>7.第7行“其他收入”：填报纳税人取得的除本表第2行至第6行项目以外的收入，包括投资收益、银行存款利息收入、租金收入、捐赠收入、现金盘盈收入、存货盘盈收入、收回已核销应收及预付款项、无法偿付的应付及预收款项等。</w:t>
      </w:r>
    </w:p>
    <w:p>
      <w:pPr>
        <w:pStyle w:val="65"/>
      </w:pPr>
      <w:r>
        <w:rPr>
          <w:rFonts w:hint="eastAsia"/>
        </w:rPr>
        <w:t>8.第8行“其中：投资收益”：填报在“其他收入”科目中核算的各项短期投资、长期债券投资、长期股权投资取得的投资收益。</w:t>
      </w:r>
    </w:p>
    <w:p>
      <w:pPr>
        <w:pStyle w:val="65"/>
      </w:pPr>
      <w:r>
        <w:rPr>
          <w:rFonts w:hint="eastAsia"/>
        </w:rPr>
        <w:t>9.第9行“其他”：填报在“其他收入”科目中核算的除投资收益以外的收入。</w:t>
      </w:r>
    </w:p>
    <w:p>
      <w:pPr>
        <w:pStyle w:val="79"/>
        <w:outlineLvl w:val="1"/>
      </w:pPr>
      <w:r>
        <w:rPr>
          <w:rFonts w:hint="eastAsia"/>
        </w:rPr>
        <w:t>（二）民间非营利组织填报说明</w:t>
      </w:r>
    </w:p>
    <w:p>
      <w:pPr>
        <w:pStyle w:val="65"/>
      </w:pPr>
      <w:r>
        <w:rPr>
          <w:rFonts w:hint="eastAsia"/>
        </w:rPr>
        <w:t>第10行至第17行由执行民间非营利组织会计制度的纳税人填报。</w:t>
      </w:r>
    </w:p>
    <w:p>
      <w:pPr>
        <w:pStyle w:val="65"/>
      </w:pPr>
      <w:r>
        <w:rPr>
          <w:rFonts w:hint="eastAsia"/>
        </w:rPr>
        <w:t>10.第10行“民间非营利组织收入”：填报纳税人开展业务活动取得的收入，应当包括接受捐赠收入、会费收入、提供劳务收入、政府补助收入、投资收益、商品销售收入等主要业务活动收入和其他收入等。</w:t>
      </w:r>
    </w:p>
    <w:p>
      <w:pPr>
        <w:pStyle w:val="65"/>
      </w:pPr>
      <w:r>
        <w:rPr>
          <w:rFonts w:hint="eastAsia"/>
        </w:rPr>
        <w:t>11.第11行“接受捐赠收入”：填报纳税人接受其他单位或者个人捐赠所取得的收入。</w:t>
      </w:r>
    </w:p>
    <w:p>
      <w:pPr>
        <w:pStyle w:val="65"/>
      </w:pPr>
      <w:r>
        <w:rPr>
          <w:rFonts w:hint="eastAsia"/>
        </w:rPr>
        <w:t>12.第12行“会费收入”：填报纳税人根据章程等规定向会员收取的会费收入。</w:t>
      </w:r>
    </w:p>
    <w:p>
      <w:pPr>
        <w:pStyle w:val="65"/>
      </w:pPr>
      <w:r>
        <w:rPr>
          <w:rFonts w:hint="eastAsia"/>
        </w:rPr>
        <w:t>13.第13行“提供劳务收入”：填报纳税人根据章程等规定向其服务对象提供服务取得的收入，包括学费收入、医疗费收入、培训收入等。</w:t>
      </w:r>
    </w:p>
    <w:p>
      <w:pPr>
        <w:pStyle w:val="65"/>
      </w:pPr>
      <w:r>
        <w:rPr>
          <w:rFonts w:hint="eastAsia"/>
        </w:rPr>
        <w:t>14.第14行“商品销售收入”：填报纳税人销售商品（如出版物、药品等）所形成的收入。</w:t>
      </w:r>
    </w:p>
    <w:p>
      <w:pPr>
        <w:pStyle w:val="65"/>
      </w:pPr>
      <w:r>
        <w:rPr>
          <w:rFonts w:hint="eastAsia"/>
        </w:rPr>
        <w:t>15.第15行“政府补助收入”：填报纳税人接受政府拨款或者政府机构给予的补助而取得的收入。</w:t>
      </w:r>
    </w:p>
    <w:p>
      <w:pPr>
        <w:pStyle w:val="65"/>
      </w:pPr>
      <w:r>
        <w:rPr>
          <w:rFonts w:hint="eastAsia"/>
        </w:rPr>
        <w:t>16.第16行“投资收益”：填报纳税人因对外投资取得的投资净收益。</w:t>
      </w:r>
    </w:p>
    <w:p>
      <w:pPr>
        <w:pStyle w:val="65"/>
      </w:pPr>
      <w:r>
        <w:rPr>
          <w:rFonts w:hint="eastAsia"/>
        </w:rPr>
        <w:t>17.第17行“其他收入”：填报纳税人除上述主要业务活动收入以外的其他收入，如固定资产处置净收入、无形资产处置净收入等。</w:t>
      </w:r>
    </w:p>
    <w:p>
      <w:pPr>
        <w:pStyle w:val="65"/>
      </w:pPr>
      <w:r>
        <w:rPr>
          <w:rFonts w:hint="eastAsia"/>
        </w:rPr>
        <w:t>第18行至第23行由执行事业单位会计准则的纳税人填报。</w:t>
      </w:r>
    </w:p>
    <w:p>
      <w:pPr>
        <w:pStyle w:val="65"/>
      </w:pPr>
      <w:r>
        <w:rPr>
          <w:rFonts w:hint="eastAsia"/>
        </w:rPr>
        <w:t>18.第18行“事业单位支出”：填报纳税人发生的所有支出总额（含不征税收入形成的支出），按照会计核算口径填报。</w:t>
      </w:r>
    </w:p>
    <w:p>
      <w:pPr>
        <w:pStyle w:val="65"/>
      </w:pPr>
      <w:r>
        <w:rPr>
          <w:rFonts w:hint="eastAsia"/>
        </w:rPr>
        <w:t>19.第19行“事业支出”：填报纳税人开展专业业务活动及其辅助活动发生的支出，包括工资、补助工资、职工福利费、社会保障费、助学金，公务费、业务费、设备购置费、修缮费和其他费用。</w:t>
      </w:r>
    </w:p>
    <w:p>
      <w:pPr>
        <w:pStyle w:val="65"/>
      </w:pPr>
      <w:r>
        <w:rPr>
          <w:rFonts w:hint="eastAsia"/>
        </w:rPr>
        <w:t>20.第20行“上缴上级支出”：填报纳税人按照财政部门和主管部门的规定上缴上级单位的支出。</w:t>
      </w:r>
    </w:p>
    <w:p>
      <w:pPr>
        <w:pStyle w:val="65"/>
      </w:pPr>
      <w:r>
        <w:rPr>
          <w:rFonts w:hint="eastAsia"/>
        </w:rPr>
        <w:t>21.第21行“对附属单位补助支出”：填报纳税人用财政补助收入之外的收入对附属单位补助发生的支出。</w:t>
      </w:r>
    </w:p>
    <w:p>
      <w:pPr>
        <w:pStyle w:val="65"/>
      </w:pPr>
      <w:r>
        <w:rPr>
          <w:rFonts w:hint="eastAsia"/>
        </w:rPr>
        <w:t>22.第22行“经营支出”：填报纳税人在专业业务活动及其辅助活动之外开展非独立核算经营活动发生的支出。</w:t>
      </w:r>
    </w:p>
    <w:p>
      <w:pPr>
        <w:pStyle w:val="65"/>
      </w:pPr>
      <w:r>
        <w:rPr>
          <w:rFonts w:hint="eastAsia"/>
        </w:rPr>
        <w:t>23.第23行“其他支出”：填报纳税人除本表第19行至第22行项目以外的支出，包括利息支出、捐赠支出、现金盘亏损失、资产处置损失、接受捐赠（调入）非流动资产发生的税费支出等。</w:t>
      </w:r>
    </w:p>
    <w:p>
      <w:pPr>
        <w:pStyle w:val="65"/>
      </w:pPr>
      <w:r>
        <w:rPr>
          <w:rFonts w:hint="eastAsia"/>
        </w:rPr>
        <w:t>第24行至第28行由执行民间非营利组织会计制度的纳税人填报。</w:t>
      </w:r>
    </w:p>
    <w:p>
      <w:pPr>
        <w:pStyle w:val="65"/>
      </w:pPr>
      <w:r>
        <w:rPr>
          <w:rFonts w:hint="eastAsia"/>
        </w:rPr>
        <w:t>24.第24行“民间非营利组织支出”：填报纳税人发生的所有支出总额。按照会计核算口径填报。</w:t>
      </w:r>
    </w:p>
    <w:p>
      <w:pPr>
        <w:pStyle w:val="65"/>
      </w:pPr>
      <w:r>
        <w:rPr>
          <w:rFonts w:hint="eastAsia"/>
        </w:rPr>
        <w:t>25.第25行“业务活动成本”：填报民间非营利组织为了实现其业务活动目标、开展某项目活动或者提供劳务所发生的费用。</w:t>
      </w:r>
    </w:p>
    <w:p>
      <w:pPr>
        <w:pStyle w:val="65"/>
      </w:pPr>
      <w:r>
        <w:rPr>
          <w:rFonts w:hint="eastAsia"/>
        </w:rPr>
        <w:t>26.第26行“管理费用”：填报民间非营利组织为组织和管理其业务活动所发生的各项费用，包括民间非营利组织董事会（或者理事会或者类似权力机构）经费和行政管理人员的工资、奖金、津贴、福利费、住房公积金、住房补贴、社会保障费、离退休人员工资与补助，以及办公费、水电费、邮电费、物业管理费、差旅费、折旧费、修理费、无形资产摊销费、存货盘亏损失、资产减值损失、因预计负债所产生的损失、聘请中介机构费和应偿还的受赠资产等。</w:t>
      </w:r>
    </w:p>
    <w:p>
      <w:pPr>
        <w:pStyle w:val="65"/>
      </w:pPr>
      <w:r>
        <w:rPr>
          <w:rFonts w:hint="eastAsia"/>
        </w:rPr>
        <w:t>27.第27行“筹资费用”：填报民间非营利组织为筹集业务活动所需资金而发生的费用，包括民间非营利组织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有关的费用。</w:t>
      </w:r>
    </w:p>
    <w:p>
      <w:pPr>
        <w:pStyle w:val="65"/>
        <w:rPr>
          <w:b/>
        </w:rPr>
      </w:pPr>
      <w:r>
        <w:rPr>
          <w:rFonts w:hint="eastAsia"/>
        </w:rPr>
        <w:t>28.第28行“其他费用”：填报民间非营利组织发生的、无法归属到上述业务活动成本、管理费用或者筹资费用中的费用，包括固定资产处置净损失、无形资产处置净损失等。</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1.第1行＝第2+3+…+7行。</w:t>
      </w:r>
    </w:p>
    <w:p>
      <w:pPr>
        <w:pStyle w:val="65"/>
      </w:pPr>
      <w:r>
        <w:rPr>
          <w:rFonts w:hint="eastAsia"/>
        </w:rPr>
        <w:t>2.第7行＝第8+9行。</w:t>
      </w:r>
    </w:p>
    <w:p>
      <w:pPr>
        <w:pStyle w:val="65"/>
      </w:pPr>
      <w:r>
        <w:rPr>
          <w:rFonts w:hint="eastAsia"/>
        </w:rPr>
        <w:t>3.第10行＝第11+12+…+17行。</w:t>
      </w:r>
    </w:p>
    <w:p>
      <w:pPr>
        <w:pStyle w:val="65"/>
      </w:pPr>
      <w:r>
        <w:rPr>
          <w:rFonts w:hint="eastAsia"/>
        </w:rPr>
        <w:t>4.第18行＝第19+20+21+22+23行。</w:t>
      </w:r>
    </w:p>
    <w:p>
      <w:pPr>
        <w:pStyle w:val="65"/>
      </w:pPr>
      <w:r>
        <w:rPr>
          <w:rFonts w:hint="eastAsia"/>
        </w:rPr>
        <w:t>5.第24行＝第25+26+27+28行。</w:t>
      </w:r>
    </w:p>
    <w:p>
      <w:pPr>
        <w:pStyle w:val="79"/>
        <w:outlineLvl w:val="1"/>
      </w:pPr>
      <w:r>
        <w:rPr>
          <w:rFonts w:hint="eastAsia"/>
        </w:rPr>
        <w:t>（二）表间关系</w:t>
      </w:r>
    </w:p>
    <w:p>
      <w:pPr>
        <w:pStyle w:val="65"/>
      </w:pPr>
      <w:r>
        <w:rPr>
          <w:rFonts w:hint="eastAsia"/>
        </w:rPr>
        <w:t>1.第2+3+4+5+6行或第11+12+13+14+15行＝表A100000第1行。</w:t>
      </w:r>
    </w:p>
    <w:p>
      <w:pPr>
        <w:pStyle w:val="65"/>
      </w:pPr>
      <w:r>
        <w:rPr>
          <w:rFonts w:hint="eastAsia"/>
        </w:rPr>
        <w:t>2.第8行或第16行＝表A100000第9行。</w:t>
      </w:r>
    </w:p>
    <w:p>
      <w:pPr>
        <w:pStyle w:val="65"/>
      </w:pPr>
      <w:r>
        <w:rPr>
          <w:rFonts w:hint="eastAsia"/>
        </w:rPr>
        <w:t>3.第9行或第17行＝表A100000第11行。</w:t>
      </w:r>
    </w:p>
    <w:p>
      <w:pPr>
        <w:pStyle w:val="65"/>
      </w:pPr>
      <w:r>
        <w:rPr>
          <w:rFonts w:hint="eastAsia"/>
        </w:rPr>
        <w:t>4.第19+20+21+22行或第25+26+27行＝表A100000第2行。</w:t>
      </w:r>
    </w:p>
    <w:p>
      <w:pPr>
        <w:pStyle w:val="65"/>
      </w:pPr>
      <w:r>
        <w:rPr>
          <w:rFonts w:hint="eastAsia"/>
        </w:rPr>
        <w:t>5.第23行或第28行＝表A100000第12行。</w:t>
      </w:r>
    </w:p>
    <w:p>
      <w:pPr>
        <w:pStyle w:val="65"/>
        <w:sectPr>
          <w:pgSz w:w="11906" w:h="16838"/>
          <w:pgMar w:top="1985" w:right="1418" w:bottom="1928" w:left="1418" w:header="851" w:footer="992" w:gutter="113"/>
          <w:pgNumType w:fmt="decimal"/>
          <w:cols w:space="720" w:num="1"/>
          <w:docGrid w:linePitch="312" w:charSpace="0"/>
        </w:sectPr>
      </w:pPr>
    </w:p>
    <w:p>
      <w:pPr>
        <w:pStyle w:val="66"/>
      </w:pPr>
      <w:bookmarkStart w:id="91" w:name="_Toc15948"/>
      <w:r>
        <w:rPr>
          <w:rFonts w:hint="eastAsia"/>
        </w:rPr>
        <w:t>A104000</w:t>
      </w:r>
      <w:r>
        <w:rPr>
          <w:rFonts w:hint="eastAsia"/>
        </w:rPr>
        <w:tab/>
      </w:r>
      <w:r>
        <w:rPr>
          <w:rFonts w:hint="eastAsia"/>
        </w:rPr>
        <w:t>期间费用明细表</w:t>
      </w:r>
      <w:bookmarkEnd w:id="91"/>
    </w:p>
    <w:tbl>
      <w:tblPr>
        <w:tblStyle w:val="25"/>
        <w:tblW w:w="100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3193"/>
        <w:gridCol w:w="1027"/>
        <w:gridCol w:w="1147"/>
        <w:gridCol w:w="1066"/>
        <w:gridCol w:w="1025"/>
        <w:gridCol w:w="1146"/>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3193"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销售费用</w:t>
            </w:r>
          </w:p>
        </w:tc>
        <w:tc>
          <w:tcPr>
            <w:tcW w:w="1147"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管理费用</w:t>
            </w:r>
          </w:p>
        </w:tc>
        <w:tc>
          <w:tcPr>
            <w:tcW w:w="102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财务费用</w:t>
            </w:r>
          </w:p>
        </w:tc>
        <w:tc>
          <w:tcPr>
            <w:tcW w:w="106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continue"/>
            <w:vAlign w:val="center"/>
          </w:tcPr>
          <w:p>
            <w:pPr>
              <w:widowControl/>
              <w:jc w:val="left"/>
              <w:rPr>
                <w:rFonts w:ascii="宋体" w:hAnsi="宋体" w:cs="宋体"/>
                <w:kern w:val="0"/>
                <w:sz w:val="20"/>
                <w:szCs w:val="20"/>
              </w:rPr>
            </w:pPr>
          </w:p>
        </w:tc>
        <w:tc>
          <w:tcPr>
            <w:tcW w:w="3193" w:type="dxa"/>
            <w:vMerge w:val="continue"/>
            <w:vAlign w:val="center"/>
          </w:tcPr>
          <w:p>
            <w:pPr>
              <w:widowControl/>
              <w:jc w:val="left"/>
              <w:rPr>
                <w:rFonts w:ascii="宋体" w:hAnsi="宋体" w:cs="宋体"/>
                <w:kern w:val="0"/>
                <w:sz w:val="20"/>
                <w:szCs w:val="20"/>
              </w:rPr>
            </w:pP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47"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25"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一、职工薪酬</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二、劳务费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三、咨询顾问费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四、业务招待费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五、广告费和业务宣传费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六、佣金和手续费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七、资产折旧摊销费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八、财产损耗、盘亏及毁损损失</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九、办公费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十、董事会费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十一、租赁费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十二、诉讼费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十三、差旅费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十四、保险费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十五、运输、仓储费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十六、修理费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十七、包装费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十八、技术转让费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十九、研究费用</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二十、各项税费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二十一、利息收支</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二十二、汇兑差额</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二十三、现金折扣</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二十四、党组织工作经费</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二十五、其他</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auto" w:fill="auto"/>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auto" w:fill="auto"/>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合计(1+2+3+…25)</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000000" w:fill="FFFFFF"/>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bl>
    <w:p>
      <w:pPr>
        <w:pStyle w:val="65"/>
      </w:pPr>
    </w:p>
    <w:p>
      <w:pPr>
        <w:tabs>
          <w:tab w:val="left" w:pos="2640"/>
        </w:tabs>
        <w:sectPr>
          <w:pgSz w:w="11906" w:h="16838"/>
          <w:pgMar w:top="1985" w:right="1418" w:bottom="1928" w:left="1418" w:header="851" w:footer="992" w:gutter="113"/>
          <w:pgNumType w:fmt="decimal"/>
          <w:cols w:space="720" w:num="1"/>
          <w:docGrid w:linePitch="312" w:charSpace="0"/>
        </w:sectPr>
      </w:pPr>
    </w:p>
    <w:bookmarkEnd w:id="90"/>
    <w:p>
      <w:pPr>
        <w:pStyle w:val="88"/>
        <w:spacing w:before="240" w:after="360"/>
        <w:rPr>
          <w:rFonts w:ascii="宋体" w:eastAsia="宋体"/>
          <w:b/>
        </w:rPr>
      </w:pPr>
      <w:bookmarkStart w:id="92" w:name="_Toc10813"/>
      <w:bookmarkStart w:id="93" w:name="_Toc393480213"/>
      <w:r>
        <w:rPr>
          <w:rFonts w:ascii="宋体" w:eastAsia="宋体"/>
          <w:b/>
        </w:rPr>
        <w:t>A10</w:t>
      </w:r>
      <w:r>
        <w:rPr>
          <w:rFonts w:hint="eastAsia" w:ascii="宋体" w:eastAsia="宋体"/>
          <w:b/>
        </w:rPr>
        <w:t>4</w:t>
      </w:r>
      <w:r>
        <w:rPr>
          <w:rFonts w:ascii="宋体" w:eastAsia="宋体"/>
          <w:b/>
        </w:rPr>
        <w:t>000</w:t>
      </w:r>
      <w:r>
        <w:rPr>
          <w:rFonts w:hint="eastAsia" w:ascii="宋体" w:eastAsia="宋体"/>
          <w:b/>
        </w:rPr>
        <w:t>《期间费用明细表》填报说明</w:t>
      </w:r>
      <w:bookmarkEnd w:id="92"/>
    </w:p>
    <w:p>
      <w:pPr>
        <w:pStyle w:val="65"/>
      </w:pPr>
      <w:r>
        <w:rPr>
          <w:rFonts w:hint="eastAsia"/>
        </w:rPr>
        <w:t>本表适用于执行企业会计准则、小企业会计准则、企业会计制度、分行业会计制度的查账征收居民纳税人填报。纳税人应根据企业会计准则、小企业会计准则、企业会计、分行业会计制度规定，填报“销售费用”“管理费用”和“财务费用”等项目。</w:t>
      </w:r>
    </w:p>
    <w:p>
      <w:pPr>
        <w:pStyle w:val="69"/>
        <w:ind w:firstLine="482"/>
        <w:outlineLvl w:val="0"/>
      </w:pPr>
      <w:r>
        <w:rPr>
          <w:rFonts w:hint="eastAsia"/>
        </w:rPr>
        <w:t>一、有关项目填报说明</w:t>
      </w:r>
    </w:p>
    <w:p>
      <w:pPr>
        <w:pStyle w:val="65"/>
      </w:pPr>
      <w:r>
        <w:t>1.</w:t>
      </w:r>
      <w:r>
        <w:rPr>
          <w:rFonts w:hint="eastAsia"/>
        </w:rPr>
        <w:t>第</w:t>
      </w:r>
      <w:r>
        <w:t>1</w:t>
      </w:r>
      <w:r>
        <w:rPr>
          <w:rFonts w:hint="eastAsia"/>
        </w:rPr>
        <w:t>列“销售费用”：填报在销售费用科目进行核算的相关明细项目的金额，其中金融企业填报在业务及管理费科目进行核算的相关明细项目的金额。</w:t>
      </w:r>
    </w:p>
    <w:p>
      <w:pPr>
        <w:pStyle w:val="65"/>
      </w:pPr>
      <w:r>
        <w:t>2.</w:t>
      </w:r>
      <w:r>
        <w:rPr>
          <w:rFonts w:hint="eastAsia"/>
        </w:rPr>
        <w:t>第</w:t>
      </w:r>
      <w:r>
        <w:t>2</w:t>
      </w:r>
      <w:r>
        <w:rPr>
          <w:rFonts w:hint="eastAsia"/>
        </w:rPr>
        <w:t>列“其中：境外支付”：填报在销售费用科目进行核算的向境外支付的相关明细项目的金额，其中金融企业填报在业务及管理费科目进行核算的相关明细项目的金额。</w:t>
      </w:r>
    </w:p>
    <w:p>
      <w:pPr>
        <w:pStyle w:val="65"/>
      </w:pPr>
      <w:r>
        <w:t>3.</w:t>
      </w:r>
      <w:r>
        <w:rPr>
          <w:rFonts w:hint="eastAsia"/>
        </w:rPr>
        <w:t>第</w:t>
      </w:r>
      <w:r>
        <w:t>3</w:t>
      </w:r>
      <w:r>
        <w:rPr>
          <w:rFonts w:hint="eastAsia"/>
        </w:rPr>
        <w:t>列“管理费用”：填报在管理费用科目进行核算的相关明细项目的金额。</w:t>
      </w:r>
    </w:p>
    <w:p>
      <w:pPr>
        <w:pStyle w:val="65"/>
      </w:pPr>
      <w:r>
        <w:t>4.</w:t>
      </w:r>
      <w:r>
        <w:rPr>
          <w:rFonts w:hint="eastAsia"/>
        </w:rPr>
        <w:t>第</w:t>
      </w:r>
      <w:r>
        <w:t>4</w:t>
      </w:r>
      <w:r>
        <w:rPr>
          <w:rFonts w:hint="eastAsia"/>
        </w:rPr>
        <w:t>列“其中：境外支付”：填报在管理费用科目进行核算的向境外支付的相关明细项目的金额。</w:t>
      </w:r>
    </w:p>
    <w:p>
      <w:pPr>
        <w:pStyle w:val="65"/>
      </w:pPr>
      <w:r>
        <w:t>5.</w:t>
      </w:r>
      <w:r>
        <w:rPr>
          <w:rFonts w:hint="eastAsia"/>
        </w:rPr>
        <w:t>第</w:t>
      </w:r>
      <w:r>
        <w:t>5</w:t>
      </w:r>
      <w:r>
        <w:rPr>
          <w:rFonts w:hint="eastAsia"/>
        </w:rPr>
        <w:t>列“财务费用”：填报在财务费用科目进行核算的有关明细项目的金额。</w:t>
      </w:r>
    </w:p>
    <w:p>
      <w:pPr>
        <w:pStyle w:val="65"/>
      </w:pPr>
      <w:r>
        <w:t>6.</w:t>
      </w:r>
      <w:r>
        <w:rPr>
          <w:rFonts w:hint="eastAsia"/>
        </w:rPr>
        <w:t>第</w:t>
      </w:r>
      <w:r>
        <w:t>6</w:t>
      </w:r>
      <w:r>
        <w:rPr>
          <w:rFonts w:hint="eastAsia"/>
        </w:rPr>
        <w:t>列“其中：境外支付”：填报在财务费用科目进行核算的向境外支付的有关明细项目的金额。</w:t>
      </w:r>
    </w:p>
    <w:p>
      <w:pPr>
        <w:pStyle w:val="65"/>
      </w:pPr>
      <w:r>
        <w:t>7.</w:t>
      </w:r>
      <w:r>
        <w:rPr>
          <w:rFonts w:hint="eastAsia"/>
        </w:rPr>
        <w:t>第</w:t>
      </w:r>
      <w:r>
        <w:t>1</w:t>
      </w:r>
      <w:r>
        <w:rPr>
          <w:rFonts w:hint="eastAsia"/>
        </w:rPr>
        <w:t>行至第</w:t>
      </w:r>
      <w:r>
        <w:t>2</w:t>
      </w:r>
      <w:r>
        <w:rPr>
          <w:rFonts w:hint="eastAsia"/>
        </w:rPr>
        <w:t>5行：根据费用科目核算的具体项目金额进行填报，如果贷方发生额大于借方发生额，应填报负数。</w:t>
      </w:r>
    </w:p>
    <w:p>
      <w:pPr>
        <w:pStyle w:val="65"/>
      </w:pPr>
      <w:r>
        <w:t>8.</w:t>
      </w:r>
      <w:r>
        <w:rPr>
          <w:rFonts w:hint="eastAsia"/>
        </w:rPr>
        <w:t>第</w:t>
      </w:r>
      <w:r>
        <w:t>2</w:t>
      </w:r>
      <w:r>
        <w:rPr>
          <w:rFonts w:hint="eastAsia"/>
        </w:rPr>
        <w:t>6行第</w:t>
      </w:r>
      <w:r>
        <w:t>1</w:t>
      </w:r>
      <w:r>
        <w:rPr>
          <w:rFonts w:hint="eastAsia"/>
        </w:rPr>
        <w:t>列：填报第</w:t>
      </w:r>
      <w:r>
        <w:t>1</w:t>
      </w:r>
      <w:r>
        <w:rPr>
          <w:rFonts w:hint="eastAsia"/>
        </w:rPr>
        <w:t>行至第</w:t>
      </w:r>
      <w:r>
        <w:t>2</w:t>
      </w:r>
      <w:r>
        <w:rPr>
          <w:rFonts w:hint="eastAsia"/>
        </w:rPr>
        <w:t>5行第</w:t>
      </w:r>
      <w:r>
        <w:t>1</w:t>
      </w:r>
      <w:r>
        <w:rPr>
          <w:rFonts w:hint="eastAsia"/>
        </w:rPr>
        <w:t>列的合计金额。</w:t>
      </w:r>
    </w:p>
    <w:p>
      <w:pPr>
        <w:pStyle w:val="65"/>
      </w:pPr>
      <w:r>
        <w:t>9.</w:t>
      </w:r>
      <w:r>
        <w:rPr>
          <w:rFonts w:hint="eastAsia"/>
        </w:rPr>
        <w:t>第</w:t>
      </w:r>
      <w:r>
        <w:t>2</w:t>
      </w:r>
      <w:r>
        <w:rPr>
          <w:rFonts w:hint="eastAsia"/>
        </w:rPr>
        <w:t>6行第</w:t>
      </w:r>
      <w:r>
        <w:t>2</w:t>
      </w:r>
      <w:r>
        <w:rPr>
          <w:rFonts w:hint="eastAsia"/>
        </w:rPr>
        <w:t>列：填报第</w:t>
      </w:r>
      <w:r>
        <w:t>1</w:t>
      </w:r>
      <w:r>
        <w:rPr>
          <w:rFonts w:hint="eastAsia"/>
        </w:rPr>
        <w:t>行至第</w:t>
      </w:r>
      <w:r>
        <w:t>2</w:t>
      </w:r>
      <w:r>
        <w:rPr>
          <w:rFonts w:hint="eastAsia"/>
        </w:rPr>
        <w:t>5行第</w:t>
      </w:r>
      <w:r>
        <w:t>2</w:t>
      </w:r>
      <w:r>
        <w:rPr>
          <w:rFonts w:hint="eastAsia"/>
        </w:rPr>
        <w:t>列的合计金额。</w:t>
      </w:r>
    </w:p>
    <w:p>
      <w:pPr>
        <w:pStyle w:val="65"/>
      </w:pPr>
      <w:r>
        <w:t>10.</w:t>
      </w:r>
      <w:r>
        <w:rPr>
          <w:rFonts w:hint="eastAsia"/>
        </w:rPr>
        <w:t>第</w:t>
      </w:r>
      <w:r>
        <w:t>2</w:t>
      </w:r>
      <w:r>
        <w:rPr>
          <w:rFonts w:hint="eastAsia"/>
        </w:rPr>
        <w:t>6行第</w:t>
      </w:r>
      <w:r>
        <w:t>3</w:t>
      </w:r>
      <w:r>
        <w:rPr>
          <w:rFonts w:hint="eastAsia"/>
        </w:rPr>
        <w:t>列：填报第</w:t>
      </w:r>
      <w:r>
        <w:t>1</w:t>
      </w:r>
      <w:r>
        <w:rPr>
          <w:rFonts w:hint="eastAsia"/>
        </w:rPr>
        <w:t>行至第</w:t>
      </w:r>
      <w:r>
        <w:t>2</w:t>
      </w:r>
      <w:r>
        <w:rPr>
          <w:rFonts w:hint="eastAsia"/>
        </w:rPr>
        <w:t>5行第</w:t>
      </w:r>
      <w:r>
        <w:t>3</w:t>
      </w:r>
      <w:r>
        <w:rPr>
          <w:rFonts w:hint="eastAsia"/>
        </w:rPr>
        <w:t>列的合计金额。</w:t>
      </w:r>
    </w:p>
    <w:p>
      <w:pPr>
        <w:pStyle w:val="65"/>
      </w:pPr>
      <w:r>
        <w:t>11.</w:t>
      </w:r>
      <w:r>
        <w:rPr>
          <w:rFonts w:hint="eastAsia"/>
        </w:rPr>
        <w:t>第</w:t>
      </w:r>
      <w:r>
        <w:t>2</w:t>
      </w:r>
      <w:r>
        <w:rPr>
          <w:rFonts w:hint="eastAsia"/>
        </w:rPr>
        <w:t>6行第</w:t>
      </w:r>
      <w:r>
        <w:t>4</w:t>
      </w:r>
      <w:r>
        <w:rPr>
          <w:rFonts w:hint="eastAsia"/>
        </w:rPr>
        <w:t>列：填报第</w:t>
      </w:r>
      <w:r>
        <w:t>1</w:t>
      </w:r>
      <w:r>
        <w:rPr>
          <w:rFonts w:hint="eastAsia"/>
        </w:rPr>
        <w:t>行至第</w:t>
      </w:r>
      <w:r>
        <w:t>2</w:t>
      </w:r>
      <w:r>
        <w:rPr>
          <w:rFonts w:hint="eastAsia"/>
        </w:rPr>
        <w:t>5行第</w:t>
      </w:r>
      <w:r>
        <w:t>4</w:t>
      </w:r>
      <w:r>
        <w:rPr>
          <w:rFonts w:hint="eastAsia"/>
        </w:rPr>
        <w:t>列的合计金额。</w:t>
      </w:r>
    </w:p>
    <w:p>
      <w:pPr>
        <w:pStyle w:val="65"/>
      </w:pPr>
      <w:r>
        <w:t>12.</w:t>
      </w:r>
      <w:r>
        <w:rPr>
          <w:rFonts w:hint="eastAsia"/>
        </w:rPr>
        <w:t>第</w:t>
      </w:r>
      <w:r>
        <w:t>2</w:t>
      </w:r>
      <w:r>
        <w:rPr>
          <w:rFonts w:hint="eastAsia"/>
        </w:rPr>
        <w:t>6行第</w:t>
      </w:r>
      <w:r>
        <w:t>5</w:t>
      </w:r>
      <w:r>
        <w:rPr>
          <w:rFonts w:hint="eastAsia"/>
        </w:rPr>
        <w:t>列：填报第</w:t>
      </w:r>
      <w:r>
        <w:t>1</w:t>
      </w:r>
      <w:r>
        <w:rPr>
          <w:rFonts w:hint="eastAsia"/>
        </w:rPr>
        <w:t>行至第</w:t>
      </w:r>
      <w:r>
        <w:t>2</w:t>
      </w:r>
      <w:r>
        <w:rPr>
          <w:rFonts w:hint="eastAsia"/>
        </w:rPr>
        <w:t>5行第</w:t>
      </w:r>
      <w:r>
        <w:t>5</w:t>
      </w:r>
      <w:r>
        <w:rPr>
          <w:rFonts w:hint="eastAsia"/>
        </w:rPr>
        <w:t>列的合计金额。</w:t>
      </w:r>
    </w:p>
    <w:p>
      <w:pPr>
        <w:pStyle w:val="65"/>
      </w:pPr>
      <w:r>
        <w:t>13.</w:t>
      </w:r>
      <w:r>
        <w:rPr>
          <w:rFonts w:hint="eastAsia"/>
        </w:rPr>
        <w:t>第</w:t>
      </w:r>
      <w:r>
        <w:t>2</w:t>
      </w:r>
      <w:r>
        <w:rPr>
          <w:rFonts w:hint="eastAsia"/>
        </w:rPr>
        <w:t>6行第</w:t>
      </w:r>
      <w:r>
        <w:t>6</w:t>
      </w:r>
      <w:r>
        <w:rPr>
          <w:rFonts w:hint="eastAsia"/>
        </w:rPr>
        <w:t>列：填报第</w:t>
      </w:r>
      <w:r>
        <w:t>1</w:t>
      </w:r>
      <w:r>
        <w:rPr>
          <w:rFonts w:hint="eastAsia"/>
        </w:rPr>
        <w:t>行至第</w:t>
      </w:r>
      <w:r>
        <w:t>2</w:t>
      </w:r>
      <w:r>
        <w:rPr>
          <w:rFonts w:hint="eastAsia"/>
        </w:rPr>
        <w:t>5行第</w:t>
      </w:r>
      <w:r>
        <w:t>6</w:t>
      </w:r>
      <w:r>
        <w:rPr>
          <w:rFonts w:hint="eastAsia"/>
        </w:rPr>
        <w:t>列的合计金额。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t>1.</w:t>
      </w:r>
      <w:r>
        <w:rPr>
          <w:rFonts w:hint="eastAsia"/>
        </w:rPr>
        <w:t>第</w:t>
      </w:r>
      <w:r>
        <w:t>2</w:t>
      </w:r>
      <w:r>
        <w:rPr>
          <w:rFonts w:hint="eastAsia"/>
        </w:rPr>
        <w:t>6行第</w:t>
      </w:r>
      <w:r>
        <w:t>1</w:t>
      </w:r>
      <w:r>
        <w:rPr>
          <w:rFonts w:hint="eastAsia"/>
        </w:rPr>
        <w:t>列＝第</w:t>
      </w:r>
      <w:r>
        <w:t>1</w:t>
      </w:r>
      <w:r>
        <w:rPr>
          <w:rFonts w:hint="eastAsia"/>
        </w:rPr>
        <w:t>列第</w:t>
      </w:r>
      <w:r>
        <w:t>1+2+</w:t>
      </w:r>
      <w:r>
        <w:rPr>
          <w:rFonts w:hint="eastAsia"/>
        </w:rPr>
        <w:t>…</w:t>
      </w:r>
      <w:r>
        <w:t>+20+</w:t>
      </w:r>
      <w:r>
        <w:rPr>
          <w:rFonts w:hint="eastAsia"/>
        </w:rPr>
        <w:t>25行。</w:t>
      </w:r>
    </w:p>
    <w:p>
      <w:pPr>
        <w:pStyle w:val="65"/>
      </w:pPr>
      <w:r>
        <w:t>2.</w:t>
      </w:r>
      <w:r>
        <w:rPr>
          <w:rFonts w:hint="eastAsia"/>
        </w:rPr>
        <w:t>第</w:t>
      </w:r>
      <w:r>
        <w:t>2</w:t>
      </w:r>
      <w:r>
        <w:rPr>
          <w:rFonts w:hint="eastAsia"/>
        </w:rPr>
        <w:t>6行第</w:t>
      </w:r>
      <w:r>
        <w:t>2</w:t>
      </w:r>
      <w:r>
        <w:rPr>
          <w:rFonts w:hint="eastAsia"/>
        </w:rPr>
        <w:t>列＝第</w:t>
      </w:r>
      <w:r>
        <w:t>2</w:t>
      </w:r>
      <w:r>
        <w:rPr>
          <w:rFonts w:hint="eastAsia"/>
        </w:rPr>
        <w:t>列第</w:t>
      </w:r>
      <w:r>
        <w:t>2+3+6+11+15+16+18+19+</w:t>
      </w:r>
      <w:r>
        <w:rPr>
          <w:rFonts w:hint="eastAsia"/>
        </w:rPr>
        <w:t>25行。</w:t>
      </w:r>
    </w:p>
    <w:p>
      <w:pPr>
        <w:pStyle w:val="65"/>
      </w:pPr>
      <w:r>
        <w:t>3.</w:t>
      </w:r>
      <w:r>
        <w:rPr>
          <w:rFonts w:hint="eastAsia"/>
        </w:rPr>
        <w:t>第</w:t>
      </w:r>
      <w:r>
        <w:t>2</w:t>
      </w:r>
      <w:r>
        <w:rPr>
          <w:rFonts w:hint="eastAsia"/>
        </w:rPr>
        <w:t>6行第</w:t>
      </w:r>
      <w:r>
        <w:t>3</w:t>
      </w:r>
      <w:r>
        <w:rPr>
          <w:rFonts w:hint="eastAsia"/>
        </w:rPr>
        <w:t>列＝第</w:t>
      </w:r>
      <w:r>
        <w:t>3</w:t>
      </w:r>
      <w:r>
        <w:rPr>
          <w:rFonts w:hint="eastAsia"/>
        </w:rPr>
        <w:t>列第</w:t>
      </w:r>
      <w:r>
        <w:t>1+2+</w:t>
      </w:r>
      <w:r>
        <w:rPr>
          <w:rFonts w:hint="eastAsia"/>
        </w:rPr>
        <w:t>…</w:t>
      </w:r>
      <w:r>
        <w:t>+20+24</w:t>
      </w:r>
      <w:r>
        <w:rPr>
          <w:rFonts w:hint="eastAsia"/>
        </w:rPr>
        <w:t>+25行。</w:t>
      </w:r>
    </w:p>
    <w:p>
      <w:pPr>
        <w:pStyle w:val="65"/>
      </w:pPr>
      <w:r>
        <w:t>4.</w:t>
      </w:r>
      <w:r>
        <w:rPr>
          <w:rFonts w:hint="eastAsia"/>
        </w:rPr>
        <w:t>第</w:t>
      </w:r>
      <w:r>
        <w:t>2</w:t>
      </w:r>
      <w:r>
        <w:rPr>
          <w:rFonts w:hint="eastAsia"/>
        </w:rPr>
        <w:t>6行第</w:t>
      </w:r>
      <w:r>
        <w:t>4</w:t>
      </w:r>
      <w:r>
        <w:rPr>
          <w:rFonts w:hint="eastAsia"/>
        </w:rPr>
        <w:t>列＝第</w:t>
      </w:r>
      <w:r>
        <w:t>4</w:t>
      </w:r>
      <w:r>
        <w:rPr>
          <w:rFonts w:hint="eastAsia"/>
        </w:rPr>
        <w:t>列第</w:t>
      </w:r>
      <w:r>
        <w:t>2+3+6+11+15+16+18+19</w:t>
      </w:r>
      <w:r>
        <w:rPr>
          <w:rFonts w:hint="eastAsia"/>
        </w:rPr>
        <w:t>+25行。</w:t>
      </w:r>
    </w:p>
    <w:p>
      <w:pPr>
        <w:pStyle w:val="65"/>
      </w:pPr>
      <w:r>
        <w:t>5.</w:t>
      </w:r>
      <w:r>
        <w:rPr>
          <w:rFonts w:hint="eastAsia"/>
        </w:rPr>
        <w:t>第</w:t>
      </w:r>
      <w:r>
        <w:t>2</w:t>
      </w:r>
      <w:r>
        <w:rPr>
          <w:rFonts w:hint="eastAsia"/>
        </w:rPr>
        <w:t>6行第</w:t>
      </w:r>
      <w:r>
        <w:t>5</w:t>
      </w:r>
      <w:r>
        <w:rPr>
          <w:rFonts w:hint="eastAsia"/>
        </w:rPr>
        <w:t>列＝第</w:t>
      </w:r>
      <w:r>
        <w:t>5</w:t>
      </w:r>
      <w:r>
        <w:rPr>
          <w:rFonts w:hint="eastAsia"/>
        </w:rPr>
        <w:t>列第6</w:t>
      </w:r>
      <w:r>
        <w:t>+21+22+23</w:t>
      </w:r>
      <w:r>
        <w:rPr>
          <w:rFonts w:hint="eastAsia"/>
        </w:rPr>
        <w:t>+25行。</w:t>
      </w:r>
    </w:p>
    <w:p>
      <w:pPr>
        <w:pStyle w:val="65"/>
      </w:pPr>
      <w:r>
        <w:t>6.</w:t>
      </w:r>
      <w:r>
        <w:rPr>
          <w:rFonts w:hint="eastAsia"/>
        </w:rPr>
        <w:t>第</w:t>
      </w:r>
      <w:r>
        <w:t>2</w:t>
      </w:r>
      <w:r>
        <w:rPr>
          <w:rFonts w:hint="eastAsia"/>
        </w:rPr>
        <w:t>6行第</w:t>
      </w:r>
      <w:r>
        <w:t>6</w:t>
      </w:r>
      <w:r>
        <w:rPr>
          <w:rFonts w:hint="eastAsia"/>
        </w:rPr>
        <w:t>列＝第</w:t>
      </w:r>
      <w:r>
        <w:t>6</w:t>
      </w:r>
      <w:r>
        <w:rPr>
          <w:rFonts w:hint="eastAsia"/>
        </w:rPr>
        <w:t>列第6</w:t>
      </w:r>
      <w:r>
        <w:t>+21+22</w:t>
      </w:r>
      <w:r>
        <w:rPr>
          <w:rFonts w:hint="eastAsia"/>
        </w:rPr>
        <w:t>+25行。</w:t>
      </w:r>
    </w:p>
    <w:p>
      <w:pPr>
        <w:pStyle w:val="79"/>
        <w:outlineLvl w:val="1"/>
      </w:pPr>
      <w:r>
        <w:rPr>
          <w:rFonts w:hint="eastAsia"/>
        </w:rPr>
        <w:t>（二）表间关系</w:t>
      </w:r>
    </w:p>
    <w:p>
      <w:pPr>
        <w:pStyle w:val="65"/>
      </w:pPr>
      <w:r>
        <w:t>1.</w:t>
      </w:r>
      <w:r>
        <w:rPr>
          <w:rFonts w:hint="eastAsia"/>
        </w:rPr>
        <w:t>第</w:t>
      </w:r>
      <w:r>
        <w:t>2</w:t>
      </w:r>
      <w:r>
        <w:rPr>
          <w:rFonts w:hint="eastAsia"/>
        </w:rPr>
        <w:t>6行第</w:t>
      </w:r>
      <w:r>
        <w:t>1</w:t>
      </w:r>
      <w:r>
        <w:rPr>
          <w:rFonts w:hint="eastAsia"/>
        </w:rPr>
        <w:t>列＝表</w:t>
      </w:r>
      <w:r>
        <w:t>A100000</w:t>
      </w:r>
      <w:r>
        <w:rPr>
          <w:rFonts w:hint="eastAsia"/>
        </w:rPr>
        <w:t>第</w:t>
      </w:r>
      <w:r>
        <w:t>4</w:t>
      </w:r>
      <w:r>
        <w:rPr>
          <w:rFonts w:hint="eastAsia"/>
        </w:rPr>
        <w:t>行。</w:t>
      </w:r>
    </w:p>
    <w:p>
      <w:pPr>
        <w:pStyle w:val="65"/>
      </w:pPr>
      <w:r>
        <w:t>2.</w:t>
      </w:r>
      <w:r>
        <w:rPr>
          <w:rFonts w:hint="eastAsia"/>
        </w:rPr>
        <w:t>第</w:t>
      </w:r>
      <w:r>
        <w:t>2</w:t>
      </w:r>
      <w:r>
        <w:rPr>
          <w:rFonts w:hint="eastAsia"/>
        </w:rPr>
        <w:t>6行第</w:t>
      </w:r>
      <w:r>
        <w:t>3</w:t>
      </w:r>
      <w:r>
        <w:rPr>
          <w:rFonts w:hint="eastAsia"/>
        </w:rPr>
        <w:t>列＝表</w:t>
      </w:r>
      <w:r>
        <w:t>A100000</w:t>
      </w:r>
      <w:r>
        <w:rPr>
          <w:rFonts w:hint="eastAsia"/>
        </w:rPr>
        <w:t>第</w:t>
      </w:r>
      <w:r>
        <w:t>5</w:t>
      </w:r>
      <w:r>
        <w:rPr>
          <w:rFonts w:hint="eastAsia"/>
        </w:rPr>
        <w:t>行。</w:t>
      </w:r>
    </w:p>
    <w:p>
      <w:pPr>
        <w:pStyle w:val="65"/>
        <w:sectPr>
          <w:pgSz w:w="11906" w:h="16838"/>
          <w:pgMar w:top="1985" w:right="1418" w:bottom="1928" w:left="1418" w:header="851" w:footer="992" w:gutter="113"/>
          <w:pgNumType w:fmt="decimal"/>
          <w:cols w:space="720" w:num="1"/>
          <w:titlePg/>
          <w:docGrid w:linePitch="312" w:charSpace="0"/>
        </w:sectPr>
      </w:pPr>
      <w:r>
        <w:t>3.</w:t>
      </w:r>
      <w:r>
        <w:rPr>
          <w:rFonts w:hint="eastAsia"/>
        </w:rPr>
        <w:t>第</w:t>
      </w:r>
      <w:r>
        <w:t>2</w:t>
      </w:r>
      <w:r>
        <w:rPr>
          <w:rFonts w:hint="eastAsia"/>
        </w:rPr>
        <w:t>6行第</w:t>
      </w:r>
      <w:r>
        <w:t>5</w:t>
      </w:r>
      <w:r>
        <w:rPr>
          <w:rFonts w:hint="eastAsia"/>
        </w:rPr>
        <w:t>列＝表</w:t>
      </w:r>
      <w:r>
        <w:t>A100000</w:t>
      </w:r>
      <w:r>
        <w:rPr>
          <w:rFonts w:hint="eastAsia"/>
        </w:rPr>
        <w:t>第</w:t>
      </w:r>
      <w:r>
        <w:t>6</w:t>
      </w:r>
      <w:r>
        <w:rPr>
          <w:rFonts w:hint="eastAsia"/>
        </w:rPr>
        <w:t>行。</w:t>
      </w:r>
    </w:p>
    <w:p>
      <w:pPr>
        <w:pStyle w:val="66"/>
        <w:jc w:val="both"/>
        <w:rPr>
          <w:rFonts w:hint="eastAsia"/>
        </w:rPr>
      </w:pPr>
      <w:bookmarkStart w:id="94" w:name="_Toc54267900"/>
      <w:bookmarkStart w:id="95" w:name="_Toc26172"/>
      <w:bookmarkStart w:id="96" w:name="_Toc24965015"/>
      <w:r>
        <w:rPr>
          <w:rFonts w:hint="eastAsia"/>
        </w:rPr>
        <w:t>A105000</w:t>
      </w:r>
      <w:r>
        <w:rPr>
          <w:rFonts w:hint="eastAsia"/>
        </w:rPr>
        <w:tab/>
      </w:r>
      <w:r>
        <w:rPr>
          <w:rFonts w:hint="eastAsia"/>
        </w:rPr>
        <w:t>纳税调整项目明细表</w:t>
      </w:r>
      <w:bookmarkEnd w:id="94"/>
      <w:bookmarkEnd w:id="95"/>
    </w:p>
    <w:tbl>
      <w:tblPr>
        <w:tblStyle w:val="25"/>
        <w:tblW w:w="10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5314"/>
        <w:gridCol w:w="1090"/>
        <w:gridCol w:w="1090"/>
        <w:gridCol w:w="1090"/>
        <w:gridCol w:w="1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5314"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调增金额</w:t>
            </w:r>
          </w:p>
        </w:tc>
        <w:tc>
          <w:tcPr>
            <w:tcW w:w="1090"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调减金额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53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一、收入类调整项目（2+3+…8+10+11）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（一）视同销售收入（填写A105010）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（二）未按权责发生制原则确认的收入（填写A105020）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（三）投资收益（填写A105030）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（四）按权益法核算长期股权投资对初始投资成本调整确认收益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（五）交易性金融资产初始投资调整</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（六）公允价值变动净损益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（七）不征税收入</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hint="eastAsia" w:ascii="宋体" w:hAnsi="宋体" w:cs="宋体"/>
                <w:kern w:val="0"/>
                <w:sz w:val="20"/>
                <w:szCs w:val="20"/>
              </w:rPr>
            </w:pPr>
            <w:r>
              <w:rPr>
                <w:rFonts w:hint="eastAsia" w:ascii="宋体" w:hAnsi="宋体" w:cs="宋体"/>
                <w:kern w:val="0"/>
                <w:sz w:val="20"/>
                <w:szCs w:val="20"/>
              </w:rPr>
              <w:t>其中：专项用途财政性资金（填写A105040）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（八）销售折扣、折让和退回</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二、扣除类调整项目（13+14+…24+26+27+28+29+30）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（一）视同销售成本（填写A105010）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（二）职工薪酬（填写A105050）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（三）业务招待费支出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（四）广告费和业务宣传费支出（填写A105060）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（五）捐赠支出（填写A105070）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（七）罚金、罚款和被没收财物的损失</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（八）税收滞纳金、加收利息</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（九）赞助支出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（十）与未实现融资收益相关在当期确认的财务费用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（十一）佣金和手续费支出（保险企业填写A105060）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（十二）不征税收入用于支出所形成的费用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538" w:leftChars="500" w:hanging="488" w:hangingChars="244"/>
              <w:jc w:val="left"/>
              <w:rPr>
                <w:rFonts w:hint="eastAsia" w:ascii="宋体" w:hAnsi="宋体" w:cs="宋体"/>
                <w:kern w:val="0"/>
                <w:sz w:val="20"/>
                <w:szCs w:val="20"/>
              </w:rPr>
            </w:pPr>
            <w:r>
              <w:rPr>
                <w:rFonts w:hint="eastAsia" w:ascii="宋体" w:hAnsi="宋体" w:cs="宋体"/>
                <w:kern w:val="0"/>
                <w:sz w:val="20"/>
                <w:szCs w:val="20"/>
              </w:rPr>
              <w:t>其中：专项用途财政性资金用于支出所形成的费用（填写A105040）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（十三）跨期扣除项目</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（十四）与取得收入无关的支出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（十五）境外所得分摊的共同支出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（十六）党组织工作经费</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三、资产类调整项目（32+33+34+35）</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（一）资产折旧、摊销（填写A105080）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（二）资产减值准备金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（三）资产损失（填写A105090）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四、特殊事项调整项目（37+38+…+43）</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（一）企业重组及递延纳税事项（填写A105100）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（二）政策性搬迁（填写A105110）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（三）特殊行业准备金（39.1+39.2+39.4+39.5+39.6+39.7）</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1.保险公司保险保障基金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2.保险公司准备金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其中：已发生未报案未决赔款准备金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3.证券行业准备金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4.期货行业准备金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5.中小企业融资（信用）担保机构准备金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6.金融企业、小额贷款公司准备金（填写A105120）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（四）房地产开发企业特定业务计算的纳税调整额(填写A105010)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（五）合伙企业法人合伙人应分得的应纳税所得额</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（六）发行永续债利息支出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五、特别纳税调整应税所得</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六、其他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46</w:t>
            </w:r>
          </w:p>
        </w:tc>
        <w:tc>
          <w:tcPr>
            <w:tcW w:w="5314"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合计（1+12+31+36+44+45）</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p>
        </w:tc>
      </w:tr>
    </w:tbl>
    <w:p>
      <w:pPr>
        <w:rPr>
          <w:rFonts w:hint="eastAsia"/>
        </w:rPr>
      </w:pPr>
      <w:r>
        <w:rPr>
          <w:rFonts w:hint="eastAsia"/>
        </w:rPr>
        <w:br w:type="page"/>
      </w:r>
    </w:p>
    <w:p>
      <w:pPr>
        <w:pStyle w:val="66"/>
        <w:rPr>
          <w:rFonts w:hint="eastAsia"/>
        </w:rPr>
      </w:pPr>
      <w:r>
        <w:rPr>
          <w:rFonts w:hint="eastAsia"/>
        </w:rPr>
        <w:tab/>
      </w:r>
      <w:bookmarkStart w:id="97" w:name="_Toc1981"/>
      <w:r>
        <w:rPr>
          <w:rFonts w:hint="eastAsia"/>
        </w:rPr>
        <w:t>A105000《纳税调整项目明细表》填报说明</w:t>
      </w:r>
      <w:bookmarkEnd w:id="97"/>
    </w:p>
    <w:p>
      <w:pPr>
        <w:spacing w:line="360" w:lineRule="auto"/>
        <w:ind w:firstLine="480" w:firstLineChars="200"/>
        <w:rPr>
          <w:rFonts w:ascii="宋体" w:hAnsi="宋体" w:cs="宋体"/>
          <w:sz w:val="24"/>
        </w:rPr>
      </w:pPr>
      <w:r>
        <w:rPr>
          <w:rFonts w:hint="eastAsia" w:ascii="宋体" w:hAnsi="宋体" w:cs="宋体"/>
          <w:sz w:val="24"/>
        </w:rPr>
        <w:t>本表由纳税人根据税法、相关税收规定以及国家统一会计制度的规定，填报企业所得税涉税事项的会计处理、税务处理以及纳税调整情况。</w:t>
      </w:r>
    </w:p>
    <w:p>
      <w:pPr>
        <w:spacing w:line="360" w:lineRule="auto"/>
        <w:ind w:firstLine="482" w:firstLineChars="200"/>
        <w:jc w:val="left"/>
        <w:outlineLvl w:val="0"/>
        <w:rPr>
          <w:rFonts w:ascii="宋体" w:hAnsi="宋体" w:cs="宋体"/>
          <w:b/>
          <w:sz w:val="24"/>
        </w:rPr>
      </w:pPr>
      <w:r>
        <w:rPr>
          <w:rFonts w:hint="eastAsia" w:ascii="宋体" w:hAnsi="宋体" w:cs="宋体"/>
          <w:b/>
          <w:sz w:val="24"/>
        </w:rPr>
        <w:t>一、有关项目填报说明</w:t>
      </w:r>
    </w:p>
    <w:p>
      <w:pPr>
        <w:spacing w:line="360" w:lineRule="auto"/>
        <w:ind w:firstLine="480" w:firstLineChars="200"/>
        <w:rPr>
          <w:rFonts w:ascii="宋体" w:hAnsi="宋体" w:cs="宋体"/>
          <w:sz w:val="24"/>
        </w:rPr>
      </w:pPr>
      <w:r>
        <w:rPr>
          <w:rFonts w:hint="eastAsia" w:ascii="宋体" w:hAnsi="宋体" w:cs="宋体"/>
          <w:sz w:val="24"/>
        </w:rPr>
        <w:t>纳税人按照“收入类调整项目”“扣除类调整项目”“资产类调整项目”“特殊事项调整项目”“特别纳税调整应税所得”“其他”六类分项填报，汇总计算出纳税“调增金额”和“调减金额”的合计金额。</w:t>
      </w:r>
    </w:p>
    <w:p>
      <w:pPr>
        <w:spacing w:line="360" w:lineRule="auto"/>
        <w:ind w:firstLine="480" w:firstLineChars="200"/>
        <w:rPr>
          <w:rFonts w:ascii="宋体" w:hAnsi="宋体" w:cs="宋体"/>
          <w:sz w:val="24"/>
        </w:rPr>
      </w:pPr>
      <w:r>
        <w:rPr>
          <w:rFonts w:hint="eastAsia" w:ascii="宋体" w:hAnsi="宋体" w:cs="宋体"/>
          <w:sz w:val="24"/>
        </w:rPr>
        <w:t>数据栏分别设置“账载金额”“税收金额”“调增金额”“调减金额”四个栏次。“账载金额”是指纳税人按照国家统一会计制度规定核算的项目金额。“税收金额”是指纳税人按照税收规定计算的项目金额。</w:t>
      </w:r>
    </w:p>
    <w:p>
      <w:pPr>
        <w:spacing w:line="360" w:lineRule="auto"/>
        <w:ind w:firstLine="480" w:firstLineChars="200"/>
        <w:rPr>
          <w:rFonts w:ascii="宋体" w:hAnsi="宋体" w:cs="宋体"/>
          <w:sz w:val="24"/>
        </w:rPr>
      </w:pPr>
      <w:r>
        <w:rPr>
          <w:rFonts w:hint="eastAsia" w:ascii="宋体" w:hAnsi="宋体" w:cs="宋体"/>
          <w:sz w:val="24"/>
        </w:rPr>
        <w:t>对需填报下级明细表的纳税调整项目，其“账载金额”“税收金额”“调增金额”“调减金额”根据相应附表进行计算填报。</w:t>
      </w:r>
    </w:p>
    <w:p>
      <w:pPr>
        <w:spacing w:line="360" w:lineRule="auto"/>
        <w:ind w:firstLine="480" w:firstLineChars="200"/>
        <w:outlineLvl w:val="1"/>
        <w:rPr>
          <w:rFonts w:ascii="宋体" w:hAnsi="宋体" w:cs="宋体"/>
          <w:sz w:val="24"/>
        </w:rPr>
      </w:pPr>
      <w:r>
        <w:rPr>
          <w:rFonts w:hint="eastAsia" w:ascii="宋体" w:hAnsi="宋体" w:cs="宋体"/>
          <w:sz w:val="24"/>
        </w:rPr>
        <w:t>（一）收入类调整项目</w:t>
      </w:r>
    </w:p>
    <w:p>
      <w:pPr>
        <w:spacing w:line="360" w:lineRule="auto"/>
        <w:ind w:firstLine="480" w:firstLineChars="200"/>
        <w:rPr>
          <w:rFonts w:ascii="宋体" w:hAnsi="宋体" w:cs="宋体"/>
          <w:sz w:val="24"/>
        </w:rPr>
      </w:pPr>
      <w:r>
        <w:rPr>
          <w:rFonts w:hint="eastAsia" w:ascii="宋体" w:hAnsi="宋体" w:cs="宋体"/>
          <w:sz w:val="24"/>
        </w:rPr>
        <w:t>1.第1行“一、收入类调整项目”：根据第2行至第11行(不含第9行)进行填报。</w:t>
      </w:r>
    </w:p>
    <w:p>
      <w:pPr>
        <w:spacing w:line="360" w:lineRule="auto"/>
        <w:ind w:firstLine="480" w:firstLineChars="200"/>
        <w:rPr>
          <w:rFonts w:ascii="宋体" w:hAnsi="宋体" w:cs="宋体"/>
          <w:sz w:val="24"/>
        </w:rPr>
      </w:pPr>
      <w:r>
        <w:rPr>
          <w:rFonts w:hint="eastAsia" w:ascii="宋体" w:hAnsi="宋体" w:cs="宋体"/>
          <w:sz w:val="24"/>
        </w:rPr>
        <w:t>2.第2行“（一）视同销售收入”：根据《视同销售和房地产开发企业特定业务纳税调整明细表》(A105010)填报。第2列“税收金额”填报表A105010第1行第1列金额。第3列“调增金额”填报表A105010第1行第2列金额。</w:t>
      </w:r>
    </w:p>
    <w:p>
      <w:pPr>
        <w:spacing w:line="360" w:lineRule="auto"/>
        <w:ind w:firstLine="480" w:firstLineChars="200"/>
        <w:rPr>
          <w:rFonts w:ascii="宋体" w:hAnsi="宋体" w:cs="宋体"/>
          <w:sz w:val="24"/>
        </w:rPr>
      </w:pPr>
      <w:r>
        <w:rPr>
          <w:rFonts w:hint="eastAsia" w:ascii="宋体" w:hAnsi="宋体" w:cs="宋体"/>
          <w:sz w:val="24"/>
        </w:rPr>
        <w:t>3.第3行“（二）未按权责发生制原则确认的收入”：根据《未按权责发生制确认收入纳税调整明细表》(A105020)填报。第1列“账载金额”填报表A105020第14行第2列金额。第2列“税收金额”填报表A105020第14行第4列金额。若表A105020第14行第6列≥0，第3列“调增金额”填报表A105020第14行第6列金额。若表A105020第14行第6列＜0，第4列“调减金额”填报表A105020第14行第6列金额的绝对值。</w:t>
      </w:r>
    </w:p>
    <w:p>
      <w:pPr>
        <w:spacing w:line="360" w:lineRule="auto"/>
        <w:ind w:firstLine="480" w:firstLineChars="200"/>
        <w:rPr>
          <w:rFonts w:ascii="宋体" w:hAnsi="宋体" w:cs="宋体"/>
          <w:sz w:val="24"/>
        </w:rPr>
      </w:pPr>
      <w:r>
        <w:rPr>
          <w:rFonts w:hint="eastAsia" w:ascii="宋体" w:hAnsi="宋体" w:cs="宋体"/>
          <w:sz w:val="24"/>
        </w:rPr>
        <w:t>4.第4行“（三）投资收益”：根据《投资收益纳税调整明细表》(A105030)填报。第1列“账载金额”填报表A105030第10行第1+8列的合计金额。第2列“税收金额”填报表A105030第10行第2+9列的合计金额。若表A105030第10行第11列≥0，第3列“调增金额”填报表A105030第10行第11列金额。若表A105030第10行第11列＜0，第4列“调减金额”填报表A105030第10行第11列金额的绝对值。</w:t>
      </w:r>
    </w:p>
    <w:p>
      <w:pPr>
        <w:spacing w:line="360" w:lineRule="auto"/>
        <w:ind w:firstLine="480" w:firstLineChars="200"/>
        <w:rPr>
          <w:rFonts w:ascii="宋体" w:hAnsi="宋体" w:cs="宋体"/>
          <w:sz w:val="24"/>
        </w:rPr>
      </w:pPr>
      <w:r>
        <w:rPr>
          <w:rFonts w:hint="eastAsia" w:ascii="宋体" w:hAnsi="宋体" w:cs="宋体"/>
          <w:sz w:val="24"/>
        </w:rPr>
        <w:t>5.第5行“（四）按权益法核算长期股权投资对初始投资成本调整确认收益”：第4列“调减金额”填报纳税人采取权益法核算，初始投资成本小于取得投资时应享有被投资单位可辩认净资产公允价值份额的差额计入取得投资当期营业外收入的金额。</w:t>
      </w:r>
    </w:p>
    <w:p>
      <w:pPr>
        <w:spacing w:line="360" w:lineRule="auto"/>
        <w:ind w:firstLine="480" w:firstLineChars="200"/>
        <w:rPr>
          <w:rFonts w:ascii="宋体" w:hAnsi="宋体" w:cs="宋体"/>
          <w:sz w:val="24"/>
        </w:rPr>
      </w:pPr>
      <w:r>
        <w:rPr>
          <w:rFonts w:hint="eastAsia" w:ascii="宋体" w:hAnsi="宋体" w:cs="宋体"/>
          <w:sz w:val="24"/>
        </w:rPr>
        <w:t>6.第6行“（五）交易性金融资产初始投资调整”：第3列“调增金额”填报纳税人根据税收规定确认交易性金融资产初始投资金额与会计核算的交易性金融资产初始投资账面价值的差额。</w:t>
      </w:r>
    </w:p>
    <w:p>
      <w:pPr>
        <w:spacing w:line="360" w:lineRule="auto"/>
        <w:ind w:firstLine="480" w:firstLineChars="200"/>
        <w:rPr>
          <w:rFonts w:ascii="宋体" w:hAnsi="宋体" w:cs="宋体"/>
          <w:sz w:val="24"/>
        </w:rPr>
      </w:pPr>
      <w:r>
        <w:rPr>
          <w:rFonts w:hint="eastAsia" w:ascii="宋体" w:hAnsi="宋体" w:cs="宋体"/>
          <w:sz w:val="24"/>
        </w:rPr>
        <w:t>7.第7行“（六）公允价值变动净损益”：第1列“账载金额”填报纳税人会计核算的以公允价值计量的金融资产、金融负债以及投资性房地产类项目，计入当期损益的公允价值变动金额。若第1列≤0，第3列“调增金额”填报第1列金额的绝对值。若第1列＞0，第4列“调减金额”填报第1列金额。</w:t>
      </w:r>
    </w:p>
    <w:p>
      <w:pPr>
        <w:spacing w:line="360" w:lineRule="auto"/>
        <w:ind w:firstLine="480" w:firstLineChars="200"/>
        <w:rPr>
          <w:rFonts w:ascii="宋体" w:hAnsi="宋体" w:cs="宋体"/>
          <w:sz w:val="24"/>
        </w:rPr>
      </w:pPr>
      <w:r>
        <w:rPr>
          <w:rFonts w:hint="eastAsia" w:ascii="宋体" w:hAnsi="宋体" w:cs="宋体"/>
          <w:sz w:val="24"/>
        </w:rPr>
        <w:t>8.第8行“（七）不征税收入”：填报纳税人计入收入总额但属于税收规定不征税的财政拨款、依法收取并纳入财政管理的行政事业性收费以及政府性基金和国务院规定的其他不征税收入。第3列“调增金额”填报纳税人以前年度取得财政性资金且已作为不征税收入处理，在5年（60个月）内未发生支出且未缴回财政部门或其他拨付资金的政府部门，应计入应税收入额的金额。第4列“调减金额”填报符合税收规定不征税收入条件并作为不征税收入处理，且已计入当期损益的金额。</w:t>
      </w:r>
    </w:p>
    <w:p>
      <w:pPr>
        <w:spacing w:line="360" w:lineRule="auto"/>
        <w:ind w:firstLine="480" w:firstLineChars="200"/>
        <w:rPr>
          <w:rFonts w:ascii="宋体" w:hAnsi="宋体" w:cs="宋体"/>
          <w:sz w:val="24"/>
        </w:rPr>
      </w:pPr>
      <w:r>
        <w:rPr>
          <w:rFonts w:hint="eastAsia" w:ascii="宋体" w:hAnsi="宋体" w:cs="宋体"/>
          <w:sz w:val="24"/>
        </w:rPr>
        <w:t>9.第9行“专项用途财政性资金”：根据《专项用途财政性资金纳税调整明细表》(A105040)填报。第3列“调增金额”填报表A105040第7行第14列金额。第4列“调减金额”填报表A105040第7行第4列金额。</w:t>
      </w:r>
    </w:p>
    <w:p>
      <w:pPr>
        <w:spacing w:line="360" w:lineRule="auto"/>
        <w:ind w:firstLine="480" w:firstLineChars="200"/>
        <w:rPr>
          <w:rFonts w:ascii="宋体" w:hAnsi="宋体" w:cs="宋体"/>
          <w:sz w:val="24"/>
        </w:rPr>
      </w:pPr>
      <w:r>
        <w:rPr>
          <w:rFonts w:hint="eastAsia" w:ascii="宋体" w:hAnsi="宋体" w:cs="宋体"/>
          <w:sz w:val="24"/>
        </w:rPr>
        <w:t>10.第10行“（八）销售折扣、折让和退回”：填报不符合税收规定的销售折扣、折让应进行纳税调整的金额和发生的销售退回因会计处理与税收规定有差异需纳税调整的金额。第1列“账载金额”填报纳税人会计核算的销售折扣、折让金额和销货退回的追溯处理的净调整额。第2列“税收金额”填报根据税收规定可以税前扣除的折扣、折让的金额和销货退回业务影响当期损益的金额。若第1列≥第2列，第3列“调增金额”填报第1-2列金额。若第1列＜第2列，第4列“调减金额”填报第1-2列金额的绝对值，第4列仅为销货退回影响损益的跨期时间性差异。</w:t>
      </w:r>
    </w:p>
    <w:p>
      <w:pPr>
        <w:spacing w:line="360" w:lineRule="auto"/>
        <w:ind w:firstLine="480" w:firstLineChars="200"/>
        <w:rPr>
          <w:rFonts w:ascii="宋体" w:hAnsi="宋体" w:cs="宋体"/>
          <w:sz w:val="24"/>
        </w:rPr>
      </w:pPr>
      <w:r>
        <w:rPr>
          <w:rFonts w:hint="eastAsia" w:ascii="宋体" w:hAnsi="宋体" w:cs="宋体"/>
          <w:sz w:val="24"/>
        </w:rPr>
        <w:t>11.第11行“（九）其他”：填报其他因会计处理与税收规定有差异需纳税调整的收入类项目金额。若第2列≥第1列，第3列“调增金额”填报第2-1列金额。若第2列＜第1列，第4列“调减金额”填报第2-1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（二）扣除类调整项目</w:t>
      </w:r>
    </w:p>
    <w:p>
      <w:pPr>
        <w:spacing w:line="360" w:lineRule="auto"/>
        <w:ind w:firstLine="480" w:firstLineChars="200"/>
        <w:rPr>
          <w:rFonts w:ascii="宋体" w:hAnsi="宋体" w:cs="宋体"/>
          <w:sz w:val="24"/>
        </w:rPr>
      </w:pPr>
      <w:r>
        <w:rPr>
          <w:rFonts w:hint="eastAsia" w:ascii="宋体" w:hAnsi="宋体" w:cs="宋体"/>
          <w:sz w:val="24"/>
        </w:rPr>
        <w:t>12.第12行“二、扣除类调整项目”：根据第13行至第30行(不含第25行)填报。</w:t>
      </w:r>
    </w:p>
    <w:p>
      <w:pPr>
        <w:spacing w:line="360" w:lineRule="auto"/>
        <w:ind w:firstLine="480" w:firstLineChars="200"/>
        <w:rPr>
          <w:rFonts w:ascii="宋体" w:hAnsi="宋体" w:cs="宋体"/>
          <w:sz w:val="24"/>
        </w:rPr>
      </w:pPr>
      <w:r>
        <w:rPr>
          <w:rFonts w:hint="eastAsia" w:ascii="宋体" w:hAnsi="宋体" w:cs="宋体"/>
          <w:sz w:val="24"/>
        </w:rPr>
        <w:t>13.第13行“（一）视同销售成本”：根据《视同销售和房地产开发企业特定业务纳税调整明细表》(A105010)填报。第2列“税收金额”填报表A105010第11行第1列金额。第4列“调减金额”填报表A105010第11行第2列的绝对值。</w:t>
      </w:r>
    </w:p>
    <w:p>
      <w:pPr>
        <w:spacing w:line="360" w:lineRule="auto"/>
        <w:ind w:firstLine="480" w:firstLineChars="200"/>
        <w:rPr>
          <w:rFonts w:ascii="宋体" w:hAnsi="宋体" w:cs="宋体"/>
          <w:sz w:val="24"/>
        </w:rPr>
      </w:pPr>
      <w:r>
        <w:rPr>
          <w:rFonts w:hint="eastAsia" w:ascii="宋体" w:hAnsi="宋体" w:cs="宋体"/>
          <w:sz w:val="24"/>
        </w:rPr>
        <w:t>14.第14行“（二）职工薪酬”：根据《职工薪酬支出及纳税调整明细表》(A105050)填报。第1列“账载金额”填报表A105050第13行第1列金额。第2列“税收金额”填报表A105050第13行第5列金额。若表A105050第13行第6列≥0，第3列“调增金额”填报表A105050第13行第6列金额。若表A105050第13行第6列＜0，第4列“调减金额”填报表A105050第13行第6列金额的绝对值。</w:t>
      </w:r>
    </w:p>
    <w:p>
      <w:pPr>
        <w:spacing w:line="360" w:lineRule="auto"/>
        <w:ind w:firstLine="480" w:firstLineChars="200"/>
        <w:rPr>
          <w:rFonts w:ascii="宋体" w:hAnsi="宋体" w:cs="宋体"/>
          <w:sz w:val="24"/>
        </w:rPr>
      </w:pPr>
      <w:r>
        <w:rPr>
          <w:rFonts w:hint="eastAsia" w:ascii="宋体" w:hAnsi="宋体" w:cs="宋体"/>
          <w:sz w:val="24"/>
        </w:rPr>
        <w:t>15.第15行“（三）业务招待费支出”：第1列“账载金额”填报纳税人会计核算计入当期损益的业务招待费金额。第2列“税收金额”填报按照税收规定允许税前扣除的业务招待费支出的金额。第3列“调增金额”填报第1-2列金额。</w:t>
      </w:r>
    </w:p>
    <w:p>
      <w:pPr>
        <w:spacing w:line="360" w:lineRule="auto"/>
        <w:ind w:firstLine="480" w:firstLineChars="200"/>
        <w:rPr>
          <w:rFonts w:ascii="宋体" w:hAnsi="宋体" w:cs="宋体"/>
          <w:sz w:val="24"/>
        </w:rPr>
      </w:pPr>
      <w:r>
        <w:rPr>
          <w:rFonts w:hint="eastAsia" w:ascii="宋体" w:hAnsi="宋体" w:cs="宋体"/>
          <w:sz w:val="24"/>
        </w:rPr>
        <w:t>16.第16行“（四）广告费和业务宣传费支出”：根据《广告费和业务宣传费等跨年度纳税调整明细表》(A105060)填报。若表A105060第12行第1列≥0，第3列“调增金额”填报表A105060第12行第1列金额。若表A105060第12行第1列＜0，第4列“调减金额”填报表A105060第12行第1列金额的绝对值。</w:t>
      </w:r>
    </w:p>
    <w:p>
      <w:pPr>
        <w:spacing w:line="360" w:lineRule="auto"/>
        <w:ind w:firstLine="480" w:firstLineChars="200"/>
        <w:rPr>
          <w:rFonts w:ascii="宋体" w:hAnsi="宋体" w:cs="宋体"/>
          <w:sz w:val="24"/>
        </w:rPr>
      </w:pPr>
      <w:r>
        <w:rPr>
          <w:rFonts w:hint="eastAsia" w:ascii="宋体" w:hAnsi="宋体" w:cs="宋体"/>
          <w:sz w:val="24"/>
        </w:rPr>
        <w:t>17.第17行“（五）捐赠支出”：根据《捐赠支出及纳税调整明细表》(A105070)填报。第1列“账载金额”填报表A105070合计行第1列金额。第2列“税收金额”填报表A105070合计行第4列金额。第3列“调增金额”填报表A105070合计行第5列金额。第4列“调减金额”填报表A105070合计行第6列金额。</w:t>
      </w:r>
    </w:p>
    <w:p>
      <w:pPr>
        <w:spacing w:line="360" w:lineRule="auto"/>
        <w:ind w:firstLine="480" w:firstLineChars="200"/>
        <w:rPr>
          <w:rFonts w:ascii="宋体" w:hAnsi="宋体" w:cs="宋体"/>
          <w:sz w:val="24"/>
        </w:rPr>
      </w:pPr>
      <w:r>
        <w:rPr>
          <w:rFonts w:hint="eastAsia" w:ascii="宋体" w:hAnsi="宋体" w:cs="宋体"/>
          <w:sz w:val="24"/>
        </w:rPr>
        <w:t>18.第18行“（六）利息支出”：第1列“账载金额”填报纳税人向非金融企业借款，会计核算计入当期损益的利息支出的金额。发行永续债的利息支出不在本行填报。第2列“税收金额”填报按照税收规定允许税前扣除的利息支出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19.第19行“（七）罚金、罚款和被没收财物的损失”：第1列“账载金额”填报纳税人会计核算计入当期损益的罚金、罚款和被没收财物的损失，不包括纳税人按照经济合同规定支付的违约金（包括银行罚息）、罚款和诉讼费。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20.第20行“（八）税收滞纳金、加收利息”：第1列“账载金额”填报纳税人会计核算计入当期损益的税收滞纳金、加收利息。第3列“调增金额”填报第1列金额。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21.第21行“（九）赞助支出”：第1列“账载金额”填报纳税人会计核算计入当期损益的不符合税收规定的公益性捐赠的赞助支出的金额，包括直接向受赠人的捐赠、赞助支出等（不含广告性的赞助支出，广告性的赞助支出在表A105060中填报）。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22.第22行“（十）与未实现融资收益相关在当期确认的财务费用”：第1列“账载金额”填报纳税人会计核算的与未实现融资收益相关并在当期确认的财务费用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b/>
          <w:bCs/>
          <w:sz w:val="24"/>
        </w:rPr>
      </w:pPr>
      <w:r>
        <w:rPr>
          <w:rFonts w:hint="eastAsia" w:ascii="宋体" w:hAnsi="宋体" w:cs="宋体"/>
          <w:sz w:val="24"/>
        </w:rPr>
        <w:t>23.第23行“（十一）佣金和手续费支出”：除保险企业之外的其他企业直接填报本行，第1列“账载金额”填报纳税人会计核算计入当期损益的佣金和手续费金额，第2列“税收金额”填报按照税收规定允许税前扣除的佣金和手续费支出金额，第3列“调增金额”填报第1-2列金额，第4列“调减金额”不可填报。保险企业根据《广告费和业务宣传费等跨年度纳税调整明细表》(A105060)填报，第1列“账载金额”填报表A105060第1行第2列。若表A105060第3行第2列≥第6行第2列，第2列“税收金额”填报A105060第6行第2列的金额；若表A105060第3行第2列＜第6行第2列，第2列“税收金额”填报A105060第3行第2列+第9行第2列的金额。若表A105060第12行第2列≥0，第3列“调增金额”填报表A105060第12行第2列金额。若表A105060第12行第2列＜0，第4列“调减金额”填报表A105060第12行第2列金额的绝对值。</w:t>
      </w:r>
    </w:p>
    <w:p>
      <w:pPr>
        <w:spacing w:line="360" w:lineRule="auto"/>
        <w:ind w:firstLine="480" w:firstLineChars="200"/>
        <w:rPr>
          <w:rFonts w:ascii="宋体" w:hAnsi="宋体" w:cs="宋体"/>
          <w:sz w:val="24"/>
        </w:rPr>
      </w:pPr>
      <w:r>
        <w:rPr>
          <w:rFonts w:hint="eastAsia" w:ascii="宋体" w:hAnsi="宋体" w:cs="宋体"/>
          <w:sz w:val="24"/>
        </w:rPr>
        <w:t>24.第24行“（十二）不征税收入用于支出所形成的费用”：第3列“调增金额”填报符合条件的不征税收入于支出所形成的计入当期损益的费用化支出金额。</w:t>
      </w:r>
    </w:p>
    <w:p>
      <w:pPr>
        <w:spacing w:line="360" w:lineRule="auto"/>
        <w:ind w:firstLine="480" w:firstLineChars="200"/>
        <w:rPr>
          <w:rFonts w:ascii="宋体" w:hAnsi="宋体" w:cs="宋体"/>
          <w:sz w:val="24"/>
        </w:rPr>
      </w:pPr>
      <w:r>
        <w:rPr>
          <w:rFonts w:hint="eastAsia" w:ascii="宋体" w:hAnsi="宋体" w:cs="宋体"/>
          <w:sz w:val="24"/>
        </w:rPr>
        <w:t>25.第25行“专项用途财政性资金用于支出所形成的费用”：根据《专项用途财政性资金纳税调整明细表》(A105040)填报。第3列“调增金额”填报表A105040第7行第11列金额。</w:t>
      </w:r>
    </w:p>
    <w:p>
      <w:pPr>
        <w:spacing w:line="360" w:lineRule="auto"/>
        <w:ind w:firstLine="480" w:firstLineChars="200"/>
        <w:rPr>
          <w:rFonts w:ascii="宋体" w:hAnsi="宋体" w:cs="宋体"/>
          <w:sz w:val="24"/>
        </w:rPr>
      </w:pPr>
      <w:r>
        <w:rPr>
          <w:rFonts w:hint="eastAsia" w:ascii="宋体" w:hAnsi="宋体" w:cs="宋体"/>
          <w:sz w:val="24"/>
        </w:rPr>
        <w:t>26.第26行“（十三）跨期扣除项目”：填报维简费、安全生产费用、预提费用、预计负债等跨期扣除项目调整情况。第1列“账载金额”填报纳税人会计核算计入当期损益的跨期扣除项目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27.第27行“（十四）与取得收入无关的支出”：第1列“账载金额”填报纳税人会计核算计入当期损益的与取得收入无关的支出的金额。第3列“调增金额”填报第1列金额。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28.第28行“（十五）境外所得分摊的共同支出”：根据《境外所得纳税调整后所得明细表》（A108010）填报。第3列“调增金额”填报表A108010合计行第16+17列金额。</w:t>
      </w:r>
    </w:p>
    <w:p>
      <w:pPr>
        <w:spacing w:line="360" w:lineRule="auto"/>
        <w:ind w:firstLine="480" w:firstLineChars="200"/>
        <w:rPr>
          <w:rFonts w:ascii="宋体" w:hAnsi="宋体" w:cs="宋体"/>
          <w:sz w:val="24"/>
        </w:rPr>
      </w:pPr>
      <w:r>
        <w:rPr>
          <w:rFonts w:hint="eastAsia" w:ascii="宋体" w:hAnsi="宋体" w:cs="宋体"/>
          <w:sz w:val="24"/>
        </w:rPr>
        <w:t>29.第29行“（十六）党组织工作经费”：填报纳税人根据有关文件规定，为创新基层党建工作、建立稳定的经费保障制度发生的党组织工作经费及纳税调整情况。</w:t>
      </w:r>
    </w:p>
    <w:p>
      <w:pPr>
        <w:spacing w:line="360" w:lineRule="auto"/>
        <w:ind w:firstLine="480" w:firstLineChars="200"/>
        <w:rPr>
          <w:rFonts w:ascii="宋体" w:hAnsi="宋体" w:cs="宋体"/>
          <w:sz w:val="24"/>
        </w:rPr>
      </w:pPr>
      <w:r>
        <w:rPr>
          <w:rFonts w:hint="eastAsia" w:ascii="宋体" w:hAnsi="宋体" w:cs="宋体"/>
          <w:sz w:val="24"/>
        </w:rPr>
        <w:t>30.第30行“（十七）其他”：填报其他因会计处理与税收规定有差异需纳税调整的扣除类项目金额，企业将货物、资产、劳务用于捐赠、广告等用途时，进行视同销售纳税调整后，对应支出的会计处理与税收规定有差异需纳税调整的金额填报在本行。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（三）资产类调整项目</w:t>
      </w:r>
    </w:p>
    <w:p>
      <w:pPr>
        <w:spacing w:line="360" w:lineRule="auto"/>
        <w:ind w:firstLine="480" w:firstLineChars="200"/>
        <w:rPr>
          <w:rFonts w:ascii="宋体" w:hAnsi="宋体" w:cs="宋体"/>
          <w:sz w:val="24"/>
        </w:rPr>
      </w:pPr>
      <w:r>
        <w:rPr>
          <w:rFonts w:hint="eastAsia" w:ascii="宋体" w:hAnsi="宋体" w:cs="宋体"/>
          <w:sz w:val="24"/>
        </w:rPr>
        <w:t>31.第31行“三、资产类调整项目”：填报资产类调整项目第32行至第35行的合计金额。</w:t>
      </w:r>
    </w:p>
    <w:p>
      <w:pPr>
        <w:spacing w:line="360" w:lineRule="auto"/>
        <w:ind w:firstLine="480" w:firstLineChars="200"/>
        <w:rPr>
          <w:rFonts w:ascii="宋体" w:hAnsi="宋体" w:cs="宋体"/>
          <w:sz w:val="24"/>
        </w:rPr>
      </w:pPr>
      <w:r>
        <w:rPr>
          <w:rFonts w:hint="eastAsia" w:ascii="宋体" w:hAnsi="宋体" w:cs="宋体"/>
          <w:sz w:val="24"/>
        </w:rPr>
        <w:t>32.第32行“（一）资产折旧、摊销”：根据《资产折旧、摊销及纳税调整明细表》(A105080)填报。第1列“账载金额”填报表A105080第41行第2列金额。第2列“税收金额”填报表A105080第41行第5列金额。若表A105080第41行第9列≥0，第3列“调增金额”填报表A105080第41行第9列金额。若表A105080第41行第9列＜0，第4列“调减金额”填报表A105080第41行第9列金额的绝对值。</w:t>
      </w:r>
    </w:p>
    <w:p>
      <w:pPr>
        <w:spacing w:line="360" w:lineRule="auto"/>
        <w:ind w:firstLine="480" w:firstLineChars="200"/>
        <w:rPr>
          <w:rFonts w:ascii="宋体" w:hAnsi="宋体" w:cs="宋体"/>
          <w:sz w:val="24"/>
        </w:rPr>
      </w:pPr>
      <w:r>
        <w:rPr>
          <w:rFonts w:hint="eastAsia" w:ascii="宋体" w:hAnsi="宋体" w:cs="宋体"/>
          <w:sz w:val="24"/>
        </w:rPr>
        <w:t>33.第33行“（二）资产减值准备金”：填报坏账准备、存货跌价准备、理赔费用准备金等不允许税前扣除的各类资产减值准备金纳税调整情况。第1列“账载金额”填报纳税人会计核算计入当期损益的资产减值准备金金额（因价值恢复等原因转回的资产减值准备金应予以冲回）。若第1列≥0，第3列“调增金额”填报第1列金额。若第1列＜0，第4列“调减金额”填报第1列金额的绝对值。</w:t>
      </w:r>
    </w:p>
    <w:p>
      <w:pPr>
        <w:pStyle w:val="65"/>
      </w:pPr>
      <w:r>
        <w:rPr>
          <w:rFonts w:hint="eastAsia"/>
        </w:rPr>
        <w:t>34.第34行“（三）资产损失”：根据《资产损失税前扣除及纳税调整明细表》(A105090)填报。若表A105090第29行第7列≥0，第3列“调增金额”填报表A105090第29行第7列金额。若表A105090第29行第7列＜0，第4列“调减金额”填报表A105090第29行第7列金额的绝对值。</w:t>
      </w:r>
    </w:p>
    <w:p>
      <w:pPr>
        <w:spacing w:line="360" w:lineRule="auto"/>
        <w:ind w:firstLine="480" w:firstLineChars="200"/>
        <w:rPr>
          <w:rFonts w:ascii="宋体" w:hAnsi="宋体" w:cs="宋体"/>
          <w:sz w:val="24"/>
        </w:rPr>
      </w:pPr>
      <w:r>
        <w:rPr>
          <w:rFonts w:hint="eastAsia" w:ascii="宋体" w:hAnsi="宋体" w:cs="宋体"/>
          <w:sz w:val="24"/>
        </w:rPr>
        <w:t>35.第35行“（四）其他”：填报其他因会计处理与税收规定有差异需纳税调整的资产类项目金额。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（四）特殊事项调整项目</w:t>
      </w:r>
    </w:p>
    <w:p>
      <w:pPr>
        <w:spacing w:line="360" w:lineRule="auto"/>
        <w:ind w:firstLine="480" w:firstLineChars="200"/>
        <w:rPr>
          <w:rFonts w:ascii="宋体" w:hAnsi="宋体" w:cs="宋体"/>
          <w:sz w:val="24"/>
        </w:rPr>
      </w:pPr>
      <w:r>
        <w:rPr>
          <w:rFonts w:hint="eastAsia" w:ascii="宋体" w:hAnsi="宋体" w:cs="宋体"/>
          <w:sz w:val="24"/>
        </w:rPr>
        <w:t>36.第36行“四、特殊事项调整项目”：填报特殊事项调整项目第37行至第43行的合计金额。</w:t>
      </w:r>
    </w:p>
    <w:p>
      <w:pPr>
        <w:spacing w:line="360" w:lineRule="auto"/>
        <w:ind w:firstLine="480" w:firstLineChars="200"/>
        <w:rPr>
          <w:rFonts w:ascii="宋体" w:hAnsi="宋体" w:cs="宋体"/>
          <w:kern w:val="0"/>
          <w:sz w:val="24"/>
        </w:rPr>
      </w:pPr>
      <w:r>
        <w:rPr>
          <w:rFonts w:hint="eastAsia" w:ascii="宋体" w:hAnsi="宋体" w:cs="宋体"/>
          <w:sz w:val="24"/>
        </w:rPr>
        <w:t>37.第37行“（一）企业重组及递延纳税事项”：根据《企业重组及递延纳税事项纳税调整明细表》(A105100)填报。第1列“账载金额”填报表A105100第17行第1+4列金额。第2列“税收金额”填报表A105100第17行第2+5列金额。若表A105100第17行第7列≥0，第3列“调增金额”填报表A105100第17行第7列金额。若表A105100第17行第7列＜0，第4列“调减金额”填报表A105100第17行第7列金额的绝对值。</w:t>
      </w:r>
    </w:p>
    <w:p>
      <w:pPr>
        <w:spacing w:line="360" w:lineRule="auto"/>
        <w:ind w:firstLine="480" w:firstLineChars="200"/>
        <w:rPr>
          <w:rFonts w:ascii="宋体" w:hAnsi="宋体" w:cs="宋体"/>
          <w:sz w:val="24"/>
        </w:rPr>
      </w:pPr>
      <w:r>
        <w:rPr>
          <w:rFonts w:hint="eastAsia" w:ascii="宋体" w:hAnsi="宋体" w:cs="宋体"/>
          <w:sz w:val="24"/>
        </w:rPr>
        <w:t>38.第38行“（二）政策性搬迁”：根据《政策性搬迁纳税调整明细表》(A105110)填报。若表A105110第24行≥0，第3列“调增金额”填报表A105110第24行金额。若表A105110第24行＜0，第4列“调减金额”填报表A105110第24行金额的绝对值。</w:t>
      </w:r>
    </w:p>
    <w:p>
      <w:pPr>
        <w:spacing w:line="360" w:lineRule="auto"/>
        <w:ind w:firstLine="480" w:firstLineChars="200"/>
        <w:rPr>
          <w:rFonts w:ascii="宋体" w:hAnsi="宋体" w:cs="宋体"/>
          <w:sz w:val="24"/>
        </w:rPr>
      </w:pPr>
      <w:r>
        <w:rPr>
          <w:rFonts w:hint="eastAsia" w:ascii="宋体" w:hAnsi="宋体" w:cs="宋体"/>
          <w:sz w:val="24"/>
        </w:rPr>
        <w:t>39.第39行“（三）特殊行业准备金”：填报特殊行业准备金调整项目第39.1行至第39.7行(不包含第39.3行)的合计金额。</w:t>
      </w:r>
    </w:p>
    <w:p>
      <w:pPr>
        <w:spacing w:line="360" w:lineRule="auto"/>
        <w:ind w:firstLine="480" w:firstLineChars="200"/>
        <w:rPr>
          <w:rFonts w:ascii="宋体" w:hAnsi="宋体" w:cs="宋体"/>
          <w:sz w:val="24"/>
        </w:rPr>
      </w:pPr>
      <w:r>
        <w:rPr>
          <w:rFonts w:hint="eastAsia" w:ascii="宋体" w:hAnsi="宋体" w:cs="宋体"/>
          <w:sz w:val="24"/>
        </w:rPr>
        <w:t>40.第39.1行“1.保险公司保险保障基金”：第1列“账载金额”填报纳税人会计核算的保险公司保险保障基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41.第39.2行“2.保险公司准备金”：第1列“账载金额”填报纳税人会计核算的保险公司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42.第39.3行“其中：已发生未报案未决赔款准备金”：第1列“账载金额”填报纳税人会计核算的保险公司未决赔款准备金中已发生未报案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43.第39.4行“3.证券行业准备金”：第1列“账载金额”填报纳税人会计核算的证券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44.第39.5行“4.期货行业准备金”：第1列“账载金额”填报纳税人会计核算的期货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45.第39.6行“5.中小企业融资（信用）担保机构准备金”：第1列“账载金额”填报纳税人会计核算的中小企业融资（信用）担保机构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46.第39.7行“6.金融企业、小额贷款公司准备金”：根据《贷款损失准备金及纳税调整明细表》(A105120)填报。若表A105120第10行第11列≥0，第3列“调增金额”填报表A105120第10行第11列金额。若表A105120第10行第11列＜0，第4列“调减金额”填报表A105120第10行第11列金额的绝对值。</w:t>
      </w:r>
    </w:p>
    <w:p>
      <w:pPr>
        <w:spacing w:line="360" w:lineRule="auto"/>
        <w:ind w:firstLine="480" w:firstLineChars="200"/>
        <w:rPr>
          <w:rFonts w:ascii="宋体" w:hAnsi="宋体" w:cs="宋体"/>
          <w:sz w:val="24"/>
        </w:rPr>
      </w:pPr>
      <w:r>
        <w:rPr>
          <w:rFonts w:hint="eastAsia" w:ascii="宋体" w:hAnsi="宋体" w:cs="宋体"/>
          <w:sz w:val="24"/>
        </w:rPr>
        <w:t>47.第40行“（四）房地产开发企业特定业务计算的纳税调整额”：根据《视同销售和房地产开发企业特定业务纳税调整明细表》(A105010)填报。第2列“税收金额”填报表A105010第21行第1列金额。若表A105010第21行第2列≥0，第3列“调增金额”填报表A105010第21行第2列金额。若表A105010第21行第2列＜0，第4列“调减金额”填报表A105010第21行第2列金额的绝对值。</w:t>
      </w:r>
    </w:p>
    <w:p>
      <w:pPr>
        <w:spacing w:line="360" w:lineRule="auto"/>
        <w:ind w:firstLine="480" w:firstLineChars="200"/>
        <w:rPr>
          <w:rFonts w:ascii="宋体" w:hAnsi="宋体" w:cs="宋体"/>
          <w:sz w:val="24"/>
        </w:rPr>
      </w:pPr>
      <w:r>
        <w:rPr>
          <w:rFonts w:hint="eastAsia" w:ascii="宋体" w:hAnsi="宋体" w:cs="宋体"/>
          <w:sz w:val="24"/>
        </w:rPr>
        <w:t>48.第41行“（五）合伙企业法人合伙人分得的应纳税所得额”：第1列“账载金额”填报合伙企业法人合伙人本年会计核算上确认的对合伙企业的投资所得。第2列“税收金额”填报纳税人按照“先分后税”原则和《财政部 国家税务总局关于合伙企业合伙人所得税问题的通知》（财税〔2008〕159号）文件第四条规定计算的从合伙企业分得的法人合伙人应纳税所得额。若第1列≤第2列，第3列“调增金额”填报第2-1列金额。若第1列＞第2列，第4列“调减金额”填报第2-1列金额的绝对值。</w:t>
      </w:r>
    </w:p>
    <w:p>
      <w:pPr>
        <w:spacing w:line="360" w:lineRule="auto"/>
        <w:ind w:firstLine="480" w:firstLineChars="200"/>
        <w:rPr>
          <w:rFonts w:ascii="宋体" w:hAnsi="宋体" w:cs="宋体"/>
          <w:sz w:val="24"/>
        </w:rPr>
      </w:pPr>
      <w:r>
        <w:rPr>
          <w:rFonts w:hint="eastAsia" w:ascii="宋体" w:hAnsi="宋体" w:cs="宋体"/>
          <w:sz w:val="24"/>
        </w:rPr>
        <w:t>49.第42行“（六）发行永续债利息支出”：本行填报企业发行永续债采取的税收处理办法与会计核算方式不一致时的纳税调整情况。当永续债发行方会计上按照债务核算，税收上适用股息、红利企业所得税政策时，第1列“账载金额”填报支付的永续债利息支出计入当期损益的金额；第2列“税收金额”填报0。永续债发行方会计上按照权益核算，税收上按照债券利息适用企业所得税政策时，第1列“账载金额”填报0；第2列“税收金额”填报永续债发行方支付的永续债利息支出准予在企业所得税税前扣除的金额。若第2列≤第1列，第3列“调增金额”填报第1-2列金额。若第2列＞第1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50.第43行“（七）其他”：填报其他因会计处理与税收规定有差异需纳税调整的特殊事项金额。</w:t>
      </w:r>
    </w:p>
    <w:p>
      <w:pPr>
        <w:spacing w:line="360" w:lineRule="auto"/>
        <w:ind w:firstLine="480" w:firstLineChars="200"/>
        <w:outlineLvl w:val="1"/>
        <w:rPr>
          <w:rFonts w:ascii="宋体" w:hAnsi="宋体" w:cs="宋体"/>
          <w:sz w:val="24"/>
        </w:rPr>
      </w:pPr>
      <w:r>
        <w:rPr>
          <w:rFonts w:hint="eastAsia" w:ascii="宋体" w:hAnsi="宋体" w:cs="宋体"/>
          <w:sz w:val="24"/>
        </w:rPr>
        <w:t>（五）特殊纳税调整所得项目</w:t>
      </w:r>
    </w:p>
    <w:p>
      <w:pPr>
        <w:spacing w:line="360" w:lineRule="auto"/>
        <w:ind w:firstLine="480" w:firstLineChars="200"/>
        <w:rPr>
          <w:rFonts w:ascii="宋体" w:hAnsi="宋体" w:cs="宋体"/>
          <w:sz w:val="24"/>
        </w:rPr>
      </w:pPr>
      <w:r>
        <w:rPr>
          <w:rFonts w:hint="eastAsia" w:ascii="宋体" w:hAnsi="宋体" w:cs="宋体"/>
          <w:sz w:val="24"/>
        </w:rPr>
        <w:t>51.第44行“五、特别纳税调整应税所得”：第3列“调增金额”填报纳税人按特别纳税调整规定自行调增的当年应税所得。第4列“调减金额”填报纳税人依据双边预约定价安排或者转让定价相应调整磋商结果的通知，需要调减的当年应税所得。</w:t>
      </w:r>
    </w:p>
    <w:p>
      <w:pPr>
        <w:spacing w:line="360" w:lineRule="auto"/>
        <w:ind w:firstLine="480" w:firstLineChars="200"/>
        <w:outlineLvl w:val="1"/>
        <w:rPr>
          <w:rFonts w:ascii="宋体" w:hAnsi="宋体" w:cs="宋体"/>
          <w:sz w:val="24"/>
        </w:rPr>
      </w:pPr>
      <w:r>
        <w:rPr>
          <w:rFonts w:hint="eastAsia" w:ascii="宋体" w:hAnsi="宋体" w:cs="宋体"/>
          <w:sz w:val="24"/>
        </w:rPr>
        <w:t>（六）其他</w:t>
      </w:r>
    </w:p>
    <w:p>
      <w:pPr>
        <w:spacing w:line="360" w:lineRule="auto"/>
        <w:ind w:firstLine="480" w:firstLineChars="200"/>
        <w:rPr>
          <w:rFonts w:ascii="宋体" w:hAnsi="宋体" w:cs="宋体"/>
          <w:sz w:val="24"/>
        </w:rPr>
      </w:pPr>
      <w:r>
        <w:rPr>
          <w:rFonts w:hint="eastAsia" w:ascii="宋体" w:hAnsi="宋体" w:cs="宋体"/>
          <w:sz w:val="24"/>
        </w:rPr>
        <w:t>52.第45行“六、其他”：填报其他会计处理与税收规定存在差异需纳税调整的项目金额，包括企业执行《企业会计准则第14号——收入》（财会〔2017〕22号发布）产生的税会差异纳税调整金额。</w:t>
      </w:r>
    </w:p>
    <w:p>
      <w:pPr>
        <w:spacing w:line="360" w:lineRule="auto"/>
        <w:ind w:firstLine="480" w:firstLineChars="200"/>
        <w:rPr>
          <w:rFonts w:ascii="宋体" w:hAnsi="宋体" w:cs="宋体"/>
          <w:sz w:val="24"/>
        </w:rPr>
      </w:pPr>
      <w:r>
        <w:rPr>
          <w:rFonts w:hint="eastAsia" w:ascii="宋体" w:hAnsi="宋体" w:cs="宋体"/>
          <w:sz w:val="24"/>
        </w:rPr>
        <w:t>53.第46行“合计”：填报第1+12+31+36+44+45行的合计金额。</w:t>
      </w:r>
    </w:p>
    <w:p>
      <w:pPr>
        <w:spacing w:line="360" w:lineRule="auto"/>
        <w:ind w:firstLine="482" w:firstLineChars="200"/>
        <w:jc w:val="left"/>
        <w:outlineLvl w:val="0"/>
        <w:rPr>
          <w:rFonts w:ascii="宋体" w:hAnsi="宋体" w:cs="宋体"/>
          <w:b/>
          <w:sz w:val="24"/>
        </w:rPr>
      </w:pPr>
      <w:r>
        <w:rPr>
          <w:rFonts w:hint="eastAsia" w:ascii="宋体" w:hAnsi="宋体" w:cs="宋体"/>
          <w:b/>
          <w:sz w:val="24"/>
        </w:rPr>
        <w:t>二、表内、表间关系</w:t>
      </w:r>
    </w:p>
    <w:p>
      <w:pPr>
        <w:spacing w:line="360" w:lineRule="auto"/>
        <w:ind w:firstLine="480" w:firstLineChars="200"/>
        <w:outlineLvl w:val="1"/>
        <w:rPr>
          <w:rFonts w:ascii="宋体" w:hAnsi="宋体" w:cs="宋体"/>
          <w:sz w:val="24"/>
        </w:rPr>
      </w:pPr>
      <w:r>
        <w:rPr>
          <w:rFonts w:hint="eastAsia" w:ascii="宋体" w:hAnsi="宋体" w:cs="宋体"/>
          <w:sz w:val="24"/>
        </w:rPr>
        <w:t>（一）表内关系</w:t>
      </w:r>
    </w:p>
    <w:p>
      <w:pPr>
        <w:spacing w:line="360" w:lineRule="auto"/>
        <w:ind w:firstLine="480" w:firstLineChars="200"/>
        <w:rPr>
          <w:rFonts w:ascii="宋体" w:hAnsi="宋体" w:cs="宋体"/>
          <w:sz w:val="24"/>
        </w:rPr>
      </w:pPr>
      <w:r>
        <w:rPr>
          <w:rFonts w:hint="eastAsia" w:ascii="宋体" w:hAnsi="宋体" w:cs="宋体"/>
          <w:sz w:val="24"/>
        </w:rPr>
        <w:t>1.第1行＝第2+3+4+5+6+7+8+10+11行。</w:t>
      </w:r>
    </w:p>
    <w:p>
      <w:pPr>
        <w:spacing w:line="360" w:lineRule="auto"/>
        <w:ind w:firstLine="480" w:firstLineChars="200"/>
        <w:rPr>
          <w:rFonts w:ascii="宋体" w:hAnsi="宋体" w:cs="宋体"/>
          <w:sz w:val="24"/>
        </w:rPr>
      </w:pPr>
      <w:r>
        <w:rPr>
          <w:rFonts w:hint="eastAsia" w:ascii="宋体" w:hAnsi="宋体" w:cs="宋体"/>
          <w:sz w:val="24"/>
        </w:rPr>
        <w:t>2.第12行＝第13+14+…+23+24+26+27+28+29+30行。</w:t>
      </w:r>
    </w:p>
    <w:p>
      <w:pPr>
        <w:spacing w:line="360" w:lineRule="auto"/>
        <w:ind w:firstLine="480" w:firstLineChars="200"/>
        <w:rPr>
          <w:rFonts w:ascii="宋体" w:hAnsi="宋体" w:cs="宋体"/>
          <w:sz w:val="24"/>
        </w:rPr>
      </w:pPr>
      <w:r>
        <w:rPr>
          <w:rFonts w:hint="eastAsia" w:ascii="宋体" w:hAnsi="宋体" w:cs="宋体"/>
          <w:sz w:val="24"/>
        </w:rPr>
        <w:t>3.第31行＝第32+33+34+35行。</w:t>
      </w:r>
    </w:p>
    <w:p>
      <w:pPr>
        <w:spacing w:line="360" w:lineRule="auto"/>
        <w:ind w:firstLine="480" w:firstLineChars="200"/>
        <w:rPr>
          <w:rFonts w:ascii="宋体" w:hAnsi="宋体" w:cs="宋体"/>
          <w:sz w:val="24"/>
        </w:rPr>
      </w:pPr>
      <w:r>
        <w:rPr>
          <w:rFonts w:hint="eastAsia" w:ascii="宋体" w:hAnsi="宋体" w:cs="宋体"/>
          <w:sz w:val="24"/>
        </w:rPr>
        <w:t>4.第36行＝第37+38+39+40+41+42+43行。</w:t>
      </w:r>
    </w:p>
    <w:p>
      <w:pPr>
        <w:spacing w:line="360" w:lineRule="auto"/>
        <w:ind w:firstLine="480" w:firstLineChars="200"/>
        <w:rPr>
          <w:rFonts w:ascii="宋体" w:hAnsi="宋体" w:cs="宋体"/>
          <w:sz w:val="24"/>
        </w:rPr>
      </w:pPr>
      <w:r>
        <w:rPr>
          <w:rFonts w:hint="eastAsia" w:ascii="宋体" w:hAnsi="宋体" w:cs="宋体"/>
          <w:sz w:val="24"/>
        </w:rPr>
        <w:t>5.第39行＝第39.1+39.2+39.4+39.5+39.6+39.7行。</w:t>
      </w:r>
    </w:p>
    <w:p>
      <w:pPr>
        <w:spacing w:line="360" w:lineRule="auto"/>
        <w:ind w:firstLine="480" w:firstLineChars="200"/>
        <w:rPr>
          <w:rFonts w:ascii="宋体" w:hAnsi="宋体" w:cs="宋体"/>
          <w:sz w:val="24"/>
        </w:rPr>
      </w:pPr>
      <w:r>
        <w:rPr>
          <w:rFonts w:hint="eastAsia" w:ascii="宋体" w:hAnsi="宋体" w:cs="宋体"/>
          <w:sz w:val="24"/>
        </w:rPr>
        <w:t>6.第46行＝第1+12+31+36+44+45行。</w:t>
      </w:r>
    </w:p>
    <w:p>
      <w:pPr>
        <w:spacing w:line="360" w:lineRule="auto"/>
        <w:ind w:firstLine="480" w:firstLineChars="200"/>
        <w:outlineLvl w:val="1"/>
        <w:rPr>
          <w:rFonts w:ascii="宋体" w:hAnsi="宋体" w:cs="宋体"/>
          <w:sz w:val="24"/>
        </w:rPr>
      </w:pPr>
      <w:r>
        <w:rPr>
          <w:rFonts w:hint="eastAsia" w:ascii="宋体" w:hAnsi="宋体" w:cs="宋体"/>
          <w:sz w:val="24"/>
        </w:rPr>
        <w:t>（二）表间关系</w:t>
      </w:r>
    </w:p>
    <w:p>
      <w:pPr>
        <w:spacing w:line="360" w:lineRule="auto"/>
        <w:ind w:firstLine="480" w:firstLineChars="200"/>
        <w:rPr>
          <w:rFonts w:ascii="宋体" w:hAnsi="宋体" w:cs="宋体"/>
          <w:sz w:val="24"/>
        </w:rPr>
      </w:pPr>
      <w:r>
        <w:rPr>
          <w:rFonts w:hint="eastAsia" w:ascii="宋体" w:hAnsi="宋体" w:cs="宋体"/>
          <w:sz w:val="24"/>
        </w:rPr>
        <w:t>1.第2行第2列＝表A105010第1行第1列；第2行第3列＝表A105010第1行第2列。</w:t>
      </w:r>
    </w:p>
    <w:p>
      <w:pPr>
        <w:spacing w:line="360" w:lineRule="auto"/>
        <w:ind w:firstLine="480" w:firstLineChars="200"/>
        <w:rPr>
          <w:rFonts w:ascii="宋体" w:hAnsi="宋体" w:cs="宋体"/>
          <w:sz w:val="24"/>
        </w:rPr>
      </w:pPr>
      <w:r>
        <w:rPr>
          <w:rFonts w:hint="eastAsia" w:ascii="宋体" w:hAnsi="宋体" w:cs="宋体"/>
          <w:sz w:val="24"/>
        </w:rPr>
        <w:t>2.第3行第1列＝表A105020第14行第2列；第3行第2列＝表A105020第14行第4列；若表A105020第14行第6列≥0，第3行第3列＝表A105020第14行第6列；若表A105020第14行第6列＜0，第3行第4列＝表A105020第14行第6列的绝对值。</w:t>
      </w:r>
    </w:p>
    <w:p>
      <w:pPr>
        <w:spacing w:line="360" w:lineRule="auto"/>
        <w:ind w:firstLine="480" w:firstLineChars="200"/>
        <w:rPr>
          <w:rFonts w:ascii="宋体" w:hAnsi="宋体" w:cs="宋体"/>
          <w:sz w:val="24"/>
        </w:rPr>
      </w:pPr>
      <w:r>
        <w:rPr>
          <w:rFonts w:hint="eastAsia" w:ascii="宋体" w:hAnsi="宋体" w:cs="宋体"/>
          <w:sz w:val="24"/>
        </w:rPr>
        <w:t>3.第4行第1列＝表A105030第10行第1+8列；第4行第2列＝表A105030第10行第2+9列；若表A105030第10行第11列≥0，第4行第3列＝表A105030第10行第11列；若表A105030第10行第11列＜0，第4行第4列＝表A105030第10行第11列的绝对值。</w:t>
      </w:r>
    </w:p>
    <w:p>
      <w:pPr>
        <w:spacing w:line="360" w:lineRule="auto"/>
        <w:ind w:firstLine="480" w:firstLineChars="200"/>
        <w:rPr>
          <w:rFonts w:ascii="宋体" w:hAnsi="宋体" w:cs="宋体"/>
          <w:sz w:val="24"/>
        </w:rPr>
      </w:pPr>
      <w:r>
        <w:rPr>
          <w:rFonts w:hint="eastAsia" w:ascii="宋体" w:hAnsi="宋体" w:cs="宋体"/>
          <w:sz w:val="24"/>
        </w:rPr>
        <w:t>4.第9行第3列＝表A105040第7行第14列；第9行第4列＝表A105040第7行第4列。</w:t>
      </w:r>
    </w:p>
    <w:p>
      <w:pPr>
        <w:spacing w:line="360" w:lineRule="auto"/>
        <w:ind w:firstLine="480" w:firstLineChars="200"/>
        <w:rPr>
          <w:rFonts w:ascii="宋体" w:hAnsi="宋体" w:cs="宋体"/>
          <w:sz w:val="24"/>
        </w:rPr>
      </w:pPr>
      <w:r>
        <w:rPr>
          <w:rFonts w:hint="eastAsia" w:ascii="宋体" w:hAnsi="宋体" w:cs="宋体"/>
          <w:sz w:val="24"/>
        </w:rPr>
        <w:t>5.第13行第2列＝表A105010第11行第1列；第13行第4列＝表A105010第11行第2列的绝对值。</w:t>
      </w:r>
    </w:p>
    <w:p>
      <w:pPr>
        <w:spacing w:line="360" w:lineRule="auto"/>
        <w:ind w:firstLine="480" w:firstLineChars="200"/>
        <w:rPr>
          <w:rFonts w:ascii="宋体" w:hAnsi="宋体" w:cs="宋体"/>
          <w:sz w:val="24"/>
        </w:rPr>
      </w:pPr>
      <w:r>
        <w:rPr>
          <w:rFonts w:hint="eastAsia" w:ascii="宋体" w:hAnsi="宋体" w:cs="宋体"/>
          <w:sz w:val="24"/>
        </w:rPr>
        <w:t>6.第14行第1列＝表A105050第13行第1列；第14行第2列＝表A105050第13行第5列；若表A105050第13行第6列≥0，第14行第3列＝表A105050第13行第6列；若表A105050第13行第6列＜0，第14行第4列＝表A105050第13行第6列的绝对值。</w:t>
      </w:r>
    </w:p>
    <w:p>
      <w:pPr>
        <w:spacing w:line="360" w:lineRule="auto"/>
        <w:ind w:firstLine="480" w:firstLineChars="200"/>
        <w:rPr>
          <w:rFonts w:ascii="宋体" w:hAnsi="宋体" w:cs="宋体"/>
          <w:sz w:val="24"/>
        </w:rPr>
      </w:pPr>
      <w:r>
        <w:rPr>
          <w:rFonts w:hint="eastAsia" w:ascii="宋体" w:hAnsi="宋体" w:cs="宋体"/>
          <w:sz w:val="24"/>
        </w:rPr>
        <w:t>7.若表A105060第12行第1列≥0，第16行第3列＝表A105060第12行第1列，若表A105060第12行第1列＜0，第16行第4列＝表A105060第12行第1列的绝对值。</w:t>
      </w:r>
    </w:p>
    <w:p>
      <w:pPr>
        <w:spacing w:line="360" w:lineRule="auto"/>
        <w:ind w:firstLine="480" w:firstLineChars="200"/>
        <w:rPr>
          <w:rFonts w:ascii="宋体" w:hAnsi="宋体" w:cs="宋体"/>
          <w:sz w:val="24"/>
        </w:rPr>
      </w:pPr>
      <w:r>
        <w:rPr>
          <w:rFonts w:hint="eastAsia" w:ascii="宋体" w:hAnsi="宋体" w:cs="宋体"/>
          <w:sz w:val="24"/>
        </w:rPr>
        <w:t>8.第17行第1列＝表A105070合计行第1列；第17行第2列＝表A105070合计行第4列；第17行第3列＝表A105070合计行第5列；第17行第4列＝表A105070合计行第6列。</w:t>
      </w:r>
    </w:p>
    <w:p>
      <w:pPr>
        <w:spacing w:line="360" w:lineRule="auto"/>
        <w:ind w:firstLine="480" w:firstLineChars="200"/>
        <w:rPr>
          <w:rFonts w:ascii="宋体" w:hAnsi="宋体" w:cs="宋体"/>
          <w:sz w:val="24"/>
        </w:rPr>
      </w:pPr>
      <w:r>
        <w:rPr>
          <w:rFonts w:hint="eastAsia" w:ascii="宋体" w:hAnsi="宋体" w:cs="宋体"/>
          <w:sz w:val="24"/>
        </w:rPr>
        <w:t>9.保险企业:第23行第1列=表A105060第1行第2列。若表A105060第3行第2列≥第6行第2列，第2</w:t>
      </w:r>
      <w:r>
        <w:rPr>
          <w:rFonts w:ascii="宋体" w:hAnsi="宋体" w:cs="宋体"/>
          <w:sz w:val="24"/>
        </w:rPr>
        <w:t>3</w:t>
      </w:r>
      <w:r>
        <w:rPr>
          <w:rFonts w:hint="eastAsia" w:ascii="宋体" w:hAnsi="宋体" w:cs="宋体"/>
          <w:sz w:val="24"/>
        </w:rPr>
        <w:t>行第2列=表A105060第6行第2列；若表A105060第3行第2列＜第6行第2列，第2</w:t>
      </w:r>
      <w:r>
        <w:rPr>
          <w:rFonts w:ascii="宋体" w:hAnsi="宋体" w:cs="宋体"/>
          <w:sz w:val="24"/>
        </w:rPr>
        <w:t>3</w:t>
      </w:r>
      <w:r>
        <w:rPr>
          <w:rFonts w:hint="eastAsia" w:ascii="宋体" w:hAnsi="宋体" w:cs="宋体"/>
          <w:sz w:val="24"/>
        </w:rPr>
        <w:t>行第2列=表A105060第3行第2列+第9行第2列。若表A105060第12行第2列≥0，第23行第3列=表A105060第12行第2列。若表A105060第12行第2列＜0，第2</w:t>
      </w:r>
      <w:r>
        <w:rPr>
          <w:rFonts w:ascii="宋体" w:hAnsi="宋体" w:cs="宋体"/>
          <w:sz w:val="24"/>
        </w:rPr>
        <w:t>3</w:t>
      </w:r>
      <w:r>
        <w:rPr>
          <w:rFonts w:hint="eastAsia" w:ascii="宋体" w:hAnsi="宋体" w:cs="宋体"/>
          <w:sz w:val="24"/>
        </w:rPr>
        <w:t>行第4列=表A105060第12行第2列的绝对值。</w:t>
      </w:r>
    </w:p>
    <w:p>
      <w:pPr>
        <w:spacing w:line="360" w:lineRule="auto"/>
        <w:ind w:firstLine="480" w:firstLineChars="200"/>
        <w:rPr>
          <w:rFonts w:ascii="宋体" w:hAnsi="宋体" w:cs="宋体"/>
          <w:sz w:val="24"/>
        </w:rPr>
      </w:pPr>
      <w:r>
        <w:rPr>
          <w:rFonts w:hint="eastAsia" w:ascii="宋体" w:hAnsi="宋体" w:cs="宋体"/>
          <w:sz w:val="24"/>
        </w:rPr>
        <w:t>10.第25行第3列＝表A105040第7行第11列。</w:t>
      </w:r>
    </w:p>
    <w:p>
      <w:pPr>
        <w:spacing w:line="360" w:lineRule="auto"/>
        <w:ind w:firstLine="480" w:firstLineChars="200"/>
        <w:rPr>
          <w:rFonts w:ascii="宋体" w:hAnsi="宋体" w:cs="宋体"/>
          <w:sz w:val="24"/>
        </w:rPr>
      </w:pPr>
      <w:r>
        <w:rPr>
          <w:rFonts w:hint="eastAsia" w:ascii="宋体" w:hAnsi="宋体" w:cs="宋体"/>
          <w:sz w:val="24"/>
        </w:rPr>
        <w:t>11.第28行第3列＝表A108010第10行第16+17列。</w:t>
      </w:r>
    </w:p>
    <w:p>
      <w:pPr>
        <w:spacing w:line="360" w:lineRule="auto"/>
        <w:ind w:firstLine="480" w:firstLineChars="200"/>
        <w:rPr>
          <w:rFonts w:ascii="宋体" w:hAnsi="宋体" w:cs="宋体"/>
          <w:sz w:val="24"/>
        </w:rPr>
      </w:pPr>
      <w:r>
        <w:rPr>
          <w:rFonts w:hint="eastAsia" w:ascii="宋体" w:hAnsi="宋体" w:cs="宋体"/>
          <w:sz w:val="24"/>
        </w:rPr>
        <w:t>12.第32行第1列＝表A105080第41行第2列；第32行第2列＝表A105080第41行第5列；若表A105080第41行第9列≥0，第32行第3列＝表A105080第41行第9列；若表A105080第41行第9列＜0，第32行第4列＝表A105080第41行第9列的绝对值。</w:t>
      </w:r>
    </w:p>
    <w:p>
      <w:pPr>
        <w:pStyle w:val="65"/>
      </w:pPr>
      <w:r>
        <w:rPr>
          <w:rFonts w:hint="eastAsia"/>
        </w:rPr>
        <w:t>13.若表A105090第29行第7列≥0，第34行第3列＝表A105090第29行第7列；若表A105090第29行第7列＜0，第34行第4列＝表A105090第29行第7列的绝对值。</w:t>
      </w:r>
    </w:p>
    <w:p>
      <w:pPr>
        <w:spacing w:line="360" w:lineRule="auto"/>
        <w:ind w:firstLine="480" w:firstLineChars="200"/>
        <w:rPr>
          <w:rFonts w:ascii="宋体" w:hAnsi="宋体" w:cs="宋体"/>
          <w:sz w:val="24"/>
        </w:rPr>
      </w:pPr>
      <w:r>
        <w:rPr>
          <w:rFonts w:hint="eastAsia" w:ascii="宋体" w:hAnsi="宋体" w:cs="宋体"/>
          <w:sz w:val="24"/>
        </w:rPr>
        <w:t>14.第37行第1列＝表A105100第17行第1+4列；第37行第2列＝表A105100第17行第2+5列；若表A105100第17行第7列≥0，第37行第3列＝表A105100第17行第7列；若表A105100第17行第7列＜0，第37行第4列＝表A105100第17行第7列的绝对值。</w:t>
      </w:r>
    </w:p>
    <w:p>
      <w:pPr>
        <w:spacing w:line="360" w:lineRule="auto"/>
        <w:ind w:firstLine="480" w:firstLineChars="200"/>
        <w:rPr>
          <w:rFonts w:ascii="宋体" w:hAnsi="宋体" w:cs="宋体"/>
          <w:sz w:val="24"/>
        </w:rPr>
      </w:pPr>
      <w:r>
        <w:rPr>
          <w:rFonts w:hint="eastAsia" w:ascii="宋体" w:hAnsi="宋体" w:cs="宋体"/>
          <w:sz w:val="24"/>
        </w:rPr>
        <w:t>15.若表A105110第24行≥0，第38行第3列＝表A105110第24行；若表A105110第24行＜0，第38行第4列＝表A105110第24行的绝对值。</w:t>
      </w:r>
    </w:p>
    <w:p>
      <w:pPr>
        <w:pStyle w:val="65"/>
      </w:pPr>
      <w:r>
        <w:rPr>
          <w:rFonts w:hint="eastAsia"/>
        </w:rPr>
        <w:t>16.若表A105120第10行第11列≥0，第39.7行第3列＝表A105120第10行第11列；若表A105120第10行第11列＜0，第39.7行第4列＝表A105120第10行第11列的绝对值。</w:t>
      </w:r>
    </w:p>
    <w:p>
      <w:pPr>
        <w:spacing w:line="360" w:lineRule="auto"/>
        <w:ind w:firstLine="480" w:firstLineChars="200"/>
        <w:rPr>
          <w:rFonts w:ascii="宋体" w:hAnsi="宋体" w:cs="宋体"/>
          <w:sz w:val="24"/>
        </w:rPr>
      </w:pPr>
      <w:r>
        <w:rPr>
          <w:rFonts w:hint="eastAsia" w:ascii="宋体" w:hAnsi="宋体" w:cs="宋体"/>
          <w:sz w:val="24"/>
        </w:rPr>
        <w:t>17.第40行第2列＝表A105010第21行第1列；若表A105010第21行第2列≥0，第40行第3列＝表A105010第21行第2列；若表A105010第21行第2列＜0，第40行第4列＝表A105010第21行第2列的绝对值。</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18.第46行第3列＝表A100000第15行；第46行第4列＝表A100000第16行。</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pPr>
        <w:keepNext/>
        <w:keepLines/>
        <w:tabs>
          <w:tab w:val="center" w:pos="4678"/>
        </w:tabs>
        <w:spacing w:before="240" w:beforeLines="100" w:after="360" w:afterLines="150"/>
        <w:jc w:val="center"/>
        <w:outlineLvl w:val="0"/>
        <w:rPr>
          <w:rFonts w:ascii="宋体" w:hAnsi="宋体" w:cs="宋体"/>
          <w:b/>
          <w:kern w:val="44"/>
          <w:sz w:val="28"/>
          <w:szCs w:val="28"/>
          <w:lang w:val="zh-CN"/>
        </w:rPr>
      </w:pPr>
      <w:bookmarkStart w:id="98" w:name="_Toc25583"/>
      <w:r>
        <w:rPr>
          <w:rFonts w:hint="eastAsia" w:ascii="宋体" w:hAnsi="宋体" w:cs="宋体"/>
          <w:b/>
          <w:kern w:val="44"/>
          <w:sz w:val="28"/>
          <w:szCs w:val="28"/>
          <w:lang w:val="zh-CN"/>
        </w:rPr>
        <w:t>A105010</w:t>
      </w:r>
      <w:r>
        <w:rPr>
          <w:rFonts w:ascii="宋体" w:hAnsi="宋体" w:cs="宋体"/>
          <w:b/>
          <w:kern w:val="44"/>
          <w:sz w:val="28"/>
          <w:szCs w:val="28"/>
          <w:lang w:val="zh-CN"/>
        </w:rPr>
        <w:tab/>
      </w:r>
      <w:r>
        <w:rPr>
          <w:rFonts w:hint="eastAsia" w:ascii="宋体" w:hAnsi="宋体" w:cs="宋体"/>
          <w:b/>
          <w:kern w:val="44"/>
          <w:sz w:val="28"/>
          <w:szCs w:val="28"/>
          <w:lang w:val="zh-CN"/>
        </w:rPr>
        <w:t>视同销售和房地产开发企业特定业务纳税调整明细表</w:t>
      </w:r>
      <w:bookmarkEnd w:id="98"/>
    </w:p>
    <w:tbl>
      <w:tblPr>
        <w:tblStyle w:val="25"/>
        <w:tblW w:w="9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520"/>
        <w:gridCol w:w="12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520" w:type="dxa"/>
            <w:vMerge w:val="restart"/>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344092382"/>
              </w:rPr>
              <w:t>项</w:t>
            </w:r>
            <w:r>
              <w:rPr>
                <w:rFonts w:hint="eastAsia" w:ascii="宋体" w:hAnsi="宋体" w:cs="宋体"/>
                <w:spacing w:val="0"/>
                <w:kern w:val="0"/>
                <w:sz w:val="20"/>
                <w:szCs w:val="20"/>
                <w:fitText w:val="1400" w:id="344092382"/>
              </w:rPr>
              <w:t>目</w:t>
            </w: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一、视同销售（营业）收入（2+3+4+5+6+7+8+9+10）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二、视同销售（营业）成本（12+13+14+15+16+17+18+19+20）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三、房地产开发企业特定业务计算的纳税调整额（22-26）</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520" w:type="dxa"/>
            <w:vMerge w:val="restart"/>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（一）房地产企业销售未完工开发产品特定业务计算的纳税调整额（24-25）</w:t>
            </w:r>
          </w:p>
        </w:tc>
        <w:tc>
          <w:tcPr>
            <w:tcW w:w="1260" w:type="dxa"/>
            <w:vMerge w:val="restart"/>
            <w:noWrap/>
            <w:vAlign w:val="center"/>
          </w:tcPr>
          <w:p>
            <w:pPr>
              <w:widowControl/>
              <w:jc w:val="center"/>
              <w:rPr>
                <w:rFonts w:ascii="宋体" w:hAnsi="宋体" w:cs="宋体"/>
                <w:kern w:val="0"/>
                <w:sz w:val="20"/>
                <w:szCs w:val="20"/>
              </w:rPr>
            </w:pPr>
          </w:p>
        </w:tc>
        <w:tc>
          <w:tcPr>
            <w:tcW w:w="1440" w:type="dxa"/>
            <w:vMerge w:val="restart"/>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vMerge w:val="continue"/>
            <w:vAlign w:val="center"/>
          </w:tcPr>
          <w:p>
            <w:pPr>
              <w:widowControl/>
              <w:jc w:val="center"/>
              <w:rPr>
                <w:rFonts w:ascii="宋体" w:hAnsi="宋体" w:cs="宋体"/>
                <w:kern w:val="0"/>
                <w:sz w:val="20"/>
                <w:szCs w:val="20"/>
              </w:rPr>
            </w:pPr>
          </w:p>
        </w:tc>
        <w:tc>
          <w:tcPr>
            <w:tcW w:w="1440" w:type="dxa"/>
            <w:vMerge w:val="continue"/>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1.销售未完工产品的收入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520" w:type="dxa"/>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（二）房地产企业销售的未完工产品转完工产品特定业务计算的纳税调整额（28-29）</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1.销售未完工产品转完工产品确认的销售收入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2.转回的销售未完工产品预计毛利额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3.转回实际发生的税金及附加、土地增值税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bl>
    <w:p>
      <w:pPr>
        <w:pStyle w:val="65"/>
      </w:pPr>
    </w:p>
    <w:p>
      <w:pPr>
        <w:rPr>
          <w:rFonts w:hint="eastAsia" w:ascii="宋体" w:eastAsia="宋体"/>
          <w:b/>
        </w:rPr>
      </w:pPr>
      <w:r>
        <w:rPr>
          <w:rFonts w:hint="eastAsia" w:ascii="宋体" w:eastAsia="宋体"/>
          <w:b/>
        </w:rPr>
        <w:br w:type="page"/>
      </w:r>
    </w:p>
    <w:p>
      <w:pPr>
        <w:pStyle w:val="88"/>
        <w:spacing w:before="240" w:after="360"/>
        <w:rPr>
          <w:rFonts w:ascii="宋体" w:eastAsia="宋体"/>
          <w:b/>
        </w:rPr>
      </w:pPr>
      <w:bookmarkStart w:id="99" w:name="_Toc2474"/>
      <w:r>
        <w:rPr>
          <w:rFonts w:hint="eastAsia" w:ascii="宋体" w:eastAsia="宋体"/>
          <w:b/>
        </w:rPr>
        <w:t>A105010《视同销售和房地产开发企业特定业务纳税调整明细表》</w:t>
      </w:r>
      <w:r>
        <w:rPr>
          <w:rFonts w:ascii="宋体" w:eastAsia="宋体"/>
          <w:b/>
        </w:rPr>
        <w:br w:type="textWrapping"/>
      </w:r>
      <w:r>
        <w:rPr>
          <w:rFonts w:hint="eastAsia" w:ascii="宋体" w:eastAsia="宋体"/>
          <w:b/>
        </w:rPr>
        <w:t>填报说明</w:t>
      </w:r>
      <w:bookmarkEnd w:id="99"/>
    </w:p>
    <w:p>
      <w:pPr>
        <w:pStyle w:val="65"/>
      </w:pPr>
      <w:r>
        <w:rPr>
          <w:rFonts w:hint="eastAsia"/>
        </w:rPr>
        <w:t>本表适用于发生视同销售、房地产企业特定业务纳税调整项目的纳税人填报。纳税人根据税法、《国家税务总局关于企业处置资产所得税处理问题的通知》（</w:t>
      </w:r>
      <w:r>
        <w:t>国税函〔2008〕828号</w:t>
      </w:r>
      <w:r>
        <w:rPr>
          <w:rFonts w:hint="eastAsia"/>
        </w:rPr>
        <w:t>）、</w:t>
      </w:r>
      <w:r>
        <w:t>《</w:t>
      </w:r>
      <w:r>
        <w:rPr>
          <w:rFonts w:hint="eastAsia"/>
        </w:rPr>
        <w:t>国家税务总局关于印发〈房地产开发经营业务企业所得税处理办法〉的通知</w:t>
      </w:r>
      <w:r>
        <w:t>》</w:t>
      </w:r>
      <w:r>
        <w:rPr>
          <w:rFonts w:hint="eastAsia"/>
        </w:rPr>
        <w:t>（国税发〔2009〕31号）、《国家税务总局关于企业所得税有关问题的公告》（国家税务总局公告2016年第80号）等相关规定，以及国家统一企业会计制度，填报视同销售行为、房地产企业销售未完工产品、未完工产品转完工产品特定业务的税收规定及纳税调整情况。</w:t>
      </w:r>
    </w:p>
    <w:p>
      <w:pPr>
        <w:pStyle w:val="69"/>
        <w:ind w:firstLine="482"/>
        <w:outlineLvl w:val="0"/>
      </w:pPr>
      <w:r>
        <w:rPr>
          <w:rFonts w:hint="eastAsia"/>
        </w:rPr>
        <w:t>一、有关项目填报说明</w:t>
      </w:r>
    </w:p>
    <w:p>
      <w:pPr>
        <w:pStyle w:val="65"/>
      </w:pPr>
      <w:r>
        <w:rPr>
          <w:rFonts w:hint="eastAsia"/>
        </w:rPr>
        <w:t>1.第1行“一、视同销售收入”：填报会计处理不确认销售收入，而税收规定确认为应税收入的金额，本行为第2行至第10行小计数。第1列“税收金额”填报税收确认的应税收入金额；第2列“纳税调整金额”等于第1列“税收金额”。</w:t>
      </w:r>
    </w:p>
    <w:p>
      <w:pPr>
        <w:pStyle w:val="65"/>
      </w:pPr>
      <w:r>
        <w:rPr>
          <w:rFonts w:hint="eastAsia"/>
        </w:rPr>
        <w:t>2.第2行“（一）非货币性资产交换视同销售收入”：填报发生非货币性资产交换业务，会计处理不确认销售收入，而税收规定确认为应税收入的金额。第1列“税收金额”填报税收确认的应税收入金额；第2列“纳税调整金额”等于第1列“税收金额”。</w:t>
      </w:r>
    </w:p>
    <w:p>
      <w:pPr>
        <w:pStyle w:val="65"/>
      </w:pPr>
      <w:r>
        <w:rPr>
          <w:rFonts w:hint="eastAsia"/>
        </w:rPr>
        <w:t>3.第3行“（二）用于市场推广或销售视同销售收入”：填报发生将货物、财产用于市场推广、广告、样品、集资、销售等，会计处理不确认销售收入，而税收规定确认为应税收入的金额。填列方法同第2行。</w:t>
      </w:r>
    </w:p>
    <w:p>
      <w:pPr>
        <w:pStyle w:val="65"/>
      </w:pPr>
      <w:r>
        <w:rPr>
          <w:rFonts w:hint="eastAsia"/>
        </w:rPr>
        <w:t>4.第4行“（三）用于交际应酬视同销售收入”：填报发生将货物、财产用于交际应酬，会计处理不确认销售收入，而税收规定确认为应税收入的金额。填列方法同第2行。</w:t>
      </w:r>
    </w:p>
    <w:p>
      <w:pPr>
        <w:pStyle w:val="65"/>
      </w:pPr>
      <w:r>
        <w:rPr>
          <w:rFonts w:hint="eastAsia"/>
        </w:rPr>
        <w:t>5.第5行“（四）用于职工奖励或福利视同销售收入”：填报发生将货物、财产用于职工奖励或福利，会计处理不确认销售收入，而税收规定确认为应税收入的金额。企业外购资产或服务不以销售为目的，用于替代职工福利费用支出，且购置后在一个纳税年度内处置的，以公允价值确定视同销售收入。填列方法同第2行。</w:t>
      </w:r>
    </w:p>
    <w:p>
      <w:pPr>
        <w:pStyle w:val="65"/>
      </w:pPr>
      <w:r>
        <w:rPr>
          <w:rFonts w:hint="eastAsia"/>
        </w:rPr>
        <w:t>6.第6行“（五）用于股息分配视同销售收入”：填报发生将货物、财产用于股息分配，会计处理不确认销售收入，而税收规定确认为应税收入的金额。填列方法同第2行。</w:t>
      </w:r>
    </w:p>
    <w:p>
      <w:pPr>
        <w:pStyle w:val="65"/>
      </w:pPr>
      <w:r>
        <w:rPr>
          <w:rFonts w:hint="eastAsia"/>
        </w:rPr>
        <w:t>7.第7行“（六）用于对外捐赠视同销售收入”：填报发生将货物、财产用于对外捐赠或赞助，会计处理不确认销售收入，而税收规定确认为应税收入的金额。填列方法同第2行。</w:t>
      </w:r>
    </w:p>
    <w:p>
      <w:pPr>
        <w:pStyle w:val="65"/>
      </w:pPr>
      <w:r>
        <w:rPr>
          <w:rFonts w:hint="eastAsia"/>
        </w:rPr>
        <w:t>8.第8行“（七）用于对外投资项目视同销售收入”：填报发生将货物、财产用于对外投资，会计处理不确认销售收入，而税收规定确认为应税收入的金额。填列方法同第2行。</w:t>
      </w:r>
    </w:p>
    <w:p>
      <w:pPr>
        <w:pStyle w:val="65"/>
      </w:pPr>
      <w:r>
        <w:rPr>
          <w:rFonts w:hint="eastAsia"/>
        </w:rPr>
        <w:t>9.第9行“（八）提供劳务视同销售收入”：填报发生对外提供劳务，会计处理不确认销售收入，而税收规定确认为应税收入的金额。填列方法同第2行。</w:t>
      </w:r>
    </w:p>
    <w:p>
      <w:pPr>
        <w:pStyle w:val="65"/>
      </w:pPr>
      <w:r>
        <w:rPr>
          <w:rFonts w:hint="eastAsia"/>
        </w:rPr>
        <w:t>10.第10行“（九）其他”：填报发生除上述列举情形外，会计处理不作为销售收入核算，而税收规定确认为应税收入的金额。填列方法同第2行。</w:t>
      </w:r>
    </w:p>
    <w:p>
      <w:pPr>
        <w:pStyle w:val="65"/>
      </w:pPr>
      <w:r>
        <w:rPr>
          <w:rFonts w:hint="eastAsia"/>
        </w:rPr>
        <w:t>11.第11行“一、视同销售成本”：填报会计处理不确认销售收入，税收规定确认为应税收入对应的视同销售成本金额。本行为第12行至第20行小计数。第1列“税收金额”填报予以税前扣除的视同销售成本金额；将第1列税收金额以负数形式填报第2列“纳税调整金额”。</w:t>
      </w:r>
    </w:p>
    <w:p>
      <w:pPr>
        <w:pStyle w:val="65"/>
      </w:pPr>
      <w:r>
        <w:rPr>
          <w:rFonts w:hint="eastAsia"/>
        </w:rPr>
        <w:t>12.第12行“（一）非货币性资产交换视同销售成本”：填报发生非货币性资产交换业务，会计处理不确认销售收入，税收规定确认为应税收入所对应的应予以税前扣除的视同销售成本金额。第1列“税收金额”填报予以扣除的视同销售成本金额；将第1列税收金额以负数形式填报第2列“纳税调整金额”。</w:t>
      </w:r>
    </w:p>
    <w:p>
      <w:pPr>
        <w:pStyle w:val="65"/>
      </w:pPr>
      <w:r>
        <w:rPr>
          <w:rFonts w:hint="eastAsia"/>
        </w:rPr>
        <w:t>13.第13行“（二）用于市场推广或销售视同销售成本”：填报发生将货物、财产用于市场推广、广告、样品、集资、销售等，会计处理不确认销售收入，税收规定确认为应税收入时，其对应的应予以税前扣除的视同销售成本金额。填列方法同第12行。</w:t>
      </w:r>
    </w:p>
    <w:p>
      <w:pPr>
        <w:pStyle w:val="65"/>
      </w:pPr>
      <w:r>
        <w:rPr>
          <w:rFonts w:hint="eastAsia"/>
        </w:rPr>
        <w:t>14.第14行“（三）用于交际应酬视同销售成本”：填报发生将货物、财产用于交际应酬，会计处理不确认销售收入，税收规定确认为应税收入时，其对应的应予以税前扣除的视同销售成本金额。填列方法同第12行。</w:t>
      </w:r>
    </w:p>
    <w:p>
      <w:pPr>
        <w:pStyle w:val="65"/>
      </w:pPr>
      <w:r>
        <w:rPr>
          <w:rFonts w:hint="eastAsia"/>
        </w:rPr>
        <w:t>15.第15行“（四）用于职工奖励或福利视同销售成本”：填报发生将货物、财产用于职工奖励或福利，会计处理不确认销售收入，税收规定确认为应税收入时，其对应的应予以税前扣除的视同销售成本金额。填列方法同第12行。</w:t>
      </w:r>
    </w:p>
    <w:p>
      <w:pPr>
        <w:pStyle w:val="65"/>
      </w:pPr>
      <w:r>
        <w:rPr>
          <w:rFonts w:hint="eastAsia"/>
        </w:rPr>
        <w:t>16.第16行“（五）用于股息分配视同销售成本”：填报发生将货物、财产用于股息分配，会计处理不确认销售收入，税收规定确认为应税收入时，其对应的应予以税前扣除的视同销售成本金额。填列方法同第12行。</w:t>
      </w:r>
    </w:p>
    <w:p>
      <w:pPr>
        <w:pStyle w:val="65"/>
      </w:pPr>
      <w:r>
        <w:rPr>
          <w:rFonts w:hint="eastAsia"/>
        </w:rPr>
        <w:t>17.第17行“（六）用于对外捐赠视同销售成本”：填报发生将货物、财产用于对外捐赠或赞助，会计处理不确认销售收入，税收规定确认为应税收入时，其对应的应予以税前扣除的视同销售成本金额。填列方法同第12行。</w:t>
      </w:r>
    </w:p>
    <w:p>
      <w:pPr>
        <w:pStyle w:val="65"/>
      </w:pPr>
      <w:r>
        <w:rPr>
          <w:rFonts w:hint="eastAsia"/>
        </w:rPr>
        <w:t>18.第18行“（七）用于对外投资项目视同销售成本”：填报会计处理发生将货物、财产用于对外投资，会计处理不确认销售收入，税收规定确认为应税收入时，其对应的应予以税前扣除的视同销售成本金额。填列方法同第12行。</w:t>
      </w:r>
    </w:p>
    <w:p>
      <w:pPr>
        <w:pStyle w:val="65"/>
      </w:pPr>
      <w:r>
        <w:rPr>
          <w:rFonts w:hint="eastAsia"/>
        </w:rPr>
        <w:t>19.第19行“（八）提供劳务视同销售成本”：填报会计处理发生对外提供劳务，会计处理不确认销售收入，税收规定确认为应税收入时，其对应的应予以税前扣除视同销售成本金额。填列方法同第12行。</w:t>
      </w:r>
    </w:p>
    <w:p>
      <w:pPr>
        <w:pStyle w:val="65"/>
      </w:pPr>
      <w:r>
        <w:rPr>
          <w:rFonts w:hint="eastAsia"/>
        </w:rPr>
        <w:t>20.第20行“（九）其他”：填报发生除上述列举情形外，会计处理不确认销售收入，税收规定确认为应税收入的同时，予以税前扣除视同销售成本金额。填列方法同第12行。</w:t>
      </w:r>
    </w:p>
    <w:p>
      <w:pPr>
        <w:pStyle w:val="65"/>
      </w:pPr>
      <w:r>
        <w:rPr>
          <w:rFonts w:hint="eastAsia"/>
        </w:rPr>
        <w:t>21.第21行“三、房地产开发企业特定业务计算的纳税调整额”：填报房地产企业发生销售未完工产品、未完工产品结转完工产品业务，按照税收规定计算的特定业务的纳税调整额。第1列“税收金额”填报第22行第1列减去第26行第1列的余额；第2列“纳税调整金额”等于第1列“税收金额”。</w:t>
      </w:r>
    </w:p>
    <w:p>
      <w:pPr>
        <w:pStyle w:val="65"/>
      </w:pPr>
      <w:r>
        <w:rPr>
          <w:rFonts w:hint="eastAsia"/>
        </w:rPr>
        <w:t>22.第22行“（一）房地产企业销售未完工开发产品特定业务计算的纳税调整额”：填报房地产企业销售未完工开发产品取得销售收入，按税收规定计算的纳税调整额。第1列“税收金额”填报第24行第1列减去第25行第1列的余额；第2列“纳税调整金额”等于第1列“税收金额”。</w:t>
      </w:r>
    </w:p>
    <w:p>
      <w:pPr>
        <w:pStyle w:val="65"/>
      </w:pPr>
      <w:r>
        <w:rPr>
          <w:rFonts w:hint="eastAsia"/>
        </w:rPr>
        <w:t>23.第23行“1.销售未完工产品的收入”：第1列“税收金额”填报房地产企业销售未完工开发产品，会计核算未进行收入确认的销售收入金额。</w:t>
      </w:r>
    </w:p>
    <w:p>
      <w:pPr>
        <w:pStyle w:val="65"/>
      </w:pPr>
      <w:r>
        <w:rPr>
          <w:rFonts w:hint="eastAsia"/>
        </w:rPr>
        <w:t>24.第24行“2.销售未完工产品预计毛利额”：第1列“税收金额”填报房地产企业销售未完工产品取得的销售收入按税收规定预计计税毛利率计算的金额；第2列“纳税调整金额”等于第1列“税收金额”。</w:t>
      </w:r>
    </w:p>
    <w:p>
      <w:pPr>
        <w:pStyle w:val="65"/>
      </w:pPr>
      <w:r>
        <w:rPr>
          <w:rFonts w:hint="eastAsia"/>
        </w:rPr>
        <w:t>25.第25行“3.实际发生的税金及附加、土地增值税”：第1列“税收金额”填报房地产企业销售未完工产品实际发生的税金及附加、土地增值税，且在会计核算中未计入当期损益的金额；第2列“纳税调整金额”等于第1列“税收金额”。</w:t>
      </w:r>
    </w:p>
    <w:p>
      <w:pPr>
        <w:pStyle w:val="65"/>
      </w:pPr>
      <w:r>
        <w:rPr>
          <w:rFonts w:hint="eastAsia"/>
        </w:rPr>
        <w:t>26.第26行“（二）房地产企业销售的未完工产品转完工产品特定业务计算的纳税调整额”：填报房地产企业销售的未完工产品转完工产品，按税收规定计算的纳税调整额。第1列“税收金额”填报第28行第1列减去第29行第1列的余额；第2列“纳税调整金额”等于第1列“税收金额”。</w:t>
      </w:r>
    </w:p>
    <w:p>
      <w:pPr>
        <w:pStyle w:val="65"/>
      </w:pPr>
      <w:r>
        <w:rPr>
          <w:rFonts w:hint="eastAsia"/>
        </w:rPr>
        <w:t>27.第27行“1.销售未完工产品转完工产品确认的销售收入”：第1列“税收金额”填报房地产企业销售的未完工产品，此前年度已按预计毛利额征收所得税，本年度结转为完工产品，会计上符合收入确认条件，当年会计核算确认的销售收入金额。</w:t>
      </w:r>
    </w:p>
    <w:p>
      <w:pPr>
        <w:pStyle w:val="65"/>
      </w:pPr>
      <w:r>
        <w:rPr>
          <w:rFonts w:hint="eastAsia"/>
        </w:rPr>
        <w:t>28.第28行“2.转回的销售未完工产品预计毛利额”：第1列“税收金额”填报房地产企业销售的未完工产品，此前年度已按预计毛利额征收所得税，本年结转完工产品，会计核算确认为销售收入，转回原按税收规定预计计税毛利率计算的金额；第2列“纳税调整金额”等于第1列“税收金额”。</w:t>
      </w:r>
    </w:p>
    <w:p>
      <w:pPr>
        <w:pStyle w:val="65"/>
      </w:pPr>
      <w:r>
        <w:rPr>
          <w:rFonts w:hint="eastAsia"/>
        </w:rPr>
        <w:t>29.第29行“3.转回实际发生的税金及附加、土地增值税”：填报房地产企业销售的未完工产品结转完工产品后，会计核算确认为销售收入，同时将对应实际发生的税金及附加、土地增值税转入当期损益的金额；第2列“纳税调整金额”等于第1列“税收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w:t>
      </w:r>
      <w:r>
        <w:t>…</w:t>
      </w:r>
      <w:r>
        <w:rPr>
          <w:rFonts w:hint="eastAsia"/>
        </w:rPr>
        <w:t>+10行。</w:t>
      </w:r>
    </w:p>
    <w:p>
      <w:pPr>
        <w:pStyle w:val="65"/>
      </w:pPr>
      <w:r>
        <w:rPr>
          <w:rFonts w:hint="eastAsia"/>
        </w:rPr>
        <w:t>2.第11行＝第12+13+</w:t>
      </w:r>
      <w:r>
        <w:t>…</w:t>
      </w:r>
      <w:r>
        <w:rPr>
          <w:rFonts w:hint="eastAsia"/>
        </w:rPr>
        <w:t>+20行。</w:t>
      </w:r>
    </w:p>
    <w:p>
      <w:pPr>
        <w:pStyle w:val="65"/>
      </w:pPr>
      <w:r>
        <w:rPr>
          <w:rFonts w:hint="eastAsia"/>
        </w:rPr>
        <w:t>3.第21行＝第22-26行。</w:t>
      </w:r>
    </w:p>
    <w:p>
      <w:pPr>
        <w:pStyle w:val="65"/>
      </w:pPr>
      <w:r>
        <w:rPr>
          <w:rFonts w:hint="eastAsia"/>
        </w:rPr>
        <w:t>4.第22行＝第24-25行。</w:t>
      </w:r>
    </w:p>
    <w:p>
      <w:pPr>
        <w:pStyle w:val="65"/>
      </w:pPr>
      <w:r>
        <w:rPr>
          <w:rFonts w:hint="eastAsia"/>
        </w:rPr>
        <w:t>5.第26行＝第28-29行。</w:t>
      </w:r>
    </w:p>
    <w:p>
      <w:pPr>
        <w:pStyle w:val="79"/>
        <w:outlineLvl w:val="1"/>
      </w:pPr>
      <w:r>
        <w:rPr>
          <w:rFonts w:hint="eastAsia"/>
        </w:rPr>
        <w:t>（二）表间关系</w:t>
      </w:r>
    </w:p>
    <w:p>
      <w:pPr>
        <w:pStyle w:val="65"/>
      </w:pPr>
      <w:r>
        <w:rPr>
          <w:rFonts w:hint="eastAsia"/>
        </w:rPr>
        <w:t>1.第1行第1列＝表A105000第2行第2列。</w:t>
      </w:r>
    </w:p>
    <w:p>
      <w:pPr>
        <w:pStyle w:val="65"/>
      </w:pPr>
      <w:r>
        <w:rPr>
          <w:rFonts w:hint="eastAsia"/>
        </w:rPr>
        <w:t>2.第1行第2列＝表A105000第2行第3列。</w:t>
      </w:r>
    </w:p>
    <w:p>
      <w:pPr>
        <w:pStyle w:val="65"/>
      </w:pPr>
      <w:r>
        <w:rPr>
          <w:rFonts w:hint="eastAsia"/>
        </w:rPr>
        <w:t>3.第11行第1列＝表A105000第13行第2列。</w:t>
      </w:r>
    </w:p>
    <w:p>
      <w:pPr>
        <w:pStyle w:val="65"/>
      </w:pPr>
      <w:r>
        <w:rPr>
          <w:rFonts w:hint="eastAsia"/>
        </w:rPr>
        <w:t>4.第11行第2列的绝对值＝表A105000第13行第4列。</w:t>
      </w:r>
    </w:p>
    <w:p>
      <w:pPr>
        <w:pStyle w:val="65"/>
        <w:rPr>
          <w:rFonts w:hint="eastAsia"/>
        </w:rPr>
      </w:pPr>
      <w:r>
        <w:rPr>
          <w:rFonts w:hint="eastAsia"/>
        </w:rPr>
        <w:t>5.第21行第1列＝表A105000第40行第2列。</w:t>
      </w:r>
    </w:p>
    <w:p>
      <w:pPr>
        <w:pStyle w:val="65"/>
        <w:rPr>
          <w:rFonts w:hint="eastAsia"/>
          <w:lang w:val="en-US" w:eastAsia="zh-CN"/>
        </w:rPr>
        <w:sectPr>
          <w:pgSz w:w="11906" w:h="16838"/>
          <w:pgMar w:top="1134" w:right="1418" w:bottom="993" w:left="1418" w:header="851" w:footer="641" w:gutter="113"/>
          <w:pgNumType w:fmt="decimal"/>
          <w:cols w:space="720" w:num="1"/>
          <w:docGrid w:linePitch="312" w:charSpace="0"/>
        </w:sectPr>
      </w:pPr>
      <w:r>
        <w:rPr>
          <w:rFonts w:hint="eastAsia"/>
        </w:rPr>
        <w:t>6.若第21行第2列≥0，第21行第2列=表A105000第40行第3列；若第21行第2列＜0，第21行第2列的绝对值＝表A105000第40行第4列。</w:t>
      </w:r>
    </w:p>
    <w:bookmarkEnd w:id="96"/>
    <w:p>
      <w:pPr>
        <w:pStyle w:val="80"/>
      </w:pPr>
      <w:bookmarkStart w:id="100" w:name="_Toc13361"/>
      <w:r>
        <w:rPr>
          <w:rFonts w:hint="eastAsia"/>
        </w:rPr>
        <w:t>A105020</w:t>
      </w:r>
      <w:r>
        <w:tab/>
      </w:r>
      <w:r>
        <w:rPr>
          <w:rFonts w:hint="eastAsia"/>
        </w:rPr>
        <w:t>未按权责发生制确认收入纳税调整明细表</w:t>
      </w:r>
      <w:bookmarkEnd w:id="100"/>
    </w:p>
    <w:tbl>
      <w:tblPr>
        <w:tblStyle w:val="25"/>
        <w:tblW w:w="12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0"/>
        <w:gridCol w:w="5359"/>
        <w:gridCol w:w="1417"/>
        <w:gridCol w:w="1085"/>
        <w:gridCol w:w="1134"/>
        <w:gridCol w:w="1134"/>
        <w:gridCol w:w="1049"/>
        <w:gridCol w:w="12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5359"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417"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合同金额（交易金额）</w:t>
            </w:r>
          </w:p>
        </w:tc>
        <w:tc>
          <w:tcPr>
            <w:tcW w:w="2219"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2183"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21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Merge w:val="continue"/>
            <w:vAlign w:val="center"/>
          </w:tcPr>
          <w:p>
            <w:pPr>
              <w:widowControl/>
              <w:jc w:val="left"/>
              <w:rPr>
                <w:rFonts w:ascii="宋体" w:hAnsi="宋体" w:cs="宋体"/>
                <w:kern w:val="0"/>
                <w:sz w:val="20"/>
                <w:szCs w:val="20"/>
              </w:rPr>
            </w:pP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219"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19" w:type="dxa"/>
            <w:vAlign w:val="center"/>
          </w:tcPr>
          <w:p>
            <w:pPr>
              <w:widowControl/>
              <w:jc w:val="center"/>
              <w:rPr>
                <w:rFonts w:ascii="宋体" w:hAnsi="宋体" w:cs="宋体"/>
                <w:kern w:val="0"/>
                <w:sz w:val="20"/>
                <w:szCs w:val="20"/>
              </w:rPr>
            </w:pPr>
            <w:r>
              <w:rPr>
                <w:rFonts w:hint="eastAsia" w:ascii="宋体" w:hAnsi="宋体" w:cs="宋体"/>
                <w:kern w:val="0"/>
                <w:sz w:val="20"/>
                <w:szCs w:val="20"/>
              </w:rPr>
              <w:t>6（4-2）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一、跨期收取的租金、利息、特许权使用费收入（2+3+4）</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（一）租金</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（二）利息</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（三）特许权使用费</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二、分期确认收入（6+7+8）</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（一）分期收款方式销售货物收入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（二）持续时间超过12个月的建造合同收入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（三）其他分期确认收入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三、政府补助递延收入（10+11+12）</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（一）与收益相关的政府补助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（二）与资产相关的政府补助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四、其他未按权责发生制确认收入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合计（1+5+9+13）</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pStyle w:val="65"/>
        <w:sectPr>
          <w:footerReference r:id="rId17" w:type="default"/>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101" w:name="_Toc16742"/>
      <w:r>
        <w:rPr>
          <w:rFonts w:hint="eastAsia" w:ascii="宋体" w:eastAsia="宋体"/>
          <w:b/>
        </w:rPr>
        <w:t>A105020《未按权责发生制确认收入纳税调整明细表》填报说明</w:t>
      </w:r>
      <w:bookmarkEnd w:id="101"/>
    </w:p>
    <w:p>
      <w:pPr>
        <w:spacing w:line="360" w:lineRule="auto"/>
        <w:ind w:firstLine="480" w:firstLineChars="200"/>
        <w:rPr>
          <w:rFonts w:ascii="宋体" w:hAnsi="宋体"/>
          <w:sz w:val="24"/>
        </w:rPr>
      </w:pPr>
      <w:r>
        <w:rPr>
          <w:rFonts w:hint="eastAsia" w:ascii="宋体" w:hAnsi="宋体"/>
          <w:sz w:val="24"/>
        </w:rPr>
        <w:t>本表适用于会计处理按权责发生制确认收入、税收规定未按权责发生制确认收入需纳税调整的纳税人填报。纳税人根据税法、《</w:t>
      </w:r>
      <w:r>
        <w:rPr>
          <w:rFonts w:ascii="宋体" w:hAnsi="宋体"/>
          <w:sz w:val="24"/>
        </w:rPr>
        <w:t>国家税务总局关于贯彻落实企业所得税法若干税收问题的通知</w:t>
      </w:r>
      <w:r>
        <w:rPr>
          <w:rFonts w:hint="eastAsia" w:ascii="宋体" w:hAnsi="宋体"/>
          <w:sz w:val="24"/>
        </w:rPr>
        <w:t>》（国税函〔2010〕79号）、《</w:t>
      </w:r>
      <w:r>
        <w:rPr>
          <w:rFonts w:ascii="宋体" w:hAnsi="宋体"/>
          <w:sz w:val="24"/>
        </w:rPr>
        <w:t>国家税务总局关于确认企业所得税收入若干问题的通知</w:t>
      </w:r>
      <w:r>
        <w:rPr>
          <w:rFonts w:hint="eastAsia" w:ascii="宋体" w:hAnsi="宋体"/>
          <w:sz w:val="24"/>
        </w:rPr>
        <w:t>》（</w:t>
      </w:r>
      <w:r>
        <w:rPr>
          <w:rFonts w:ascii="宋体" w:hAnsi="宋体"/>
          <w:sz w:val="24"/>
        </w:rPr>
        <w:t>国税函〔2008〕875号</w:t>
      </w:r>
      <w:r>
        <w:rPr>
          <w:rFonts w:hint="eastAsia" w:ascii="宋体" w:hAnsi="宋体"/>
          <w:sz w:val="24"/>
        </w:rPr>
        <w:t>）等相关规定，以及国家统一企业会计制度，填报会计处理按照权责发生制确认收入、税收规定未按权责发生制确认收入的会计处理、税收规定，以及纳税调整情况。符合税收规定不征税收入条件的政府补助收入，本表不作调整，在《专项用途财政性资金纳税调整明细表》（A105040）中纳税调整。</w:t>
      </w:r>
    </w:p>
    <w:p>
      <w:pPr>
        <w:pStyle w:val="69"/>
        <w:ind w:firstLine="482"/>
        <w:outlineLvl w:val="0"/>
      </w:pPr>
      <w:r>
        <w:rPr>
          <w:rFonts w:hint="eastAsia"/>
        </w:rPr>
        <w:t>一、有关项目填报说明</w:t>
      </w:r>
    </w:p>
    <w:p>
      <w:pPr>
        <w:pStyle w:val="65"/>
      </w:pPr>
      <w:r>
        <w:rPr>
          <w:rFonts w:hint="eastAsia"/>
        </w:rPr>
        <w:t>1.第1列“合同金额或交易金额”：填报会计处理按照权责发生制确认收入、税收规定未按权责发生制确认收入的项目的合同总额或交易总额。</w:t>
      </w:r>
    </w:p>
    <w:p>
      <w:pPr>
        <w:pStyle w:val="65"/>
      </w:pPr>
      <w:r>
        <w:rPr>
          <w:rFonts w:hint="eastAsia"/>
        </w:rPr>
        <w:t>2.第2列“账载金额-本年”：填报纳税人会计处理按权责发生制在本期确认金额。</w:t>
      </w:r>
    </w:p>
    <w:p>
      <w:pPr>
        <w:pStyle w:val="65"/>
      </w:pPr>
      <w:r>
        <w:rPr>
          <w:rFonts w:hint="eastAsia"/>
        </w:rPr>
        <w:t>3.第3列“账载金额-累计”：填报纳税人会计处理按权责发生制累计确认金额（含本年）。</w:t>
      </w:r>
    </w:p>
    <w:p>
      <w:pPr>
        <w:pStyle w:val="65"/>
      </w:pPr>
      <w:r>
        <w:rPr>
          <w:rFonts w:hint="eastAsia"/>
        </w:rPr>
        <w:t>4.第4列“税收金额-本年”：填报纳税人按税收规定未按权责发生制在本期确认金额。</w:t>
      </w:r>
    </w:p>
    <w:p>
      <w:pPr>
        <w:pStyle w:val="65"/>
      </w:pPr>
      <w:r>
        <w:rPr>
          <w:rFonts w:hint="eastAsia"/>
        </w:rPr>
        <w:t>5.第5列“税收金额-累计”：填报纳税人按税收规定未按权责发生制累计确认金额（含本年）。</w:t>
      </w:r>
    </w:p>
    <w:p>
      <w:pPr>
        <w:pStyle w:val="65"/>
      </w:pPr>
      <w:r>
        <w:rPr>
          <w:rFonts w:hint="eastAsia"/>
        </w:rPr>
        <w:t>6.第6列“纳税调整金额”：填报纳税人会计处理按权责发生制确认收入、税收规定未按权责发生制确认收入的差异需纳税调整金额，为第4-2列的余额。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1.第1行＝第2+3+4行。</w:t>
      </w:r>
    </w:p>
    <w:p>
      <w:pPr>
        <w:pStyle w:val="65"/>
      </w:pPr>
      <w:r>
        <w:rPr>
          <w:rFonts w:hint="eastAsia"/>
        </w:rPr>
        <w:t>2.第5行＝第6+7+8行。</w:t>
      </w:r>
    </w:p>
    <w:p>
      <w:pPr>
        <w:pStyle w:val="65"/>
      </w:pPr>
      <w:r>
        <w:rPr>
          <w:rFonts w:hint="eastAsia"/>
        </w:rPr>
        <w:t>3.第9行＝第10+11+12行。</w:t>
      </w:r>
    </w:p>
    <w:p>
      <w:pPr>
        <w:pStyle w:val="65"/>
      </w:pPr>
      <w:r>
        <w:rPr>
          <w:rFonts w:hint="eastAsia"/>
        </w:rPr>
        <w:t>4.第14行＝第1+5+9+13行。</w:t>
      </w:r>
    </w:p>
    <w:p>
      <w:pPr>
        <w:pStyle w:val="65"/>
      </w:pPr>
      <w:r>
        <w:rPr>
          <w:rFonts w:hint="eastAsia"/>
        </w:rPr>
        <w:t>5.第6列＝第4-2列。</w:t>
      </w:r>
    </w:p>
    <w:p>
      <w:pPr>
        <w:pStyle w:val="79"/>
        <w:outlineLvl w:val="1"/>
      </w:pPr>
      <w:r>
        <w:rPr>
          <w:rFonts w:hint="eastAsia"/>
        </w:rPr>
        <w:t>（二）表间关系</w:t>
      </w:r>
    </w:p>
    <w:p>
      <w:pPr>
        <w:pStyle w:val="65"/>
      </w:pPr>
      <w:r>
        <w:rPr>
          <w:rFonts w:hint="eastAsia"/>
        </w:rPr>
        <w:t>1.第14行第2列＝表A105000第3行第1列。</w:t>
      </w:r>
    </w:p>
    <w:p>
      <w:pPr>
        <w:pStyle w:val="65"/>
      </w:pPr>
      <w:r>
        <w:rPr>
          <w:rFonts w:hint="eastAsia"/>
        </w:rPr>
        <w:t>2.第14行第4列＝表A105000第3行第2列。</w:t>
      </w:r>
    </w:p>
    <w:p>
      <w:pPr>
        <w:pStyle w:val="65"/>
        <w:sectPr>
          <w:pgSz w:w="11906" w:h="16838"/>
          <w:pgMar w:top="1985" w:right="1418" w:bottom="1928" w:left="1418" w:header="851" w:footer="992" w:gutter="113"/>
          <w:pgNumType w:fmt="decimal"/>
          <w:cols w:space="720" w:num="1"/>
          <w:docGrid w:linePitch="312" w:charSpace="0"/>
        </w:sectPr>
      </w:pPr>
      <w:r>
        <w:rPr>
          <w:rFonts w:hint="eastAsia"/>
        </w:rPr>
        <w:t>3.若第14行第6列≥0，第14行第6列＝表A105000第3行第3列；若第14行第6列＜0，第14行第6列绝对值＝表A105000第3行第4列。</w:t>
      </w:r>
    </w:p>
    <w:p>
      <w:pPr>
        <w:pStyle w:val="80"/>
      </w:pPr>
      <w:bookmarkStart w:id="102" w:name="_Toc5017"/>
      <w:r>
        <w:rPr>
          <w:rFonts w:hint="eastAsia"/>
        </w:rPr>
        <w:t>A105030</w:t>
      </w:r>
      <w:r>
        <w:tab/>
      </w:r>
      <w:r>
        <w:rPr>
          <w:rFonts w:hint="eastAsia"/>
        </w:rPr>
        <w:t>投资收益纳税调整明细表</w:t>
      </w:r>
      <w:bookmarkEnd w:id="102"/>
    </w:p>
    <w:tbl>
      <w:tblPr>
        <w:tblStyle w:val="25"/>
        <w:tblW w:w="14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2720"/>
        <w:gridCol w:w="940"/>
        <w:gridCol w:w="940"/>
        <w:gridCol w:w="940"/>
        <w:gridCol w:w="940"/>
        <w:gridCol w:w="940"/>
        <w:gridCol w:w="940"/>
        <w:gridCol w:w="940"/>
        <w:gridCol w:w="1068"/>
        <w:gridCol w:w="940"/>
        <w:gridCol w:w="1045"/>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272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2820" w:type="dxa"/>
            <w:gridSpan w:val="3"/>
            <w:noWrap/>
            <w:vAlign w:val="center"/>
          </w:tcPr>
          <w:p>
            <w:pPr>
              <w:widowControl/>
              <w:jc w:val="center"/>
              <w:rPr>
                <w:rFonts w:ascii="宋体" w:hAnsi="宋体" w:cs="宋体"/>
                <w:kern w:val="0"/>
                <w:sz w:val="20"/>
                <w:szCs w:val="20"/>
              </w:rPr>
            </w:pPr>
            <w:r>
              <w:rPr>
                <w:rFonts w:hint="eastAsia" w:ascii="宋体" w:hAnsi="宋体" w:cs="宋体"/>
                <w:kern w:val="0"/>
                <w:sz w:val="20"/>
                <w:szCs w:val="20"/>
              </w:rPr>
              <w:t>持有收益</w:t>
            </w:r>
          </w:p>
        </w:tc>
        <w:tc>
          <w:tcPr>
            <w:tcW w:w="6813" w:type="dxa"/>
            <w:gridSpan w:val="7"/>
            <w:noWrap/>
            <w:vAlign w:val="center"/>
          </w:tcPr>
          <w:p>
            <w:pPr>
              <w:widowControl/>
              <w:jc w:val="center"/>
              <w:rPr>
                <w:rFonts w:ascii="宋体" w:hAnsi="宋体" w:cs="宋体"/>
                <w:kern w:val="0"/>
                <w:sz w:val="20"/>
                <w:szCs w:val="20"/>
              </w:rPr>
            </w:pPr>
            <w:r>
              <w:rPr>
                <w:rFonts w:hint="eastAsia" w:ascii="宋体" w:hAnsi="宋体" w:cs="宋体"/>
                <w:kern w:val="0"/>
                <w:sz w:val="20"/>
                <w:szCs w:val="20"/>
              </w:rPr>
              <w:t>处置收益</w:t>
            </w:r>
          </w:p>
        </w:tc>
        <w:tc>
          <w:tcPr>
            <w:tcW w:w="110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处置投资的账面价值</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处置投资的计税基础</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会计确认的处置所得或损失</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税收计算的处置所得</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00"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8（4-6）</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9（5-7）</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10（9-8）</w:t>
            </w:r>
          </w:p>
        </w:tc>
        <w:tc>
          <w:tcPr>
            <w:tcW w:w="110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一、交易性金融资产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二、可供出售金融资产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三、持有至到期投资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四、衍生工具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五、交易性金融负债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六、长期股权投资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七、短期投资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八、长期债券投资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九、其他</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合计(1+2+3+4+5+6+7+8+9)</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88"/>
        <w:spacing w:before="240" w:after="360"/>
        <w:jc w:val="both"/>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103" w:name="_Toc527722739"/>
      <w:bookmarkStart w:id="104" w:name="_Toc3836"/>
      <w:r>
        <w:rPr>
          <w:rFonts w:ascii="宋体" w:hAnsi="宋体" w:cs="方正小标宋简体"/>
          <w:b/>
          <w:kern w:val="44"/>
          <w:sz w:val="28"/>
          <w:szCs w:val="28"/>
        </w:rPr>
        <w:t>A105030</w:t>
      </w:r>
      <w:r>
        <w:rPr>
          <w:rFonts w:hint="eastAsia" w:ascii="宋体" w:hAnsi="宋体" w:cs="方正小标宋简体"/>
          <w:b/>
          <w:kern w:val="44"/>
          <w:sz w:val="28"/>
          <w:szCs w:val="28"/>
        </w:rPr>
        <w:t>《投资收益纳税调整明细表》填报说明</w:t>
      </w:r>
      <w:bookmarkEnd w:id="103"/>
      <w:bookmarkEnd w:id="104"/>
    </w:p>
    <w:p>
      <w:pPr>
        <w:spacing w:line="360" w:lineRule="auto"/>
        <w:ind w:firstLine="480" w:firstLineChars="200"/>
        <w:rPr>
          <w:rFonts w:ascii="宋体" w:hAnsi="宋体" w:cs="宋体"/>
          <w:sz w:val="24"/>
        </w:rPr>
      </w:pPr>
      <w:r>
        <w:rPr>
          <w:rFonts w:hint="eastAsia" w:ascii="宋体" w:hAnsi="宋体" w:cs="宋体"/>
          <w:sz w:val="24"/>
        </w:rPr>
        <w:t>本表适用于发生投资收益纳税调整项目的纳税人及从事股权投资业务的纳税人填报。纳税人根据税法、《国家税务总局关于贯彻落实企业所得税法若干税收问题的通知》（国税函〔</w:t>
      </w:r>
      <w:r>
        <w:rPr>
          <w:rFonts w:ascii="宋体" w:hAnsi="宋体" w:cs="宋体"/>
          <w:sz w:val="24"/>
        </w:rPr>
        <w:t>2010</w:t>
      </w:r>
      <w:r>
        <w:rPr>
          <w:rFonts w:hint="eastAsia" w:ascii="宋体" w:hAnsi="宋体" w:cs="宋体"/>
          <w:sz w:val="24"/>
        </w:rPr>
        <w:t>〕</w:t>
      </w:r>
      <w:r>
        <w:rPr>
          <w:rFonts w:ascii="宋体" w:hAnsi="宋体" w:cs="宋体"/>
          <w:sz w:val="24"/>
        </w:rPr>
        <w:t>79</w:t>
      </w:r>
      <w:r>
        <w:rPr>
          <w:rFonts w:hint="eastAsia" w:ascii="宋体" w:hAnsi="宋体" w:cs="宋体"/>
          <w:sz w:val="24"/>
        </w:rPr>
        <w:t>号）等相关规定，以及国家统一企业会计制度，填报投资收益的会计处理、税收规定，以及纳税调整情况。发生持有期间投资收益，并按税收规定为减免税收入的</w:t>
      </w:r>
      <w:r>
        <w:rPr>
          <w:rFonts w:ascii="宋体" w:hAnsi="宋体" w:cs="宋体"/>
          <w:sz w:val="24"/>
        </w:rPr>
        <w:t>(</w:t>
      </w:r>
      <w:r>
        <w:rPr>
          <w:rFonts w:hint="eastAsia" w:ascii="宋体" w:hAnsi="宋体" w:cs="宋体"/>
          <w:sz w:val="24"/>
        </w:rPr>
        <w:t>如国债利息收入等</w:t>
      </w:r>
      <w:r>
        <w:rPr>
          <w:rFonts w:ascii="宋体" w:hAnsi="宋体" w:cs="宋体"/>
          <w:sz w:val="24"/>
        </w:rPr>
        <w:t>)</w:t>
      </w:r>
      <w:r>
        <w:rPr>
          <w:rFonts w:hint="eastAsia" w:ascii="宋体" w:hAnsi="宋体" w:cs="宋体"/>
          <w:sz w:val="24"/>
        </w:rPr>
        <w:t>，本表不作调整。处置投资项目按税收规定确认为损失的，本表不作调整，在《资产损失税前扣除及纳税调整明细表》</w:t>
      </w:r>
      <w:r>
        <w:rPr>
          <w:rFonts w:ascii="宋体" w:hAnsi="宋体" w:cs="宋体"/>
          <w:sz w:val="24"/>
        </w:rPr>
        <w:t>(A105090)</w:t>
      </w:r>
      <w:r>
        <w:rPr>
          <w:rFonts w:hint="eastAsia" w:ascii="宋体" w:hAnsi="宋体" w:cs="宋体"/>
          <w:sz w:val="24"/>
        </w:rPr>
        <w:t>进行纳税调整。处置投资项目符合企业重组且适用特殊性税务处理规定的，本表不作调整，在《企业重组及递延纳税事项纳税调整明细表》（</w:t>
      </w:r>
      <w:r>
        <w:rPr>
          <w:rFonts w:ascii="宋体" w:hAnsi="宋体" w:cs="宋体"/>
          <w:sz w:val="24"/>
        </w:rPr>
        <w:t>A105100</w:t>
      </w:r>
      <w:r>
        <w:rPr>
          <w:rFonts w:hint="eastAsia" w:ascii="宋体" w:hAnsi="宋体" w:cs="宋体"/>
          <w:sz w:val="24"/>
        </w:rPr>
        <w:t>）进行纳税调整。</w:t>
      </w:r>
    </w:p>
    <w:p>
      <w:pPr>
        <w:spacing w:line="360" w:lineRule="auto"/>
        <w:ind w:left="482"/>
        <w:jc w:val="left"/>
        <w:outlineLvl w:val="0"/>
        <w:rPr>
          <w:rFonts w:ascii="宋体" w:hAnsi="宋体" w:cs="宋体"/>
          <w:b/>
          <w:bCs/>
          <w:sz w:val="24"/>
        </w:rPr>
      </w:pPr>
      <w:r>
        <w:rPr>
          <w:rFonts w:hint="eastAsia" w:ascii="宋体" w:hAnsi="宋体" w:cs="宋体"/>
          <w:b/>
          <w:bCs/>
          <w:sz w:val="24"/>
        </w:rPr>
        <w:t>一、有关项目填报说明</w:t>
      </w:r>
    </w:p>
    <w:p>
      <w:pPr>
        <w:spacing w:line="360" w:lineRule="auto"/>
        <w:ind w:firstLine="480" w:firstLineChars="200"/>
        <w:rPr>
          <w:rFonts w:hint="eastAsia" w:ascii="宋体" w:hAnsi="宋体" w:cs="宋体"/>
          <w:sz w:val="24"/>
        </w:rPr>
      </w:pPr>
      <w:r>
        <w:rPr>
          <w:rFonts w:hint="eastAsia" w:ascii="宋体" w:hAnsi="宋体" w:cs="宋体"/>
          <w:sz w:val="24"/>
        </w:rPr>
        <w:t>已执行《企业会计准则第</w:t>
      </w:r>
      <w:r>
        <w:rPr>
          <w:rFonts w:ascii="宋体" w:hAnsi="宋体" w:cs="宋体"/>
          <w:sz w:val="24"/>
        </w:rPr>
        <w:t>22</w:t>
      </w:r>
      <w:r>
        <w:rPr>
          <w:rFonts w:hint="eastAsia" w:ascii="宋体" w:hAnsi="宋体" w:cs="宋体"/>
          <w:sz w:val="24"/>
        </w:rPr>
        <w:t>号</w:t>
      </w:r>
      <w:r>
        <w:rPr>
          <w:rFonts w:ascii="宋体" w:hAnsi="宋体" w:cs="宋体"/>
          <w:sz w:val="24"/>
        </w:rPr>
        <w:t>——</w:t>
      </w:r>
      <w:r>
        <w:rPr>
          <w:rFonts w:hint="eastAsia" w:ascii="宋体" w:hAnsi="宋体" w:cs="宋体"/>
          <w:sz w:val="24"/>
        </w:rPr>
        <w:t>金融工具确认和计量》（财会〔</w:t>
      </w:r>
      <w:r>
        <w:rPr>
          <w:rFonts w:ascii="宋体" w:hAnsi="宋体" w:cs="宋体"/>
          <w:sz w:val="24"/>
        </w:rPr>
        <w:t>2017</w:t>
      </w:r>
      <w:r>
        <w:rPr>
          <w:rFonts w:hint="eastAsia" w:ascii="宋体" w:hAnsi="宋体" w:cs="宋体"/>
          <w:sz w:val="24"/>
        </w:rPr>
        <w:t>〕</w:t>
      </w:r>
      <w:r>
        <w:rPr>
          <w:rFonts w:ascii="宋体" w:hAnsi="宋体" w:cs="宋体"/>
          <w:sz w:val="24"/>
        </w:rPr>
        <w:t>7</w:t>
      </w:r>
      <w:r>
        <w:rPr>
          <w:rFonts w:hint="eastAsia" w:ascii="宋体" w:hAnsi="宋体" w:cs="宋体"/>
          <w:sz w:val="24"/>
        </w:rPr>
        <w:t>号发布）、《企业会计准则第</w:t>
      </w:r>
      <w:r>
        <w:rPr>
          <w:rFonts w:ascii="宋体" w:hAnsi="宋体" w:cs="宋体"/>
          <w:sz w:val="24"/>
        </w:rPr>
        <w:t>23</w:t>
      </w:r>
      <w:r>
        <w:rPr>
          <w:rFonts w:hint="eastAsia" w:ascii="宋体" w:hAnsi="宋体" w:cs="宋体"/>
          <w:sz w:val="24"/>
        </w:rPr>
        <w:t>号</w:t>
      </w:r>
      <w:r>
        <w:rPr>
          <w:rFonts w:ascii="宋体" w:hAnsi="宋体" w:cs="宋体"/>
          <w:sz w:val="24"/>
        </w:rPr>
        <w:t>——</w:t>
      </w:r>
      <w:r>
        <w:rPr>
          <w:rFonts w:hint="eastAsia" w:ascii="宋体" w:hAnsi="宋体" w:cs="宋体"/>
          <w:sz w:val="24"/>
        </w:rPr>
        <w:t>金融资产转移》（财会〔</w:t>
      </w:r>
      <w:r>
        <w:rPr>
          <w:rFonts w:ascii="宋体" w:hAnsi="宋体" w:cs="宋体"/>
          <w:sz w:val="24"/>
        </w:rPr>
        <w:t>2017</w:t>
      </w:r>
      <w:r>
        <w:rPr>
          <w:rFonts w:hint="eastAsia" w:ascii="宋体" w:hAnsi="宋体" w:cs="宋体"/>
          <w:sz w:val="24"/>
        </w:rPr>
        <w:t>〕</w:t>
      </w:r>
      <w:r>
        <w:rPr>
          <w:rFonts w:ascii="宋体" w:hAnsi="宋体" w:cs="宋体"/>
          <w:sz w:val="24"/>
        </w:rPr>
        <w:t>8</w:t>
      </w:r>
      <w:r>
        <w:rPr>
          <w:rFonts w:hint="eastAsia" w:ascii="宋体" w:hAnsi="宋体" w:cs="宋体"/>
          <w:sz w:val="24"/>
        </w:rPr>
        <w:t>号发布）、《企业会计准则第</w:t>
      </w:r>
      <w:r>
        <w:rPr>
          <w:rFonts w:ascii="宋体" w:hAnsi="宋体" w:cs="宋体"/>
          <w:sz w:val="24"/>
        </w:rPr>
        <w:t>24</w:t>
      </w:r>
      <w:r>
        <w:rPr>
          <w:rFonts w:hint="eastAsia" w:ascii="宋体" w:hAnsi="宋体" w:cs="宋体"/>
          <w:sz w:val="24"/>
        </w:rPr>
        <w:t>号</w:t>
      </w:r>
      <w:r>
        <w:rPr>
          <w:rFonts w:ascii="宋体" w:hAnsi="宋体" w:cs="宋体"/>
          <w:sz w:val="24"/>
        </w:rPr>
        <w:t>——</w:t>
      </w:r>
      <w:r>
        <w:rPr>
          <w:rFonts w:hint="eastAsia" w:ascii="宋体" w:hAnsi="宋体" w:cs="宋体"/>
          <w:sz w:val="24"/>
        </w:rPr>
        <w:t>套期会计》（财会〔</w:t>
      </w:r>
      <w:r>
        <w:rPr>
          <w:rFonts w:ascii="宋体" w:hAnsi="宋体" w:cs="宋体"/>
          <w:sz w:val="24"/>
        </w:rPr>
        <w:t>2017</w:t>
      </w:r>
      <w:r>
        <w:rPr>
          <w:rFonts w:hint="eastAsia" w:ascii="宋体" w:hAnsi="宋体" w:cs="宋体"/>
          <w:sz w:val="24"/>
        </w:rPr>
        <w:t>〕</w:t>
      </w:r>
      <w:r>
        <w:rPr>
          <w:rFonts w:ascii="宋体" w:hAnsi="宋体" w:cs="宋体"/>
          <w:sz w:val="24"/>
        </w:rPr>
        <w:t>9</w:t>
      </w:r>
      <w:r>
        <w:rPr>
          <w:rFonts w:hint="eastAsia" w:ascii="宋体" w:hAnsi="宋体" w:cs="宋体"/>
          <w:sz w:val="24"/>
        </w:rPr>
        <w:t>号发布）、《企业会计准则第</w:t>
      </w:r>
      <w:r>
        <w:rPr>
          <w:rFonts w:ascii="宋体" w:hAnsi="宋体" w:cs="宋体"/>
          <w:sz w:val="24"/>
        </w:rPr>
        <w:t>37</w:t>
      </w:r>
      <w:r>
        <w:rPr>
          <w:rFonts w:hint="eastAsia" w:ascii="宋体" w:hAnsi="宋体" w:cs="宋体"/>
          <w:sz w:val="24"/>
        </w:rPr>
        <w:t>号</w:t>
      </w:r>
      <w:r>
        <w:rPr>
          <w:rFonts w:ascii="宋体" w:hAnsi="宋体" w:cs="宋体"/>
          <w:sz w:val="24"/>
        </w:rPr>
        <w:t>——</w:t>
      </w:r>
      <w:r>
        <w:rPr>
          <w:rFonts w:hint="eastAsia" w:ascii="宋体" w:hAnsi="宋体" w:cs="宋体"/>
          <w:sz w:val="24"/>
        </w:rPr>
        <w:t>金融工具列报》（财会〔</w:t>
      </w:r>
      <w:r>
        <w:rPr>
          <w:rFonts w:ascii="宋体" w:hAnsi="宋体" w:cs="宋体"/>
          <w:sz w:val="24"/>
        </w:rPr>
        <w:t>2017</w:t>
      </w:r>
      <w:r>
        <w:rPr>
          <w:rFonts w:hint="eastAsia" w:ascii="宋体" w:hAnsi="宋体" w:cs="宋体"/>
          <w:sz w:val="24"/>
        </w:rPr>
        <w:t>〕</w:t>
      </w:r>
      <w:r>
        <w:rPr>
          <w:rFonts w:ascii="宋体" w:hAnsi="宋体" w:cs="宋体"/>
          <w:sz w:val="24"/>
        </w:rPr>
        <w:t>14</w:t>
      </w:r>
      <w:r>
        <w:rPr>
          <w:rFonts w:hint="eastAsia" w:ascii="宋体" w:hAnsi="宋体" w:cs="宋体"/>
          <w:sz w:val="24"/>
        </w:rPr>
        <w:t>号发布）（以上四项简称“新金融准则”）的纳税人，若投资收益的项目类别不为本表第1行至第8行的，则在第</w:t>
      </w:r>
      <w:r>
        <w:rPr>
          <w:rFonts w:ascii="宋体" w:hAnsi="宋体" w:cs="宋体"/>
          <w:sz w:val="24"/>
        </w:rPr>
        <w:t>9</w:t>
      </w:r>
      <w:r>
        <w:rPr>
          <w:rFonts w:hint="eastAsia" w:ascii="宋体" w:hAnsi="宋体" w:cs="宋体"/>
          <w:sz w:val="24"/>
        </w:rPr>
        <w:t>行“九、其他”中填报相关会计处理、税收规定，以及纳税调整情况。</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列“账载金额”：填报纳税人持有投资项目，会计核算确认的投资收益。</w:t>
      </w:r>
    </w:p>
    <w:p>
      <w:pPr>
        <w:spacing w:line="360" w:lineRule="auto"/>
        <w:ind w:firstLine="480" w:firstLineChars="200"/>
        <w:rPr>
          <w:rFonts w:ascii="宋体"/>
          <w:sz w:val="24"/>
          <w:szCs w:val="21"/>
        </w:rPr>
      </w:pPr>
      <w:r>
        <w:rPr>
          <w:rFonts w:ascii="宋体" w:hAnsi="宋体"/>
          <w:sz w:val="24"/>
          <w:szCs w:val="21"/>
        </w:rPr>
        <w:t>2.</w:t>
      </w:r>
      <w:r>
        <w:rPr>
          <w:rFonts w:hint="eastAsia" w:ascii="宋体" w:hAnsi="宋体"/>
          <w:sz w:val="24"/>
          <w:szCs w:val="21"/>
        </w:rPr>
        <w:t>第</w:t>
      </w:r>
      <w:r>
        <w:rPr>
          <w:rFonts w:ascii="宋体" w:hAnsi="宋体"/>
          <w:sz w:val="24"/>
          <w:szCs w:val="21"/>
        </w:rPr>
        <w:t>2</w:t>
      </w:r>
      <w:r>
        <w:rPr>
          <w:rFonts w:hint="eastAsia" w:ascii="宋体" w:hAnsi="宋体"/>
          <w:sz w:val="24"/>
          <w:szCs w:val="21"/>
        </w:rPr>
        <w:t>列“税收金额”：填报纳税人持有投资项目，按照税收规定确认的投资收益。</w:t>
      </w:r>
    </w:p>
    <w:p>
      <w:pPr>
        <w:spacing w:line="360" w:lineRule="auto"/>
        <w:ind w:firstLine="480" w:firstLineChars="200"/>
        <w:rPr>
          <w:rFonts w:ascii="宋体"/>
          <w:sz w:val="24"/>
          <w:szCs w:val="21"/>
        </w:rPr>
      </w:pPr>
      <w:r>
        <w:rPr>
          <w:rFonts w:ascii="宋体" w:hAnsi="宋体"/>
          <w:sz w:val="24"/>
          <w:szCs w:val="21"/>
        </w:rPr>
        <w:t>3.</w:t>
      </w:r>
      <w:r>
        <w:rPr>
          <w:rFonts w:hint="eastAsia" w:ascii="宋体" w:hAnsi="宋体"/>
          <w:sz w:val="24"/>
          <w:szCs w:val="21"/>
        </w:rPr>
        <w:t>第</w:t>
      </w:r>
      <w:r>
        <w:rPr>
          <w:rFonts w:ascii="宋体" w:hAnsi="宋体"/>
          <w:sz w:val="24"/>
          <w:szCs w:val="21"/>
        </w:rPr>
        <w:t>3</w:t>
      </w:r>
      <w:r>
        <w:rPr>
          <w:rFonts w:hint="eastAsia" w:ascii="宋体" w:hAnsi="宋体"/>
          <w:sz w:val="24"/>
          <w:szCs w:val="21"/>
        </w:rPr>
        <w:t>列“纳税调整金额”：填报纳税人持有投资项目，会计核算确认投资收益与税收规定投资收益的差异需纳税调整金额，为第</w:t>
      </w:r>
      <w:r>
        <w:rPr>
          <w:rFonts w:ascii="宋体" w:hAnsi="宋体"/>
          <w:sz w:val="24"/>
          <w:szCs w:val="21"/>
        </w:rPr>
        <w:t>2-1</w:t>
      </w:r>
      <w:r>
        <w:rPr>
          <w:rFonts w:hint="eastAsia" w:ascii="宋体" w:hAnsi="宋体"/>
          <w:sz w:val="24"/>
          <w:szCs w:val="21"/>
        </w:rPr>
        <w:t>列金额。</w:t>
      </w:r>
    </w:p>
    <w:p>
      <w:pPr>
        <w:spacing w:line="360" w:lineRule="auto"/>
        <w:ind w:firstLine="480" w:firstLineChars="200"/>
        <w:rPr>
          <w:rFonts w:ascii="宋体"/>
          <w:sz w:val="24"/>
          <w:szCs w:val="21"/>
        </w:rPr>
      </w:pPr>
      <w:r>
        <w:rPr>
          <w:rFonts w:ascii="宋体" w:hAnsi="宋体"/>
          <w:sz w:val="24"/>
          <w:szCs w:val="21"/>
        </w:rPr>
        <w:t>4.</w:t>
      </w:r>
      <w:r>
        <w:rPr>
          <w:rFonts w:hint="eastAsia" w:ascii="宋体" w:hAnsi="宋体"/>
          <w:sz w:val="24"/>
          <w:szCs w:val="21"/>
        </w:rPr>
        <w:t>第</w:t>
      </w:r>
      <w:r>
        <w:rPr>
          <w:rFonts w:ascii="宋体" w:hAnsi="宋体"/>
          <w:sz w:val="24"/>
          <w:szCs w:val="21"/>
        </w:rPr>
        <w:t>4</w:t>
      </w:r>
      <w:r>
        <w:rPr>
          <w:rFonts w:hint="eastAsia" w:ascii="宋体" w:hAnsi="宋体"/>
          <w:sz w:val="24"/>
          <w:szCs w:val="21"/>
        </w:rPr>
        <w:t>列“会计确认的处置收入”：填报纳税人收回、转让或清算处置投资项目，会计核算确认的扣除相关税费后的处置收入金额。</w:t>
      </w:r>
    </w:p>
    <w:p>
      <w:pPr>
        <w:spacing w:line="360" w:lineRule="auto"/>
        <w:ind w:firstLine="480" w:firstLineChars="200"/>
        <w:rPr>
          <w:rFonts w:ascii="宋体"/>
          <w:sz w:val="24"/>
          <w:szCs w:val="21"/>
        </w:rPr>
      </w:pPr>
      <w:r>
        <w:rPr>
          <w:rFonts w:ascii="宋体" w:hAnsi="宋体"/>
          <w:sz w:val="24"/>
          <w:szCs w:val="21"/>
        </w:rPr>
        <w:t>5.</w:t>
      </w:r>
      <w:r>
        <w:rPr>
          <w:rFonts w:hint="eastAsia" w:ascii="宋体" w:hAnsi="宋体"/>
          <w:sz w:val="24"/>
          <w:szCs w:val="21"/>
        </w:rPr>
        <w:t>第</w:t>
      </w:r>
      <w:r>
        <w:rPr>
          <w:rFonts w:ascii="宋体" w:hAnsi="宋体"/>
          <w:sz w:val="24"/>
          <w:szCs w:val="21"/>
        </w:rPr>
        <w:t>5</w:t>
      </w:r>
      <w:r>
        <w:rPr>
          <w:rFonts w:hint="eastAsia" w:ascii="宋体" w:hAnsi="宋体"/>
          <w:sz w:val="24"/>
          <w:szCs w:val="21"/>
        </w:rPr>
        <w:t>列“税收计算的处置收入”：填报纳税人收回、转让或清算处置投资项目，按照税收规定计算的扣除相关税费后的处置收入金额。</w:t>
      </w:r>
    </w:p>
    <w:p>
      <w:pPr>
        <w:spacing w:line="360" w:lineRule="auto"/>
        <w:ind w:firstLine="480" w:firstLineChars="200"/>
        <w:rPr>
          <w:rFonts w:ascii="宋体"/>
          <w:sz w:val="24"/>
          <w:szCs w:val="21"/>
        </w:rPr>
      </w:pPr>
      <w:r>
        <w:rPr>
          <w:rFonts w:ascii="宋体" w:hAnsi="宋体"/>
          <w:sz w:val="24"/>
          <w:szCs w:val="21"/>
        </w:rPr>
        <w:t>6.</w:t>
      </w:r>
      <w:r>
        <w:rPr>
          <w:rFonts w:hint="eastAsia" w:ascii="宋体" w:hAnsi="宋体"/>
          <w:sz w:val="24"/>
          <w:szCs w:val="21"/>
        </w:rPr>
        <w:t>第</w:t>
      </w:r>
      <w:r>
        <w:rPr>
          <w:rFonts w:ascii="宋体" w:hAnsi="宋体"/>
          <w:sz w:val="24"/>
          <w:szCs w:val="21"/>
        </w:rPr>
        <w:t>6</w:t>
      </w:r>
      <w:r>
        <w:rPr>
          <w:rFonts w:hint="eastAsia" w:ascii="宋体" w:hAnsi="宋体"/>
          <w:sz w:val="24"/>
          <w:szCs w:val="21"/>
        </w:rPr>
        <w:t>列“处置投资的账面价值”：填报纳税人收回、转让或清算处置的投资项目，会计核算的处置投资的账面价值。</w:t>
      </w:r>
    </w:p>
    <w:p>
      <w:pPr>
        <w:spacing w:line="360" w:lineRule="auto"/>
        <w:ind w:firstLine="480" w:firstLineChars="200"/>
        <w:rPr>
          <w:rFonts w:ascii="宋体"/>
          <w:sz w:val="24"/>
          <w:szCs w:val="21"/>
        </w:rPr>
      </w:pPr>
      <w:r>
        <w:rPr>
          <w:rFonts w:ascii="宋体" w:hAnsi="宋体"/>
          <w:sz w:val="24"/>
          <w:szCs w:val="21"/>
        </w:rPr>
        <w:t>7.</w:t>
      </w:r>
      <w:r>
        <w:rPr>
          <w:rFonts w:hint="eastAsia" w:ascii="宋体" w:hAnsi="宋体"/>
          <w:sz w:val="24"/>
          <w:szCs w:val="21"/>
        </w:rPr>
        <w:t>第</w:t>
      </w:r>
      <w:r>
        <w:rPr>
          <w:rFonts w:ascii="宋体" w:hAnsi="宋体"/>
          <w:sz w:val="24"/>
          <w:szCs w:val="21"/>
        </w:rPr>
        <w:t>7</w:t>
      </w:r>
      <w:r>
        <w:rPr>
          <w:rFonts w:hint="eastAsia" w:ascii="宋体" w:hAnsi="宋体"/>
          <w:sz w:val="24"/>
          <w:szCs w:val="21"/>
        </w:rPr>
        <w:t>列“处置投资的计税基础”：填报纳税人收回、转让或清算处置的投资项目，按税收规定计算的处置投资的计税金额。</w:t>
      </w:r>
    </w:p>
    <w:p>
      <w:pPr>
        <w:spacing w:line="360" w:lineRule="auto"/>
        <w:ind w:firstLine="480" w:firstLineChars="200"/>
        <w:rPr>
          <w:rFonts w:ascii="宋体" w:hAnsi="宋体"/>
          <w:sz w:val="24"/>
          <w:szCs w:val="21"/>
        </w:rPr>
      </w:pPr>
      <w:r>
        <w:rPr>
          <w:rFonts w:ascii="宋体" w:hAnsi="宋体"/>
          <w:sz w:val="24"/>
          <w:szCs w:val="21"/>
        </w:rPr>
        <w:t>8.</w:t>
      </w:r>
      <w:r>
        <w:rPr>
          <w:rFonts w:hint="eastAsia" w:ascii="宋体" w:hAnsi="宋体"/>
          <w:sz w:val="24"/>
          <w:szCs w:val="21"/>
        </w:rPr>
        <w:t>第</w:t>
      </w:r>
      <w:r>
        <w:rPr>
          <w:rFonts w:ascii="宋体" w:hAnsi="宋体"/>
          <w:sz w:val="24"/>
          <w:szCs w:val="21"/>
        </w:rPr>
        <w:t>8</w:t>
      </w:r>
      <w:r>
        <w:rPr>
          <w:rFonts w:hint="eastAsia" w:ascii="宋体" w:hAnsi="宋体"/>
          <w:sz w:val="24"/>
          <w:szCs w:val="21"/>
        </w:rPr>
        <w:t>列“会计确认的处置所得或损失”：填报纳税人收回、转让或清算处置投资项目，会计核算确认的处置所得或损失，按第</w:t>
      </w:r>
      <w:r>
        <w:rPr>
          <w:rFonts w:ascii="宋体" w:hAnsi="宋体"/>
          <w:sz w:val="24"/>
          <w:szCs w:val="21"/>
        </w:rPr>
        <w:t>4-6</w:t>
      </w:r>
      <w:r>
        <w:rPr>
          <w:rFonts w:hint="eastAsia" w:ascii="宋体" w:hAnsi="宋体"/>
          <w:sz w:val="24"/>
          <w:szCs w:val="21"/>
        </w:rPr>
        <w:t>列金额填报（损失以“</w:t>
      </w:r>
      <w:r>
        <w:rPr>
          <w:rFonts w:ascii="宋体" w:hAnsi="宋体"/>
          <w:sz w:val="24"/>
          <w:szCs w:val="21"/>
        </w:rPr>
        <w:t>-</w:t>
      </w:r>
      <w:r>
        <w:rPr>
          <w:rFonts w:hint="eastAsia" w:ascii="宋体" w:hAnsi="宋体"/>
          <w:sz w:val="24"/>
          <w:szCs w:val="21"/>
        </w:rPr>
        <w:t>”号填列）。</w:t>
      </w:r>
    </w:p>
    <w:p>
      <w:pPr>
        <w:spacing w:line="360" w:lineRule="auto"/>
        <w:ind w:firstLine="480" w:firstLineChars="200"/>
        <w:rPr>
          <w:rFonts w:ascii="宋体" w:cs="Calibri"/>
          <w:sz w:val="24"/>
          <w:szCs w:val="21"/>
        </w:rPr>
      </w:pPr>
      <w:r>
        <w:rPr>
          <w:rFonts w:ascii="宋体" w:hAnsi="宋体"/>
          <w:sz w:val="24"/>
          <w:szCs w:val="21"/>
        </w:rPr>
        <w:t>9.</w:t>
      </w:r>
      <w:r>
        <w:rPr>
          <w:rFonts w:hint="eastAsia" w:ascii="宋体" w:hAnsi="宋体"/>
          <w:sz w:val="24"/>
          <w:szCs w:val="21"/>
        </w:rPr>
        <w:t>第</w:t>
      </w:r>
      <w:r>
        <w:rPr>
          <w:rFonts w:ascii="宋体" w:hAnsi="宋体"/>
          <w:sz w:val="24"/>
          <w:szCs w:val="21"/>
        </w:rPr>
        <w:t>9</w:t>
      </w:r>
      <w:r>
        <w:rPr>
          <w:rFonts w:hint="eastAsia" w:ascii="宋体" w:hAnsi="宋体"/>
          <w:sz w:val="24"/>
          <w:szCs w:val="21"/>
        </w:rPr>
        <w:t>列“税收计算的处置所得”：填报纳税人收回、转让或清算处置投资项目，按照税收规定计算的处置所得，按第</w:t>
      </w:r>
      <w:r>
        <w:rPr>
          <w:rFonts w:ascii="宋体" w:hAnsi="宋体"/>
          <w:sz w:val="24"/>
          <w:szCs w:val="21"/>
        </w:rPr>
        <w:t>5-7</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10.</w:t>
      </w:r>
      <w:r>
        <w:rPr>
          <w:rFonts w:hint="eastAsia" w:ascii="宋体" w:hAnsi="宋体"/>
          <w:sz w:val="24"/>
          <w:szCs w:val="21"/>
        </w:rPr>
        <w:t>第</w:t>
      </w:r>
      <w:r>
        <w:rPr>
          <w:rFonts w:ascii="宋体" w:hAnsi="宋体"/>
          <w:sz w:val="24"/>
          <w:szCs w:val="21"/>
        </w:rPr>
        <w:t>10</w:t>
      </w:r>
      <w:r>
        <w:rPr>
          <w:rFonts w:hint="eastAsia" w:ascii="宋体" w:hAnsi="宋体"/>
          <w:sz w:val="24"/>
          <w:szCs w:val="21"/>
        </w:rPr>
        <w:t>列“纳税调整金额”：填报纳税人收回、转让或清算处置投资项目，会计处理与税收规定不一致需纳税调整金额，按第</w:t>
      </w:r>
      <w:r>
        <w:rPr>
          <w:rFonts w:ascii="宋体" w:hAnsi="宋体"/>
          <w:sz w:val="24"/>
          <w:szCs w:val="21"/>
        </w:rPr>
        <w:t>9-8</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11.</w:t>
      </w:r>
      <w:r>
        <w:rPr>
          <w:rFonts w:hint="eastAsia" w:ascii="宋体" w:hAnsi="宋体"/>
          <w:sz w:val="24"/>
          <w:szCs w:val="21"/>
        </w:rPr>
        <w:t>第</w:t>
      </w:r>
      <w:r>
        <w:rPr>
          <w:rFonts w:ascii="宋体" w:hAnsi="宋体"/>
          <w:sz w:val="24"/>
          <w:szCs w:val="21"/>
        </w:rPr>
        <w:t>11</w:t>
      </w:r>
      <w:r>
        <w:rPr>
          <w:rFonts w:hint="eastAsia" w:ascii="宋体" w:hAnsi="宋体"/>
          <w:sz w:val="24"/>
          <w:szCs w:val="21"/>
        </w:rPr>
        <w:t>列“纳税调整金额”：填报第</w:t>
      </w:r>
      <w:r>
        <w:rPr>
          <w:rFonts w:ascii="宋体" w:hAnsi="宋体"/>
          <w:sz w:val="24"/>
          <w:szCs w:val="21"/>
        </w:rPr>
        <w:t>3+10</w:t>
      </w:r>
      <w:r>
        <w:rPr>
          <w:rFonts w:hint="eastAsia" w:ascii="宋体" w:hAnsi="宋体"/>
          <w:sz w:val="24"/>
          <w:szCs w:val="21"/>
        </w:rPr>
        <w:t>列金额。</w:t>
      </w:r>
    </w:p>
    <w:p>
      <w:pPr>
        <w:spacing w:line="360" w:lineRule="auto"/>
        <w:ind w:firstLine="482" w:firstLineChars="200"/>
        <w:jc w:val="left"/>
        <w:outlineLvl w:val="0"/>
        <w:rPr>
          <w:rFonts w:ascii="宋体" w:hAnsi="宋体" w:cs="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（一）表内关系</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1+2+3+4+5+6+7+8+9</w:t>
      </w:r>
      <w:r>
        <w:rPr>
          <w:rFonts w:hint="eastAsia" w:ascii="宋体" w:hAnsi="宋体" w:cs="宋体"/>
          <w:sz w:val="24"/>
        </w:rPr>
        <w:t>行。</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3</w:t>
      </w:r>
      <w:r>
        <w:rPr>
          <w:rFonts w:hint="eastAsia" w:ascii="宋体" w:hAnsi="宋体" w:cs="宋体"/>
          <w:sz w:val="24"/>
        </w:rPr>
        <w:t>列＝第</w:t>
      </w:r>
      <w:r>
        <w:rPr>
          <w:rFonts w:ascii="宋体" w:hAnsi="宋体" w:cs="宋体"/>
          <w:sz w:val="24"/>
        </w:rPr>
        <w:t>2-1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第</w:t>
      </w:r>
      <w:r>
        <w:rPr>
          <w:rFonts w:ascii="宋体" w:hAnsi="宋体" w:cs="宋体"/>
          <w:sz w:val="24"/>
        </w:rPr>
        <w:t>8</w:t>
      </w:r>
      <w:r>
        <w:rPr>
          <w:rFonts w:hint="eastAsia" w:ascii="宋体" w:hAnsi="宋体" w:cs="宋体"/>
          <w:sz w:val="24"/>
        </w:rPr>
        <w:t>列＝第</w:t>
      </w:r>
      <w:r>
        <w:rPr>
          <w:rFonts w:ascii="宋体" w:hAnsi="宋体" w:cs="宋体"/>
          <w:sz w:val="24"/>
        </w:rPr>
        <w:t>4-6</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第</w:t>
      </w:r>
      <w:r>
        <w:rPr>
          <w:rFonts w:ascii="宋体" w:hAnsi="宋体" w:cs="宋体"/>
          <w:sz w:val="24"/>
        </w:rPr>
        <w:t>9</w:t>
      </w:r>
      <w:r>
        <w:rPr>
          <w:rFonts w:hint="eastAsia" w:ascii="宋体" w:hAnsi="宋体" w:cs="宋体"/>
          <w:sz w:val="24"/>
        </w:rPr>
        <w:t>列＝第</w:t>
      </w:r>
      <w:r>
        <w:rPr>
          <w:rFonts w:ascii="宋体" w:hAnsi="宋体" w:cs="宋体"/>
          <w:sz w:val="24"/>
        </w:rPr>
        <w:t>5-7</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第</w:t>
      </w:r>
      <w:r>
        <w:rPr>
          <w:rFonts w:ascii="宋体" w:hAnsi="宋体" w:cs="宋体"/>
          <w:sz w:val="24"/>
        </w:rPr>
        <w:t>10</w:t>
      </w:r>
      <w:r>
        <w:rPr>
          <w:rFonts w:hint="eastAsia" w:ascii="宋体" w:hAnsi="宋体" w:cs="宋体"/>
          <w:sz w:val="24"/>
        </w:rPr>
        <w:t>列＝第</w:t>
      </w:r>
      <w:r>
        <w:rPr>
          <w:rFonts w:ascii="宋体" w:hAnsi="宋体" w:cs="宋体"/>
          <w:sz w:val="24"/>
        </w:rPr>
        <w:t>9-8</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第</w:t>
      </w:r>
      <w:r>
        <w:rPr>
          <w:rFonts w:ascii="宋体" w:hAnsi="宋体" w:cs="宋体"/>
          <w:sz w:val="24"/>
        </w:rPr>
        <w:t>11</w:t>
      </w:r>
      <w:r>
        <w:rPr>
          <w:rFonts w:hint="eastAsia" w:ascii="宋体" w:hAnsi="宋体" w:cs="宋体"/>
          <w:sz w:val="24"/>
        </w:rPr>
        <w:t>列＝第</w:t>
      </w:r>
      <w:r>
        <w:rPr>
          <w:rFonts w:ascii="宋体" w:hAnsi="宋体" w:cs="宋体"/>
          <w:sz w:val="24"/>
        </w:rPr>
        <w:t>3+10</w:t>
      </w:r>
      <w:r>
        <w:rPr>
          <w:rFonts w:hint="eastAsia" w:ascii="宋体" w:hAnsi="宋体" w:cs="宋体"/>
          <w:sz w:val="24"/>
        </w:rPr>
        <w:t>列。</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（二）表间关系</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1+8</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2+9</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列绝对值＝表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80"/>
      </w:pPr>
      <w:bookmarkStart w:id="105" w:name="_Toc26764"/>
      <w:r>
        <w:rPr>
          <w:rFonts w:hint="eastAsia"/>
        </w:rPr>
        <w:t>A105040</w:t>
      </w:r>
      <w:r>
        <w:tab/>
      </w:r>
      <w:r>
        <w:rPr>
          <w:rFonts w:hint="eastAsia"/>
        </w:rPr>
        <w:t>专项用途财政性资金纳税调整明细表</w:t>
      </w:r>
      <w:bookmarkEnd w:id="105"/>
    </w:p>
    <w:tbl>
      <w:tblPr>
        <w:tblStyle w:val="25"/>
        <w:tblW w:w="14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416"/>
        <w:gridCol w:w="733"/>
        <w:gridCol w:w="938"/>
        <w:gridCol w:w="939"/>
        <w:gridCol w:w="939"/>
        <w:gridCol w:w="830"/>
        <w:gridCol w:w="830"/>
        <w:gridCol w:w="830"/>
        <w:gridCol w:w="830"/>
        <w:gridCol w:w="830"/>
        <w:gridCol w:w="830"/>
        <w:gridCol w:w="997"/>
        <w:gridCol w:w="939"/>
        <w:gridCol w:w="939"/>
        <w:gridCol w:w="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行次</w:t>
            </w:r>
          </w:p>
        </w:tc>
        <w:tc>
          <w:tcPr>
            <w:tcW w:w="737"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w:t>
            </w:r>
          </w:p>
        </w:tc>
        <w:tc>
          <w:tcPr>
            <w:tcW w:w="733" w:type="dxa"/>
            <w:vMerge w:val="restart"/>
            <w:tcBorders>
              <w:righ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取得年度</w:t>
            </w:r>
          </w:p>
        </w:tc>
        <w:tc>
          <w:tcPr>
            <w:tcW w:w="938" w:type="dxa"/>
            <w:vMerge w:val="restart"/>
            <w:tcBorders>
              <w:top w:val="single" w:color="auto" w:sz="12"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财政性资金</w:t>
            </w:r>
          </w:p>
        </w:tc>
        <w:tc>
          <w:tcPr>
            <w:tcW w:w="1878" w:type="dxa"/>
            <w:gridSpan w:val="2"/>
            <w:tcBorders>
              <w:top w:val="single" w:color="auto" w:sz="12"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其中：符合不征税收入条件的财政性资金</w:t>
            </w:r>
          </w:p>
        </w:tc>
        <w:tc>
          <w:tcPr>
            <w:tcW w:w="4150" w:type="dxa"/>
            <w:gridSpan w:val="5"/>
            <w:tcBorders>
              <w:left w:val="single" w:color="auto" w:sz="12"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以前年度支出情况</w:t>
            </w:r>
          </w:p>
        </w:tc>
        <w:tc>
          <w:tcPr>
            <w:tcW w:w="1827" w:type="dxa"/>
            <w:gridSpan w:val="2"/>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本年支出情况</w:t>
            </w:r>
          </w:p>
        </w:tc>
        <w:tc>
          <w:tcPr>
            <w:tcW w:w="2817" w:type="dxa"/>
            <w:gridSpan w:val="3"/>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本年结余情况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vAlign w:val="center"/>
          </w:tcPr>
          <w:p>
            <w:pPr>
              <w:spacing w:line="240" w:lineRule="exact"/>
              <w:jc w:val="center"/>
              <w:rPr>
                <w:rFonts w:ascii="宋体" w:hAnsi="宋体" w:cs="宋体"/>
                <w:kern w:val="0"/>
                <w:sz w:val="20"/>
                <w:szCs w:val="20"/>
              </w:rPr>
            </w:pPr>
          </w:p>
        </w:tc>
        <w:tc>
          <w:tcPr>
            <w:tcW w:w="737" w:type="dxa"/>
            <w:vMerge w:val="continue"/>
            <w:vAlign w:val="center"/>
          </w:tcPr>
          <w:p>
            <w:pPr>
              <w:spacing w:line="240" w:lineRule="exact"/>
              <w:jc w:val="center"/>
              <w:rPr>
                <w:rFonts w:ascii="宋体" w:hAnsi="宋体" w:cs="宋体"/>
                <w:kern w:val="0"/>
                <w:sz w:val="20"/>
                <w:szCs w:val="20"/>
              </w:rPr>
            </w:pPr>
          </w:p>
        </w:tc>
        <w:tc>
          <w:tcPr>
            <w:tcW w:w="733" w:type="dxa"/>
            <w:vMerge w:val="continue"/>
            <w:tcBorders>
              <w:right w:val="single" w:color="auto" w:sz="12" w:space="0"/>
            </w:tcBorders>
            <w:vAlign w:val="center"/>
          </w:tcPr>
          <w:p>
            <w:pPr>
              <w:widowControl/>
              <w:spacing w:line="240" w:lineRule="exact"/>
              <w:jc w:val="center"/>
              <w:rPr>
                <w:rFonts w:ascii="宋体" w:hAnsi="宋体" w:cs="宋体"/>
                <w:kern w:val="0"/>
                <w:sz w:val="20"/>
                <w:szCs w:val="20"/>
              </w:rPr>
            </w:pPr>
          </w:p>
        </w:tc>
        <w:tc>
          <w:tcPr>
            <w:tcW w:w="938" w:type="dxa"/>
            <w:vMerge w:val="continue"/>
            <w:tcBorders>
              <w:top w:val="single" w:color="auto" w:sz="6"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p>
        </w:tc>
        <w:tc>
          <w:tcPr>
            <w:tcW w:w="939" w:type="dxa"/>
            <w:tcBorders>
              <w:top w:val="single" w:color="auto" w:sz="6"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金额</w:t>
            </w:r>
          </w:p>
        </w:tc>
        <w:tc>
          <w:tcPr>
            <w:tcW w:w="939" w:type="dxa"/>
            <w:tcBorders>
              <w:top w:val="single" w:color="auto" w:sz="6"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其中：计入本年损益的金额</w:t>
            </w:r>
          </w:p>
        </w:tc>
        <w:tc>
          <w:tcPr>
            <w:tcW w:w="830" w:type="dxa"/>
            <w:tcBorders>
              <w:lef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前五年度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前四年度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前三年度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前二年度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前一年度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支出金额</w:t>
            </w:r>
          </w:p>
        </w:tc>
        <w:tc>
          <w:tcPr>
            <w:tcW w:w="997" w:type="dxa"/>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其中：费用化支出金额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结余金额</w:t>
            </w:r>
          </w:p>
        </w:tc>
        <w:tc>
          <w:tcPr>
            <w:tcW w:w="939" w:type="dxa"/>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其中：上缴财政金额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应计入本年应税收入金额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noWrap/>
            <w:vAlign w:val="center"/>
          </w:tcPr>
          <w:p>
            <w:pPr>
              <w:widowControl/>
              <w:jc w:val="center"/>
              <w:rPr>
                <w:rFonts w:ascii="宋体" w:hAnsi="宋体" w:cs="宋体"/>
                <w:kern w:val="0"/>
                <w:sz w:val="20"/>
                <w:szCs w:val="20"/>
              </w:rPr>
            </w:pPr>
          </w:p>
        </w:tc>
        <w:tc>
          <w:tcPr>
            <w:tcW w:w="737" w:type="dxa"/>
            <w:vMerge w:val="continue"/>
            <w:noWrap/>
            <w:vAlign w:val="center"/>
          </w:tcPr>
          <w:p>
            <w:pPr>
              <w:widowControl/>
              <w:jc w:val="center"/>
              <w:rPr>
                <w:rFonts w:ascii="宋体" w:hAnsi="宋体" w:cs="宋体"/>
                <w:kern w:val="0"/>
                <w:sz w:val="20"/>
                <w:szCs w:val="20"/>
              </w:rPr>
            </w:pPr>
          </w:p>
        </w:tc>
        <w:tc>
          <w:tcPr>
            <w:tcW w:w="733" w:type="dxa"/>
            <w:tcBorders>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30" w:type="dxa"/>
            <w:tcBorders>
              <w:lef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99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18"/>
                <w:szCs w:val="18"/>
              </w:rPr>
            </w:pPr>
          </w:p>
        </w:tc>
        <w:tc>
          <w:tcPr>
            <w:tcW w:w="830" w:type="dxa"/>
            <w:tcBorders>
              <w:left w:val="single" w:color="auto" w:sz="12" w:space="0"/>
            </w:tcBorders>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18"/>
                <w:szCs w:val="18"/>
              </w:rPr>
            </w:pPr>
          </w:p>
        </w:tc>
        <w:tc>
          <w:tcPr>
            <w:tcW w:w="997" w:type="dxa"/>
            <w:noWrap/>
            <w:vAlign w:val="center"/>
          </w:tcPr>
          <w:p>
            <w:pPr>
              <w:widowControl/>
              <w:jc w:val="center"/>
              <w:rPr>
                <w:rFonts w:ascii="宋体" w:hAnsi="宋体" w:cs="宋体"/>
                <w:kern w:val="0"/>
                <w:sz w:val="18"/>
                <w:szCs w:val="18"/>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2"/>
                <w:szCs w:val="22"/>
              </w:rPr>
            </w:pPr>
          </w:p>
        </w:tc>
        <w:tc>
          <w:tcPr>
            <w:tcW w:w="830" w:type="dxa"/>
            <w:noWrap/>
            <w:vAlign w:val="center"/>
          </w:tcPr>
          <w:p>
            <w:pPr>
              <w:widowControl/>
              <w:jc w:val="center"/>
              <w:rPr>
                <w:rFonts w:ascii="宋体" w:hAnsi="宋体" w:cs="宋体"/>
                <w:kern w:val="0"/>
                <w:sz w:val="22"/>
                <w:szCs w:val="22"/>
              </w:rPr>
            </w:pPr>
          </w:p>
        </w:tc>
        <w:tc>
          <w:tcPr>
            <w:tcW w:w="997"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737"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本    年</w:t>
            </w:r>
          </w:p>
        </w:tc>
        <w:tc>
          <w:tcPr>
            <w:tcW w:w="733" w:type="dxa"/>
            <w:tcBorders>
              <w:bottom w:val="single" w:color="auto" w:sz="12" w:space="0"/>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12"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12"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12"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22"/>
                <w:szCs w:val="22"/>
              </w:rPr>
            </w:pPr>
          </w:p>
        </w:tc>
        <w:tc>
          <w:tcPr>
            <w:tcW w:w="997"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737" w:type="dxa"/>
            <w:tcBorders>
              <w:top w:val="single" w:color="auto" w:sz="12" w:space="0"/>
              <w:left w:val="single" w:color="auto" w:sz="6" w:space="0"/>
              <w:bottom w:val="single" w:color="auto" w:sz="12"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合计（1+2+</w:t>
            </w:r>
            <w:r>
              <w:rPr>
                <w:rFonts w:ascii="宋体" w:hAnsi="宋体" w:cs="宋体"/>
                <w:kern w:val="0"/>
                <w:sz w:val="20"/>
                <w:szCs w:val="20"/>
              </w:rPr>
              <w:t>…</w:t>
            </w:r>
            <w:r>
              <w:rPr>
                <w:rFonts w:hint="eastAsia" w:ascii="宋体" w:hAnsi="宋体" w:cs="宋体"/>
                <w:kern w:val="0"/>
                <w:sz w:val="20"/>
                <w:szCs w:val="20"/>
              </w:rPr>
              <w:t>+6）</w:t>
            </w:r>
          </w:p>
        </w:tc>
        <w:tc>
          <w:tcPr>
            <w:tcW w:w="733" w:type="dxa"/>
            <w:tcBorders>
              <w:top w:val="single" w:color="auto" w:sz="12"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938"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12" w:space="0"/>
            </w:tcBorders>
            <w:noWrap/>
            <w:vAlign w:val="center"/>
          </w:tcPr>
          <w:p>
            <w:pPr>
              <w:jc w:val="center"/>
              <w:rPr>
                <w:rFonts w:ascii="宋体" w:hAnsi="宋体" w:cs="宋体"/>
                <w:sz w:val="20"/>
                <w:szCs w:val="20"/>
              </w:rPr>
            </w:pPr>
          </w:p>
        </w:tc>
        <w:tc>
          <w:tcPr>
            <w:tcW w:w="830"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97"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tcBorders>
            <w:noWrap/>
            <w:vAlign w:val="center"/>
          </w:tcPr>
          <w:p>
            <w:pPr>
              <w:widowControl/>
              <w:jc w:val="center"/>
              <w:rPr>
                <w:rFonts w:ascii="宋体" w:hAnsi="宋体" w:cs="宋体"/>
                <w:kern w:val="0"/>
                <w:sz w:val="20"/>
                <w:szCs w:val="20"/>
              </w:rPr>
            </w:pPr>
          </w:p>
        </w:tc>
      </w:tr>
    </w:tbl>
    <w:p>
      <w:pPr>
        <w:pStyle w:val="65"/>
        <w:ind w:firstLine="0" w:firstLineChars="0"/>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106" w:name="_Toc21406"/>
      <w:r>
        <w:rPr>
          <w:rFonts w:hint="eastAsia" w:ascii="宋体" w:eastAsia="宋体"/>
          <w:b/>
        </w:rPr>
        <w:t>A105040《专项用途财政性资金纳税调整明细表》填报说明</w:t>
      </w:r>
      <w:bookmarkEnd w:id="106"/>
    </w:p>
    <w:p>
      <w:pPr>
        <w:pStyle w:val="65"/>
      </w:pPr>
      <w:r>
        <w:rPr>
          <w:rFonts w:hint="eastAsia"/>
        </w:rPr>
        <w:t>本表适用于发生符合不征税收入条件的专项用途财政性资金纳税调整项目的纳税人填报。纳税人根据税法、《财政部 国家税务总局关于专项用途财政性资金企业所得税处理问题的通知》（财税〔2011〕70号）等相关规定，以及国家统一企业会计制度，填报纳税人专项用途财政性资金会计处理、税收规定，以及纳税调整情况。本表对不征税收入用于费用化的支出进行调整，资本化支出通过《资产折旧、摊销及纳税调整明细表》（A105080）进行纳税调整。</w:t>
      </w:r>
    </w:p>
    <w:p>
      <w:pPr>
        <w:pStyle w:val="69"/>
        <w:ind w:firstLine="482"/>
        <w:outlineLvl w:val="0"/>
      </w:pPr>
      <w:r>
        <w:rPr>
          <w:rFonts w:hint="eastAsia"/>
        </w:rPr>
        <w:t>一、有关项目填报说明</w:t>
      </w:r>
    </w:p>
    <w:p>
      <w:pPr>
        <w:pStyle w:val="65"/>
      </w:pPr>
      <w:r>
        <w:rPr>
          <w:rFonts w:hint="eastAsia"/>
        </w:rPr>
        <w:t>1.第1列“取得年度”：填报取得专项用途财政性资金的公历年度。第5行至第1行依次从6行往前倒推，第6行为申报年度。</w:t>
      </w:r>
    </w:p>
    <w:p>
      <w:pPr>
        <w:pStyle w:val="65"/>
      </w:pPr>
      <w:r>
        <w:rPr>
          <w:rFonts w:hint="eastAsia"/>
        </w:rPr>
        <w:t>2.第2列“财政性资金”：填报纳税人相应年度实际取得的财政性资金金额。</w:t>
      </w:r>
    </w:p>
    <w:p>
      <w:pPr>
        <w:pStyle w:val="65"/>
      </w:pPr>
      <w:r>
        <w:rPr>
          <w:rFonts w:hint="eastAsia"/>
        </w:rPr>
        <w:t>3.第3列“其中：符合不征税收入条件的财政性资金”：填报纳税人相应年度实际取得的符合不征税收入条件且已作不征税收入处理的财政性资金金额。</w:t>
      </w:r>
    </w:p>
    <w:p>
      <w:pPr>
        <w:pStyle w:val="65"/>
      </w:pPr>
      <w:r>
        <w:rPr>
          <w:rFonts w:hint="eastAsia"/>
        </w:rPr>
        <w:t>4.第4列“其中：计入本年损益的金额”：填报第3列“其中：符合不征税收入条件的财政性资金”中，会计处理时计入本年（申报年度）损益的金额。本列第7行金额为《纳税调整项目明细表》（A105000）第9行“其中：专项用途财政性资金”的第4列“调减金额”。</w:t>
      </w:r>
    </w:p>
    <w:p>
      <w:pPr>
        <w:pStyle w:val="65"/>
      </w:pPr>
      <w:r>
        <w:rPr>
          <w:rFonts w:hint="eastAsia"/>
        </w:rPr>
        <w:t>5.第5列至第9列“以前年度支出情况”：填报纳税人作为不征税收入处理的符合条件的财政性资金，在申报年度的以前的5个纳税年度发生的支出金额。前一年度，填报本年的上一纳税年度，以此类推。</w:t>
      </w:r>
    </w:p>
    <w:p>
      <w:pPr>
        <w:pStyle w:val="65"/>
      </w:pPr>
      <w:r>
        <w:rPr>
          <w:rFonts w:hint="eastAsia"/>
        </w:rPr>
        <w:t>6.第10列“支出金额”：填报纳税人历年作为不征税收入处理的符合条件的财政性资金，在本年（申报年度）用于支出的金额。</w:t>
      </w:r>
    </w:p>
    <w:p>
      <w:pPr>
        <w:pStyle w:val="65"/>
      </w:pPr>
      <w:r>
        <w:rPr>
          <w:rFonts w:hint="eastAsia"/>
        </w:rPr>
        <w:t>7.第11列“其中：费用化支出金额”：填报纳税人历年作为不征税收入处理的符合条件的财政性资金，在本年（申报年度）用于支出计入本年损益的费用金额，本列第7行金额为《纳税调整项目明细表》（A105000）第25行“其中：专项用途财政性资金用于支出所形成的费用”的第3列“调增金额”。</w:t>
      </w:r>
    </w:p>
    <w:p>
      <w:pPr>
        <w:pStyle w:val="65"/>
      </w:pPr>
      <w:r>
        <w:rPr>
          <w:rFonts w:hint="eastAsia"/>
        </w:rPr>
        <w:t>8.第12列“结余金额”：填报纳税人历年作为不征税收入处理的符合条件的财政性资金，减除历年累计支出（包括费用化支出和资本化支出）后尚未使用的不征税收入余额。</w:t>
      </w:r>
    </w:p>
    <w:p>
      <w:pPr>
        <w:pStyle w:val="65"/>
      </w:pPr>
      <w:r>
        <w:rPr>
          <w:rFonts w:hint="eastAsia"/>
        </w:rPr>
        <w:t>9.第13列“其中：上缴财政金额”：填报第12列“结余金额”中向财政部门或其他拨付资金的政府部门缴回的金额。</w:t>
      </w:r>
    </w:p>
    <w:p>
      <w:pPr>
        <w:pStyle w:val="65"/>
      </w:pPr>
      <w:r>
        <w:rPr>
          <w:rFonts w:hint="eastAsia"/>
        </w:rPr>
        <w:t>10.第14列“应计入本年应税收入金额”：填报企业以前年度取得财政性资金且已作为不征税收入处理后，在5年（60个月）内未发生支出且未缴回财政部门或其他拨付资金的政府部门，应计入本年应税收入的金额。本列第7行金额为《纳税调整项目明细表》（A105000）第9行“其中：专项用途财政性资金”的第3列“调增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1.第1行第12列＝第1行第3-5-6-7-8-9-10列。</w:t>
      </w:r>
    </w:p>
    <w:p>
      <w:pPr>
        <w:pStyle w:val="65"/>
      </w:pPr>
      <w:r>
        <w:rPr>
          <w:rFonts w:hint="eastAsia"/>
        </w:rPr>
        <w:t>2.第2行第12列＝第2行第3-6-7-8-9-10列。</w:t>
      </w:r>
    </w:p>
    <w:p>
      <w:pPr>
        <w:pStyle w:val="65"/>
      </w:pPr>
      <w:r>
        <w:rPr>
          <w:rFonts w:hint="eastAsia"/>
        </w:rPr>
        <w:t>3.第3行第12列＝第3行第3-7-8-9-10列。</w:t>
      </w:r>
    </w:p>
    <w:p>
      <w:pPr>
        <w:pStyle w:val="65"/>
      </w:pPr>
      <w:r>
        <w:rPr>
          <w:rFonts w:hint="eastAsia"/>
        </w:rPr>
        <w:t>4.第4行第12列＝第4行第3-8-9-10列。</w:t>
      </w:r>
    </w:p>
    <w:p>
      <w:pPr>
        <w:pStyle w:val="65"/>
      </w:pPr>
      <w:r>
        <w:rPr>
          <w:rFonts w:hint="eastAsia"/>
        </w:rPr>
        <w:t>5.第5行第12列＝第5行第3-9-10列。</w:t>
      </w:r>
    </w:p>
    <w:p>
      <w:pPr>
        <w:pStyle w:val="65"/>
      </w:pPr>
      <w:r>
        <w:rPr>
          <w:rFonts w:hint="eastAsia"/>
        </w:rPr>
        <w:t>6.第6行第12列＝第6行第3-10列。</w:t>
      </w:r>
    </w:p>
    <w:p>
      <w:pPr>
        <w:pStyle w:val="65"/>
      </w:pPr>
      <w:r>
        <w:rPr>
          <w:rFonts w:hint="eastAsia"/>
        </w:rPr>
        <w:t>7.第7行＝第1+2+3+4+5+6行。</w:t>
      </w:r>
    </w:p>
    <w:p>
      <w:pPr>
        <w:pStyle w:val="79"/>
        <w:outlineLvl w:val="1"/>
      </w:pPr>
      <w:r>
        <w:rPr>
          <w:rFonts w:hint="eastAsia"/>
        </w:rPr>
        <w:t>（二）表间关系</w:t>
      </w:r>
    </w:p>
    <w:p>
      <w:pPr>
        <w:pStyle w:val="65"/>
      </w:pPr>
      <w:r>
        <w:rPr>
          <w:rFonts w:hint="eastAsia"/>
        </w:rPr>
        <w:t>1.第7行第4列＝表A105000第9行第4列。</w:t>
      </w:r>
    </w:p>
    <w:p>
      <w:pPr>
        <w:pStyle w:val="65"/>
      </w:pPr>
      <w:r>
        <w:rPr>
          <w:rFonts w:hint="eastAsia"/>
        </w:rPr>
        <w:t>2.第7行第11列＝表A105000第25行第3列。</w:t>
      </w:r>
    </w:p>
    <w:p>
      <w:pPr>
        <w:pStyle w:val="65"/>
        <w:sectPr>
          <w:pgSz w:w="11906" w:h="16838"/>
          <w:pgMar w:top="1985" w:right="1418" w:bottom="1928" w:left="1418" w:header="851" w:footer="992" w:gutter="113"/>
          <w:pgNumType w:fmt="decimal"/>
          <w:cols w:space="720" w:num="1"/>
          <w:titlePg/>
          <w:docGrid w:linePitch="312" w:charSpace="0"/>
        </w:sectPr>
      </w:pPr>
      <w:r>
        <w:rPr>
          <w:rFonts w:hint="eastAsia"/>
        </w:rPr>
        <w:t>3.第7行第14列＝表A105000第9行第3列。</w:t>
      </w:r>
    </w:p>
    <w:p>
      <w:pPr>
        <w:tabs>
          <w:tab w:val="center" w:pos="6521"/>
        </w:tabs>
        <w:spacing w:line="360" w:lineRule="auto"/>
        <w:jc w:val="left"/>
        <w:outlineLvl w:val="0"/>
        <w:rPr>
          <w:rFonts w:ascii="宋体" w:hAnsi="宋体"/>
          <w:b/>
          <w:bCs/>
          <w:kern w:val="0"/>
          <w:sz w:val="28"/>
          <w:szCs w:val="28"/>
        </w:rPr>
      </w:pPr>
      <w:bookmarkStart w:id="107" w:name="_Toc527722740"/>
      <w:bookmarkStart w:id="108" w:name="_Toc23123"/>
      <w:r>
        <w:rPr>
          <w:rFonts w:ascii="宋体" w:hAnsi="宋体" w:cs="宋体"/>
          <w:b/>
          <w:bCs/>
          <w:kern w:val="0"/>
          <w:sz w:val="28"/>
          <w:szCs w:val="28"/>
        </w:rPr>
        <w:t>A105050</w:t>
      </w:r>
      <w:r>
        <w:rPr>
          <w:rFonts w:ascii="宋体" w:hAnsi="宋体" w:cs="宋体"/>
          <w:b/>
          <w:bCs/>
          <w:kern w:val="0"/>
          <w:sz w:val="28"/>
          <w:szCs w:val="28"/>
        </w:rPr>
        <w:tab/>
      </w:r>
      <w:r>
        <w:rPr>
          <w:rFonts w:hint="eastAsia" w:ascii="宋体" w:hAnsi="宋体" w:cs="宋体"/>
          <w:b/>
          <w:bCs/>
          <w:kern w:val="0"/>
          <w:sz w:val="28"/>
          <w:szCs w:val="28"/>
        </w:rPr>
        <w:t>职工薪酬支出及纳税调整明细表</w:t>
      </w:r>
      <w:bookmarkEnd w:id="107"/>
      <w:bookmarkEnd w:id="108"/>
    </w:p>
    <w:tbl>
      <w:tblPr>
        <w:tblStyle w:val="25"/>
        <w:tblpPr w:leftFromText="180" w:rightFromText="180" w:tblpXSpec="center" w:tblpY="708"/>
        <w:tblW w:w="133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4732"/>
        <w:gridCol w:w="1039"/>
        <w:gridCol w:w="945"/>
        <w:gridCol w:w="1111"/>
        <w:gridCol w:w="1467"/>
        <w:gridCol w:w="824"/>
        <w:gridCol w:w="1153"/>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行次</w:t>
            </w:r>
          </w:p>
        </w:tc>
        <w:tc>
          <w:tcPr>
            <w:tcW w:w="4732"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spacing w:val="495"/>
                <w:kern w:val="0"/>
                <w:sz w:val="20"/>
                <w:szCs w:val="20"/>
              </w:rPr>
              <w:t>项</w:t>
            </w:r>
            <w:r>
              <w:rPr>
                <w:rFonts w:hint="eastAsia" w:ascii="宋体" w:hAnsi="宋体" w:cs="宋体"/>
                <w:spacing w:val="7"/>
                <w:kern w:val="0"/>
                <w:sz w:val="20"/>
                <w:szCs w:val="20"/>
              </w:rPr>
              <w:t>目</w:t>
            </w:r>
          </w:p>
        </w:tc>
        <w:tc>
          <w:tcPr>
            <w:tcW w:w="103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账载金额</w:t>
            </w:r>
          </w:p>
        </w:tc>
        <w:tc>
          <w:tcPr>
            <w:tcW w:w="945"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实际发生额</w:t>
            </w:r>
          </w:p>
        </w:tc>
        <w:tc>
          <w:tcPr>
            <w:tcW w:w="1111"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税收规定扣除率</w:t>
            </w:r>
          </w:p>
        </w:tc>
        <w:tc>
          <w:tcPr>
            <w:tcW w:w="14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以前年度累计结转扣除额</w:t>
            </w:r>
          </w:p>
        </w:tc>
        <w:tc>
          <w:tcPr>
            <w:tcW w:w="824"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w:t>
            </w:r>
          </w:p>
          <w:p>
            <w:pPr>
              <w:widowControl/>
              <w:jc w:val="center"/>
              <w:rPr>
                <w:rFonts w:ascii="宋体"/>
                <w:kern w:val="0"/>
                <w:sz w:val="20"/>
                <w:szCs w:val="20"/>
              </w:rPr>
            </w:pPr>
            <w:r>
              <w:rPr>
                <w:rFonts w:hint="eastAsia" w:ascii="宋体" w:hAnsi="宋体" w:cs="宋体"/>
                <w:kern w:val="0"/>
                <w:sz w:val="20"/>
                <w:szCs w:val="20"/>
              </w:rPr>
              <w:t>金额</w:t>
            </w:r>
          </w:p>
        </w:tc>
        <w:tc>
          <w:tcPr>
            <w:tcW w:w="1153"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纳税调整金额</w:t>
            </w:r>
          </w:p>
        </w:tc>
        <w:tc>
          <w:tcPr>
            <w:tcW w:w="141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累计结转以后年度扣除额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473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w:t>
            </w:r>
            <w:r>
              <w:rPr>
                <w:rFonts w:ascii="宋体" w:hAnsi="宋体" w:cs="宋体"/>
                <w:kern w:val="0"/>
                <w:sz w:val="20"/>
                <w:szCs w:val="20"/>
              </w:rPr>
              <w:t>1-5</w:t>
            </w:r>
            <w:r>
              <w:rPr>
                <w:rFonts w:hint="eastAsia" w:ascii="宋体" w:hAnsi="宋体" w:cs="宋体"/>
                <w:kern w:val="0"/>
                <w:sz w:val="20"/>
                <w:szCs w:val="20"/>
              </w:rPr>
              <w:t>）</w:t>
            </w: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w:t>
            </w:r>
            <w:r>
              <w:rPr>
                <w:rFonts w:ascii="宋体" w:hAnsi="宋体" w:cs="宋体"/>
                <w:kern w:val="0"/>
                <w:sz w:val="20"/>
                <w:szCs w:val="20"/>
              </w:rPr>
              <w:t>2+4-5</w:t>
            </w: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一、工资薪金支出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其中：股权激励</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二、职工福利费支出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三、职工教育经费支出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其中：按税收规定比例扣除的职工教育经费</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按税收规定全额扣除的职工培训费用</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四、工会经费支出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五、各类基本社会保障性缴款</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六、住房公积金</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七、补充养老保险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八、补充医疗保险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九、其他</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4732"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1+3+4+7+8+9+10+11+12</w:t>
            </w:r>
            <w:r>
              <w:rPr>
                <w:rFonts w:hint="eastAsia" w:ascii="宋体" w:hAnsi="宋体" w:cs="宋体"/>
                <w:kern w:val="0"/>
                <w:sz w:val="20"/>
                <w:szCs w:val="20"/>
              </w:rPr>
              <w:t>）</w:t>
            </w:r>
          </w:p>
        </w:tc>
        <w:tc>
          <w:tcPr>
            <w:tcW w:w="103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109" w:name="_Toc527722741"/>
      <w:bookmarkStart w:id="110" w:name="_Toc8424"/>
      <w:r>
        <w:rPr>
          <w:rFonts w:ascii="宋体" w:hAnsi="宋体" w:cs="方正小标宋简体"/>
          <w:b/>
          <w:kern w:val="44"/>
          <w:sz w:val="28"/>
          <w:szCs w:val="28"/>
        </w:rPr>
        <w:t>A105050</w:t>
      </w:r>
      <w:r>
        <w:rPr>
          <w:rFonts w:hint="eastAsia" w:ascii="宋体" w:hAnsi="宋体" w:cs="方正小标宋简体"/>
          <w:b/>
          <w:kern w:val="44"/>
          <w:sz w:val="28"/>
          <w:szCs w:val="28"/>
        </w:rPr>
        <w:t>《职工薪酬支出及纳税调整明细表》填报说明</w:t>
      </w:r>
      <w:bookmarkEnd w:id="109"/>
      <w:bookmarkEnd w:id="110"/>
    </w:p>
    <w:p>
      <w:pPr>
        <w:spacing w:line="360" w:lineRule="auto"/>
        <w:ind w:firstLine="480" w:firstLineChars="200"/>
        <w:rPr>
          <w:rFonts w:ascii="宋体"/>
          <w:sz w:val="24"/>
        </w:rPr>
      </w:pPr>
      <w:r>
        <w:rPr>
          <w:rFonts w:hint="eastAsia" w:ascii="宋体" w:hAnsi="宋体" w:cs="宋体"/>
          <w:sz w:val="24"/>
        </w:rPr>
        <w:t>纳税人根据税法、《国家税务总局关于企业工资薪金及职工福利费扣除问题的通知》（国税函〔</w:t>
      </w:r>
      <w:r>
        <w:rPr>
          <w:rFonts w:ascii="宋体" w:hAnsi="宋体" w:cs="宋体"/>
          <w:sz w:val="24"/>
        </w:rPr>
        <w:t>2009</w:t>
      </w:r>
      <w:r>
        <w:rPr>
          <w:rFonts w:hint="eastAsia" w:ascii="宋体" w:hAnsi="宋体" w:cs="宋体"/>
          <w:sz w:val="24"/>
        </w:rPr>
        <w:t>〕</w:t>
      </w:r>
      <w:r>
        <w:rPr>
          <w:rFonts w:ascii="宋体" w:hAnsi="宋体" w:cs="宋体"/>
          <w:sz w:val="24"/>
        </w:rPr>
        <w:t>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国家税务总局关于扶持动漫产业发展有关税收政策问题的通知》（财税〔</w:t>
      </w:r>
      <w:r>
        <w:rPr>
          <w:rFonts w:ascii="宋体" w:hAnsi="宋体" w:cs="宋体"/>
          <w:sz w:val="24"/>
        </w:rPr>
        <w:t>2009</w:t>
      </w:r>
      <w:r>
        <w:rPr>
          <w:rFonts w:hint="eastAsia" w:ascii="宋体" w:hAnsi="宋体" w:cs="宋体"/>
          <w:sz w:val="24"/>
        </w:rPr>
        <w:t>〕</w:t>
      </w:r>
      <w:r>
        <w:rPr>
          <w:rFonts w:ascii="宋体" w:hAnsi="宋体" w:cs="宋体"/>
          <w:sz w:val="24"/>
        </w:rPr>
        <w:t>65</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国家税务总局关于进一步鼓励软件产业和集成电路产业发展企业所得税政策的通知》（财税〔</w:t>
      </w:r>
      <w:r>
        <w:rPr>
          <w:rFonts w:ascii="宋体" w:hAnsi="宋体" w:cs="宋体"/>
          <w:sz w:val="24"/>
        </w:rPr>
        <w:t>2012</w:t>
      </w:r>
      <w:r>
        <w:rPr>
          <w:rFonts w:hint="eastAsia" w:ascii="宋体" w:hAnsi="宋体" w:cs="宋体"/>
          <w:sz w:val="24"/>
        </w:rPr>
        <w:t>〕</w:t>
      </w:r>
      <w:r>
        <w:rPr>
          <w:rFonts w:ascii="宋体" w:hAnsi="宋体" w:cs="宋体"/>
          <w:sz w:val="24"/>
        </w:rPr>
        <w:t>27</w:t>
      </w:r>
      <w:r>
        <w:rPr>
          <w:rFonts w:hint="eastAsia" w:ascii="宋体" w:hAnsi="宋体" w:cs="宋体"/>
          <w:sz w:val="24"/>
        </w:rPr>
        <w:t>号）、《国家税务总局关于我国居民企业实行股权激励计划有关企业所得税处理问题的公告》（国家税务总局公告</w:t>
      </w:r>
      <w:r>
        <w:rPr>
          <w:rFonts w:ascii="宋体" w:hAnsi="宋体" w:cs="宋体"/>
          <w:sz w:val="24"/>
        </w:rPr>
        <w:t>2012</w:t>
      </w:r>
      <w:r>
        <w:rPr>
          <w:rFonts w:hint="eastAsia" w:ascii="宋体" w:hAnsi="宋体" w:cs="宋体"/>
          <w:sz w:val="24"/>
        </w:rPr>
        <w:t>年第</w:t>
      </w:r>
      <w:r>
        <w:rPr>
          <w:rFonts w:ascii="宋体" w:hAnsi="宋体" w:cs="宋体"/>
          <w:sz w:val="24"/>
        </w:rPr>
        <w:t>18</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w:t>
      </w:r>
      <w:r>
        <w:rPr>
          <w:rFonts w:ascii="宋体" w:hAnsi="宋体" w:cs="宋体"/>
          <w:sz w:val="24"/>
        </w:rPr>
        <w:t xml:space="preserve"> </w:t>
      </w:r>
      <w:r>
        <w:rPr>
          <w:rFonts w:hint="eastAsia" w:ascii="宋体" w:hAnsi="宋体" w:cs="宋体"/>
          <w:sz w:val="24"/>
        </w:rPr>
        <w:t>商务部</w:t>
      </w:r>
      <w:r>
        <w:rPr>
          <w:rFonts w:ascii="宋体" w:hAnsi="宋体" w:cs="宋体"/>
          <w:sz w:val="24"/>
        </w:rPr>
        <w:t xml:space="preserve"> </w:t>
      </w:r>
      <w:r>
        <w:rPr>
          <w:rFonts w:hint="eastAsia" w:ascii="宋体" w:hAnsi="宋体" w:cs="宋体"/>
          <w:sz w:val="24"/>
        </w:rPr>
        <w:t>科技部</w:t>
      </w:r>
      <w:r>
        <w:rPr>
          <w:rFonts w:ascii="宋体" w:hAnsi="宋体" w:cs="宋体"/>
          <w:sz w:val="24"/>
        </w:rPr>
        <w:t xml:space="preserve"> </w:t>
      </w:r>
      <w:r>
        <w:rPr>
          <w:rFonts w:hint="eastAsia" w:ascii="宋体" w:hAnsi="宋体" w:cs="宋体"/>
          <w:sz w:val="24"/>
        </w:rPr>
        <w:t>国家发展改革委关于完善技术先进型服务企业有关企业所得税政策问题的通知》（财税〔</w:t>
      </w:r>
      <w:r>
        <w:rPr>
          <w:rFonts w:ascii="宋体" w:hAnsi="宋体" w:cs="宋体"/>
          <w:sz w:val="24"/>
        </w:rPr>
        <w:t>2014</w:t>
      </w:r>
      <w:r>
        <w:rPr>
          <w:rFonts w:hint="eastAsia" w:ascii="宋体" w:hAnsi="宋体" w:cs="宋体"/>
          <w:sz w:val="24"/>
        </w:rPr>
        <w:t>〕</w:t>
      </w:r>
      <w:r>
        <w:rPr>
          <w:rFonts w:ascii="宋体" w:hAnsi="宋体" w:cs="宋体"/>
          <w:sz w:val="24"/>
        </w:rPr>
        <w:t>59</w:t>
      </w:r>
      <w:r>
        <w:rPr>
          <w:rFonts w:hint="eastAsia" w:ascii="宋体" w:hAnsi="宋体" w:cs="宋体"/>
          <w:sz w:val="24"/>
        </w:rPr>
        <w:t>号）、《国家税务总局关于企业工资薪金和职工福利费等支出税前扣除问题的公告》（国家税务总局公告</w:t>
      </w:r>
      <w:r>
        <w:rPr>
          <w:rFonts w:ascii="宋体" w:hAnsi="宋体" w:cs="宋体"/>
          <w:sz w:val="24"/>
        </w:rPr>
        <w:t>2015</w:t>
      </w:r>
      <w:r>
        <w:rPr>
          <w:rFonts w:hint="eastAsia" w:ascii="宋体" w:hAnsi="宋体" w:cs="宋体"/>
          <w:sz w:val="24"/>
        </w:rPr>
        <w:t>年第</w:t>
      </w:r>
      <w:r>
        <w:rPr>
          <w:rFonts w:ascii="宋体" w:hAnsi="宋体" w:cs="宋体"/>
          <w:sz w:val="24"/>
        </w:rPr>
        <w:t>34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税务总局关于企业职工教育经费税前扣除政策的通知》（财税〔</w:t>
      </w:r>
      <w:r>
        <w:rPr>
          <w:rFonts w:ascii="宋体" w:hAnsi="宋体" w:cs="宋体"/>
          <w:sz w:val="24"/>
        </w:rPr>
        <w:t>2018</w:t>
      </w:r>
      <w:r>
        <w:rPr>
          <w:rFonts w:hint="eastAsia" w:ascii="宋体" w:hAnsi="宋体" w:cs="宋体"/>
          <w:sz w:val="24"/>
        </w:rPr>
        <w:t>〕</w:t>
      </w:r>
      <w:r>
        <w:rPr>
          <w:rFonts w:ascii="宋体" w:hAnsi="宋体" w:cs="宋体"/>
          <w:sz w:val="24"/>
        </w:rPr>
        <w:t>51</w:t>
      </w:r>
      <w:r>
        <w:rPr>
          <w:rFonts w:hint="eastAsia" w:ascii="宋体" w:hAnsi="宋体" w:cs="宋体"/>
          <w:sz w:val="24"/>
        </w:rPr>
        <w:t>号）等相关规定，以及国家统一企业会计制度，填报纳税人职工薪酬会计处理、税收规定，以及纳税调整情况。纳税人只要发生相关支出，不论是否纳税调整，均需填报。</w:t>
      </w:r>
    </w:p>
    <w:p>
      <w:pPr>
        <w:spacing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480" w:firstLineChars="200"/>
        <w:rPr>
          <w:rFonts w:ascii="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行“一、工资薪金支出”：填报纳税人本年度支付给在本企业任职或者受雇的员工的所有现金形式或非现金形式的劳动报酬及其会计核算、纳税调整等金额，具体如下：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列“账载金额”：填报纳税人会计核算计入成本费用的职工工资、奖金、津贴和补贴金额。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列“实际发生额”：分析填报纳税人“应付职工薪酬”会计科目借方发生额（实际发放的工资薪金）。</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列“税收金额”：填报纳税人按照税收规定允许税前扣除的金额，按照第</w:t>
      </w:r>
      <w:r>
        <w:rPr>
          <w:rFonts w:ascii="宋体" w:hAnsi="宋体" w:cs="宋体"/>
          <w:sz w:val="24"/>
        </w:rPr>
        <w:t>1</w:t>
      </w:r>
      <w:r>
        <w:rPr>
          <w:rFonts w:hint="eastAsia" w:ascii="宋体" w:hAnsi="宋体" w:cs="宋体"/>
          <w:sz w:val="24"/>
        </w:rPr>
        <w:t>列和第</w:t>
      </w:r>
      <w:r>
        <w:rPr>
          <w:rFonts w:ascii="宋体" w:hAnsi="宋体" w:cs="宋体"/>
          <w:sz w:val="24"/>
        </w:rPr>
        <w:t>2</w:t>
      </w:r>
      <w:r>
        <w:rPr>
          <w:rFonts w:hint="eastAsia" w:ascii="宋体" w:hAnsi="宋体" w:cs="宋体"/>
          <w:sz w:val="24"/>
        </w:rPr>
        <w:t>列分析填报。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行“股权激励”：适用于执行《上市公司股权激励管理办法》（中国证券监督管理委员会令第</w:t>
      </w:r>
      <w:r>
        <w:rPr>
          <w:rFonts w:ascii="宋体" w:hAnsi="宋体" w:cs="宋体"/>
          <w:sz w:val="24"/>
        </w:rPr>
        <w:t>126</w:t>
      </w:r>
      <w:r>
        <w:rPr>
          <w:rFonts w:hint="eastAsia" w:ascii="宋体" w:hAnsi="宋体" w:cs="宋体"/>
          <w:sz w:val="24"/>
        </w:rPr>
        <w:t>号）的纳税人填报，具体如下：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列“账载金额”：填报纳税人按照国家有关规定建立职工股权激励计划，会计核算计入成本费用的金额。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列“实际发生额”：填报纳税人根据本年实际行权时股权的公允价格与激励对象实际行权支付价格的差额和数量计算确定的金额。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列“税收金额”：填报行权时按照税收规定允许税前扣除的金额，按第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行“二、职工福利费支出”：填报纳税人本年度发生的职工福利费及其会计核算、纳税调整等金额，具体如下：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列“账载金额”：填报纳税人会计核算计入成本费用的职工福利费的金额。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列“实际发生额”：分析填报纳税人“应付职工薪酬”会计科目下的职工福利费实际发生额。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行“三、职工教育经费支出”：填报第</w:t>
      </w:r>
      <w:r>
        <w:rPr>
          <w:rFonts w:ascii="宋体" w:hAnsi="宋体" w:cs="宋体"/>
          <w:sz w:val="24"/>
        </w:rPr>
        <w:t>5</w:t>
      </w:r>
      <w:r>
        <w:rPr>
          <w:rFonts w:hint="eastAsia" w:ascii="宋体" w:hAnsi="宋体" w:cs="宋体"/>
          <w:sz w:val="24"/>
        </w:rPr>
        <w:t>行金额或者第</w:t>
      </w:r>
      <w:r>
        <w:rPr>
          <w:rFonts w:ascii="宋体" w:hAnsi="宋体" w:cs="宋体"/>
          <w:sz w:val="24"/>
        </w:rPr>
        <w:t>5+6</w:t>
      </w:r>
      <w:r>
        <w:rPr>
          <w:rFonts w:hint="eastAsia" w:ascii="宋体" w:hAnsi="宋体" w:cs="宋体"/>
          <w:sz w:val="24"/>
        </w:rPr>
        <w:t>行金额。</w:t>
      </w:r>
    </w:p>
    <w:p>
      <w:pPr>
        <w:spacing w:line="360" w:lineRule="auto"/>
        <w:ind w:firstLine="480" w:firstLineChars="200"/>
        <w:rPr>
          <w:rFonts w:ascii="宋体"/>
          <w:sz w:val="24"/>
        </w:rPr>
      </w:pP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行“按税收规定比例扣除的职工教育经费”：适用于按照税收规定职工教育经费按比例税前扣除的纳税人填报，填报纳税人本年度发生的按税收规定比例扣除的职工教育经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列“账载金额”填报纳税人会计核算计入成本费用的按税收规定比例扣除的职工教育经费金额，不包括第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列“实际发生额”：分析填报纳税人“应付职工薪酬”会计科目下的职工教育经费实际发生额，不包括第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列“以前年度累计结转扣除额”：填报纳税人以前年度累计结转准予扣除的职工教育经费支出余额。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列“税收金额”：填报纳税人按照税收规定允许税前扣除的金额（不包括第</w:t>
      </w:r>
      <w:r>
        <w:rPr>
          <w:rFonts w:ascii="宋体" w:hAnsi="宋体" w:cs="宋体"/>
          <w:sz w:val="24"/>
        </w:rPr>
        <w:t>6</w:t>
      </w:r>
      <w:r>
        <w:rPr>
          <w:rFonts w:hint="eastAsia" w:ascii="宋体" w:hAnsi="宋体" w:cs="宋体"/>
          <w:sz w:val="24"/>
        </w:rPr>
        <w:t>行“按税收规定全额扣除的职工培训费用”金额），按第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2+4</w:t>
      </w:r>
      <w:r>
        <w:rPr>
          <w:rFonts w:hint="eastAsia" w:ascii="宋体" w:hAnsi="宋体" w:cs="宋体"/>
          <w:sz w:val="24"/>
        </w:rPr>
        <w:t>列的孰小值填报。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列“累计结转以后年度扣除额”：填报第</w:t>
      </w:r>
      <w:r>
        <w:rPr>
          <w:rFonts w:ascii="宋体" w:hAnsi="宋体" w:cs="宋体"/>
          <w:sz w:val="24"/>
        </w:rPr>
        <w:t>2+4-5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行“按税收规定全额扣除的职工培训费用”：适用于按照税收规定职工培训费用允许全额税前扣除的纳税人填报，填报纳税人本年度发生的按税收规定全额扣除的职工培训费用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列“实际发生额”：分析填报纳税人“应付职工薪酬”会计科目下的职工教育经费本年实际发生额中可全额扣除的职工培训费用金额。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r>
        <w:rPr>
          <w:rFonts w:ascii="宋体" w:hAnsi="宋体" w:cs="宋体"/>
          <w:sz w:val="24"/>
        </w:rPr>
        <w:t>100%</w:t>
      </w:r>
      <w:r>
        <w:rPr>
          <w:rFonts w:hint="eastAsia" w:ascii="宋体" w:hAnsi="宋体" w:cs="宋体"/>
          <w:sz w:val="24"/>
        </w:rPr>
        <w:t>）。</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行“四、工会经费支出”：填报纳税人本年度拨缴工会经费及其会计核算、纳税调整等金额，具体如下：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列“账载金额”：填报纳税人会计核算计入成本费用的工会经费支出金额。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列“实际发生额”：分析填报纳税人“应付职工薪酬”会计科目下的工会经费本年实际发生额。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8.</w:t>
      </w:r>
      <w:r>
        <w:rPr>
          <w:rFonts w:hint="eastAsia" w:ascii="宋体" w:hAnsi="宋体" w:cs="宋体"/>
          <w:sz w:val="24"/>
        </w:rPr>
        <w:t>第</w:t>
      </w:r>
      <w:r>
        <w:rPr>
          <w:rFonts w:ascii="宋体" w:hAnsi="宋体" w:cs="宋体"/>
          <w:sz w:val="24"/>
        </w:rPr>
        <w:t>8</w:t>
      </w:r>
      <w:r>
        <w:rPr>
          <w:rFonts w:hint="eastAsia" w:ascii="宋体" w:hAnsi="宋体" w:cs="宋体"/>
          <w:sz w:val="24"/>
        </w:rPr>
        <w:t>行“五、各类基本社会保障性缴款”：填报纳税人依照国务院有关主管部门或者省级人民政府规定的范围和标准为职工缴纳的基本社会保险费及其会计核算、纳税调整等金额，具体如下：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列“账载金额”：填报纳税人会计核算的各类基本社会保障性缴款的金额。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列“实际发生额”：分析填报纳税人“应付职工薪酬”会计科目下的各类基本社会保障性缴款本年实际发生额。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列“税收金额”：填报按照税收规定允许税前扣除的各类基本社会保障性缴款的金额，按纳税人依照国务院有关主管部门或者省级人民政府规定的范围和标准计算的各类基本社会保障性缴款的金额、第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9.</w:t>
      </w:r>
      <w:r>
        <w:rPr>
          <w:rFonts w:hint="eastAsia" w:ascii="宋体" w:hAnsi="宋体" w:cs="宋体"/>
          <w:sz w:val="24"/>
        </w:rPr>
        <w:t>第</w:t>
      </w:r>
      <w:r>
        <w:rPr>
          <w:rFonts w:ascii="宋体" w:hAnsi="宋体" w:cs="宋体"/>
          <w:sz w:val="24"/>
        </w:rPr>
        <w:t>9</w:t>
      </w:r>
      <w:r>
        <w:rPr>
          <w:rFonts w:hint="eastAsia" w:ascii="宋体" w:hAnsi="宋体" w:cs="宋体"/>
          <w:sz w:val="24"/>
        </w:rPr>
        <w:t>行“六、住房公积金”：填报纳税人依照国务院有关主管部门或者省级人民政府规定的范围和标准为职工缴纳的住房公积金及其会计核算、纳税调整等金额，具体如下：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列“账载金额”：填报纳税人会计核算的住房公积金金额。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列“实际发生额”：分析填报纳税人“应付职工薪酬”会计科目下的住房公积金本年实际发生额。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列“税收金额”：填报按照税收规定允许税前扣除的住房公积金金额，按纳税人依照国务院有关主管部门或者省级人民政府规定的范围和标准计算的住房公积金金额、第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10.</w:t>
      </w:r>
      <w:r>
        <w:rPr>
          <w:rFonts w:hint="eastAsia" w:ascii="宋体" w:hAnsi="宋体" w:cs="宋体"/>
          <w:sz w:val="24"/>
        </w:rPr>
        <w:t>第</w:t>
      </w:r>
      <w:r>
        <w:rPr>
          <w:rFonts w:ascii="宋体" w:hAnsi="宋体" w:cs="宋体"/>
          <w:sz w:val="24"/>
        </w:rPr>
        <w:t>10</w:t>
      </w:r>
      <w:r>
        <w:rPr>
          <w:rFonts w:hint="eastAsia" w:ascii="宋体" w:hAnsi="宋体" w:cs="宋体"/>
          <w:sz w:val="24"/>
        </w:rPr>
        <w:t>行“七、补充养老保险”：填报纳税人为投资者或者职工支付的补充养老保险费及其会计核算、纳税调整等金额，具体如下：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列“账载金额”：填报纳税人会计核算的补充养老保险金额。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列“实际发生额”：分析填报纳税人“应付职工薪酬”会计科目下的补充养老保险本年实际发生额。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列“税收金额”：填报按照税收规定允许税前扣除的补充养老保险的金额，按第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11.</w:t>
      </w:r>
      <w:r>
        <w:rPr>
          <w:rFonts w:hint="eastAsia" w:ascii="宋体" w:hAnsi="宋体" w:cs="宋体"/>
          <w:sz w:val="24"/>
        </w:rPr>
        <w:t>第</w:t>
      </w:r>
      <w:r>
        <w:rPr>
          <w:rFonts w:ascii="宋体" w:hAnsi="宋体" w:cs="宋体"/>
          <w:sz w:val="24"/>
        </w:rPr>
        <w:t>11</w:t>
      </w:r>
      <w:r>
        <w:rPr>
          <w:rFonts w:hint="eastAsia" w:ascii="宋体" w:hAnsi="宋体" w:cs="宋体"/>
          <w:sz w:val="24"/>
        </w:rPr>
        <w:t>行“八、补充医疗保险”：填报纳税人为投资者或者职工支付的补充医疗保险费及其会计核算、纳税调整等金额，具体如下：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列“账载金额”：填报纳税人会计核算的补充医疗保险金额。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列“实际发生额”：分析填报纳税人“应付职工薪酬”会计科目下的补充医疗保险本年实际发生额。</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列“税收金额”：填报按照税收规定允许税前扣除的补充医疗保险的金额，按第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12.</w:t>
      </w:r>
      <w:r>
        <w:rPr>
          <w:rFonts w:hint="eastAsia" w:ascii="宋体" w:hAnsi="宋体" w:cs="宋体"/>
          <w:sz w:val="24"/>
        </w:rPr>
        <w:t>第</w:t>
      </w:r>
      <w:r>
        <w:rPr>
          <w:rFonts w:ascii="宋体" w:hAnsi="宋体" w:cs="宋体"/>
          <w:sz w:val="24"/>
        </w:rPr>
        <w:t>12</w:t>
      </w:r>
      <w:r>
        <w:rPr>
          <w:rFonts w:hint="eastAsia" w:ascii="宋体" w:hAnsi="宋体" w:cs="宋体"/>
          <w:sz w:val="24"/>
        </w:rPr>
        <w:t>行“九、其他”：填报其他职工薪酬的金额及其会计核算、纳税调整等金额。</w:t>
      </w:r>
    </w:p>
    <w:p>
      <w:pPr>
        <w:spacing w:line="360" w:lineRule="auto"/>
        <w:ind w:firstLine="480" w:firstLineChars="200"/>
        <w:rPr>
          <w:rFonts w:ascii="宋体" w:hAnsi="宋体"/>
          <w:sz w:val="24"/>
        </w:rPr>
      </w:pPr>
      <w:r>
        <w:rPr>
          <w:rFonts w:ascii="宋体" w:hAnsi="宋体" w:cs="宋体"/>
          <w:sz w:val="24"/>
        </w:rPr>
        <w:t>13.</w:t>
      </w:r>
      <w:r>
        <w:rPr>
          <w:rFonts w:hint="eastAsia" w:ascii="宋体" w:hAnsi="宋体" w:cs="宋体"/>
          <w:sz w:val="24"/>
        </w:rPr>
        <w:t>第</w:t>
      </w:r>
      <w:r>
        <w:rPr>
          <w:rFonts w:ascii="宋体" w:hAnsi="宋体" w:cs="宋体"/>
          <w:sz w:val="24"/>
        </w:rPr>
        <w:t>13</w:t>
      </w:r>
      <w:r>
        <w:rPr>
          <w:rFonts w:hint="eastAsia" w:ascii="宋体" w:hAnsi="宋体" w:cs="宋体"/>
          <w:sz w:val="24"/>
        </w:rPr>
        <w:t>行“合计”：填报第</w:t>
      </w:r>
      <w:r>
        <w:rPr>
          <w:rFonts w:ascii="宋体" w:hAnsi="宋体" w:cs="宋体"/>
          <w:sz w:val="24"/>
        </w:rPr>
        <w:t>1+3+4+7+8+9+10+11+12</w:t>
      </w:r>
      <w:r>
        <w:rPr>
          <w:rFonts w:hint="eastAsia" w:ascii="宋体" w:hAnsi="宋体" w:cs="宋体"/>
          <w:sz w:val="24"/>
        </w:rPr>
        <w:t>行金额。</w:t>
      </w:r>
    </w:p>
    <w:p>
      <w:pPr>
        <w:spacing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5</w:t>
      </w:r>
      <w:r>
        <w:rPr>
          <w:rFonts w:hint="eastAsia" w:ascii="宋体" w:hAnsi="宋体" w:cs="宋体"/>
          <w:sz w:val="24"/>
        </w:rPr>
        <w:t>行或第</w:t>
      </w:r>
      <w:r>
        <w:rPr>
          <w:rFonts w:ascii="宋体" w:hAnsi="宋体" w:cs="宋体"/>
          <w:sz w:val="24"/>
        </w:rPr>
        <w:t>5+6</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1+3+4+7+8+9+10+11+12</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列＝第</w:t>
      </w:r>
      <w:r>
        <w:rPr>
          <w:rFonts w:ascii="宋体" w:hAnsi="宋体" w:cs="宋体"/>
          <w:sz w:val="24"/>
        </w:rPr>
        <w:t>1-5</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第</w:t>
      </w:r>
      <w:r>
        <w:rPr>
          <w:rFonts w:ascii="宋体" w:hAnsi="宋体" w:cs="宋体"/>
          <w:sz w:val="24"/>
        </w:rPr>
        <w:t>7</w:t>
      </w:r>
      <w:r>
        <w:rPr>
          <w:rFonts w:hint="eastAsia" w:ascii="宋体" w:hAnsi="宋体" w:cs="宋体"/>
          <w:sz w:val="24"/>
        </w:rPr>
        <w:t>列＝第</w:t>
      </w:r>
      <w:r>
        <w:rPr>
          <w:rFonts w:ascii="宋体" w:hAnsi="宋体" w:cs="宋体"/>
          <w:sz w:val="24"/>
        </w:rPr>
        <w:t>2+4-5</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5</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r>
        <w:rPr>
          <w:rFonts w:ascii="宋体" w:hAnsi="宋体" w:cs="宋体"/>
          <w:sz w:val="24"/>
        </w:rPr>
        <w:t>3.</w:t>
      </w:r>
      <w:r>
        <w:rPr>
          <w:rFonts w:hint="eastAsia" w:ascii="宋体" w:hAnsi="宋体" w:cs="宋体"/>
          <w:sz w:val="24"/>
        </w:rPr>
        <w:t>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列的绝对值＝表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tabs>
          <w:tab w:val="center" w:pos="4678"/>
        </w:tabs>
        <w:spacing w:line="360" w:lineRule="auto"/>
        <w:jc w:val="left"/>
        <w:outlineLvl w:val="0"/>
        <w:rPr>
          <w:rFonts w:ascii="宋体" w:hAnsi="宋体" w:cs="宋体"/>
          <w:b/>
          <w:bCs/>
          <w:kern w:val="0"/>
          <w:sz w:val="28"/>
          <w:szCs w:val="28"/>
        </w:rPr>
      </w:pPr>
      <w:bookmarkStart w:id="111" w:name="_Toc499456581"/>
      <w:bookmarkStart w:id="112" w:name="_Toc24965027"/>
      <w:bookmarkStart w:id="113" w:name="_Toc26048"/>
      <w:r>
        <w:rPr>
          <w:rFonts w:ascii="宋体" w:hAnsi="宋体" w:cs="宋体"/>
          <w:b/>
          <w:bCs/>
          <w:kern w:val="0"/>
          <w:sz w:val="28"/>
          <w:szCs w:val="28"/>
        </w:rPr>
        <w:t>A105060</w:t>
      </w:r>
      <w:r>
        <w:rPr>
          <w:rFonts w:ascii="宋体" w:hAnsi="宋体" w:cs="宋体"/>
          <w:b/>
          <w:bCs/>
          <w:kern w:val="0"/>
          <w:sz w:val="28"/>
          <w:szCs w:val="28"/>
        </w:rPr>
        <w:tab/>
      </w:r>
      <w:r>
        <w:rPr>
          <w:rFonts w:hint="eastAsia" w:ascii="宋体" w:hAnsi="宋体" w:cs="宋体"/>
          <w:b/>
          <w:bCs/>
          <w:kern w:val="0"/>
          <w:sz w:val="28"/>
          <w:szCs w:val="28"/>
        </w:rPr>
        <w:t>广告费和业务宣传费等跨年度纳税调整明细表</w:t>
      </w:r>
      <w:bookmarkEnd w:id="111"/>
      <w:bookmarkEnd w:id="112"/>
      <w:bookmarkEnd w:id="113"/>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956"/>
        <w:gridCol w:w="1276"/>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6956"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spacing w:val="500"/>
                <w:kern w:val="0"/>
                <w:sz w:val="20"/>
                <w:szCs w:val="20"/>
              </w:rPr>
              <w:t>项</w:t>
            </w:r>
            <w:r>
              <w:rPr>
                <w:rFonts w:hint="eastAsia" w:ascii="宋体" w:hAnsi="宋体" w:cs="宋体"/>
                <w:kern w:val="0"/>
                <w:sz w:val="20"/>
                <w:szCs w:val="20"/>
              </w:rPr>
              <w:t>目</w:t>
            </w:r>
          </w:p>
        </w:tc>
        <w:tc>
          <w:tcPr>
            <w:tcW w:w="127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广告费和</w:t>
            </w:r>
          </w:p>
          <w:p>
            <w:pPr>
              <w:widowControl/>
              <w:jc w:val="center"/>
              <w:rPr>
                <w:rFonts w:ascii="宋体" w:cs="宋体"/>
                <w:kern w:val="0"/>
                <w:sz w:val="20"/>
                <w:szCs w:val="20"/>
              </w:rPr>
            </w:pPr>
            <w:r>
              <w:rPr>
                <w:rFonts w:hint="eastAsia" w:ascii="宋体" w:hAnsi="宋体" w:cs="宋体"/>
                <w:kern w:val="0"/>
                <w:sz w:val="20"/>
                <w:szCs w:val="20"/>
              </w:rPr>
              <w:t>业务宣传费</w:t>
            </w:r>
          </w:p>
        </w:tc>
        <w:tc>
          <w:tcPr>
            <w:tcW w:w="127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hint="eastAsia" w:ascii="宋体" w:hAnsi="宋体" w:cs="宋体"/>
                <w:kern w:val="0"/>
                <w:sz w:val="20"/>
                <w:szCs w:val="20"/>
              </w:rPr>
              <w:t>保险企业手续费及佣金支出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p>
        </w:tc>
        <w:tc>
          <w:tcPr>
            <w:tcW w:w="69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一、本年支出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减：不允许扣除的支出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二、本年符合条件的支出（</w:t>
            </w:r>
            <w:r>
              <w:rPr>
                <w:rFonts w:ascii="宋体" w:hAnsi="宋体" w:cs="宋体"/>
                <w:kern w:val="0"/>
                <w:sz w:val="20"/>
                <w:szCs w:val="20"/>
              </w:rPr>
              <w:t>1-2</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三、本年计算扣除限额的基数</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乘：税收规定扣除率</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四、本企业计算的扣除限额（</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5</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五、本年结转以后年度扣除额</w:t>
            </w:r>
          </w:p>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=3-6</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8</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加：以前年度累计结转扣除额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减：本年扣除的以前年度结转额</w:t>
            </w:r>
          </w:p>
          <w:p>
            <w:pPr>
              <w:widowControl/>
              <w:ind w:firstLine="400" w:firstLineChars="200"/>
              <w:jc w:val="left"/>
              <w:rPr>
                <w:rFonts w:ascii="宋体" w:cs="宋体"/>
                <w:kern w:val="0"/>
                <w:sz w:val="20"/>
                <w:szCs w:val="20"/>
              </w:rPr>
            </w:pP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=8</w:t>
            </w:r>
            <w:r>
              <w:rPr>
                <w:rFonts w:hint="eastAsia" w:ascii="宋体" w:hAnsi="宋体" w:cs="宋体"/>
                <w:kern w:val="0"/>
                <w:sz w:val="20"/>
                <w:szCs w:val="20"/>
              </w:rPr>
              <w:t>与（</w:t>
            </w:r>
            <w:r>
              <w:rPr>
                <w:rFonts w:ascii="宋体" w:hAnsi="宋体" w:cs="宋体"/>
                <w:kern w:val="0"/>
                <w:sz w:val="20"/>
                <w:szCs w:val="20"/>
              </w:rPr>
              <w:t>6-3</w:t>
            </w:r>
            <w:r>
              <w:rPr>
                <w:rFonts w:hint="eastAsia" w:ascii="宋体" w:hAnsi="宋体" w:cs="宋体"/>
                <w:kern w:val="0"/>
                <w:sz w:val="20"/>
                <w:szCs w:val="20"/>
              </w:rPr>
              <w:t>）孰小值</w:t>
            </w:r>
            <w:r>
              <w:rPr>
                <w:rFonts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六、按照分摊协议归集至其他关联方的金额（</w:t>
            </w:r>
            <w:r>
              <w:rPr>
                <w:rFonts w:ascii="宋体" w:hAnsi="宋体" w:cs="宋体"/>
                <w:kern w:val="0"/>
                <w:sz w:val="20"/>
                <w:szCs w:val="20"/>
              </w:rPr>
              <w:t>10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与</w:t>
            </w:r>
            <w:r>
              <w:rPr>
                <w:rFonts w:ascii="宋体" w:hAnsi="宋体" w:cs="宋体"/>
                <w:kern w:val="0"/>
                <w:sz w:val="20"/>
                <w:szCs w:val="20"/>
              </w:rPr>
              <w:t>6</w:t>
            </w:r>
            <w:r>
              <w:rPr>
                <w:rFonts w:hint="eastAsia" w:ascii="宋体" w:hAnsi="宋体" w:cs="宋体"/>
                <w:kern w:val="0"/>
                <w:sz w:val="20"/>
                <w:szCs w:val="20"/>
              </w:rPr>
              <w:t>孰小值）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按照分摊协议从其他关联方归集至本企业的金额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七、本年支出纳税调整金额</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=2+3-6+10-11</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=2+10-11-9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695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八、累计结转以后年度扣除额（</w:t>
            </w:r>
            <w:r>
              <w:rPr>
                <w:rFonts w:ascii="宋体" w:hAnsi="宋体" w:cs="宋体"/>
                <w:kern w:val="0"/>
                <w:sz w:val="20"/>
                <w:szCs w:val="20"/>
              </w:rPr>
              <w:t>7+8-9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cs="宋体"/>
                <w:kern w:val="0"/>
                <w:sz w:val="20"/>
                <w:szCs w:val="20"/>
              </w:rPr>
            </w:pPr>
          </w:p>
        </w:tc>
      </w:tr>
    </w:tbl>
    <w:p>
      <w:pPr>
        <w:sectPr>
          <w:pgSz w:w="11906" w:h="16838"/>
          <w:pgMar w:top="1134" w:right="1418" w:bottom="1134" w:left="1418" w:header="851" w:footer="992" w:gutter="113"/>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114" w:name="_Toc499456582"/>
      <w:bookmarkStart w:id="115" w:name="_Toc24965028"/>
      <w:bookmarkStart w:id="116" w:name="_Toc4957"/>
      <w:r>
        <w:rPr>
          <w:rFonts w:ascii="宋体" w:hAnsi="宋体" w:cs="宋体"/>
          <w:b/>
          <w:kern w:val="44"/>
          <w:sz w:val="28"/>
          <w:szCs w:val="28"/>
          <w:lang w:val="zh-CN"/>
        </w:rPr>
        <w:t>A105060</w:t>
      </w:r>
      <w:r>
        <w:rPr>
          <w:rFonts w:hint="eastAsia" w:ascii="宋体" w:hAnsi="宋体" w:cs="宋体"/>
          <w:b/>
          <w:kern w:val="44"/>
          <w:sz w:val="28"/>
          <w:szCs w:val="28"/>
          <w:lang w:val="zh-CN"/>
        </w:rPr>
        <w:t>《广告费和业务宣传费等跨年度纳税调整明细表》</w:t>
      </w:r>
      <w:r>
        <w:rPr>
          <w:rFonts w:ascii="宋体" w:hAnsi="宋体" w:cs="宋体"/>
          <w:b/>
          <w:kern w:val="44"/>
          <w:sz w:val="28"/>
          <w:szCs w:val="28"/>
          <w:lang w:val="zh-CN"/>
        </w:rPr>
        <w:br w:type="textWrapping"/>
      </w:r>
      <w:r>
        <w:rPr>
          <w:rFonts w:hint="eastAsia" w:ascii="宋体" w:hAnsi="宋体" w:cs="宋体"/>
          <w:b/>
          <w:kern w:val="44"/>
          <w:sz w:val="28"/>
          <w:szCs w:val="28"/>
          <w:lang w:val="zh-CN"/>
        </w:rPr>
        <w:t>填报说明</w:t>
      </w:r>
      <w:bookmarkEnd w:id="114"/>
      <w:bookmarkEnd w:id="115"/>
      <w:bookmarkEnd w:id="116"/>
    </w:p>
    <w:p>
      <w:pPr>
        <w:spacing w:line="360" w:lineRule="auto"/>
        <w:ind w:firstLine="480" w:firstLineChars="200"/>
        <w:rPr>
          <w:rFonts w:ascii="宋体" w:hAnsi="宋体"/>
          <w:sz w:val="24"/>
        </w:rPr>
      </w:pPr>
      <w:r>
        <w:rPr>
          <w:rFonts w:hint="eastAsia" w:ascii="宋体" w:hAnsi="宋体"/>
          <w:sz w:val="24"/>
        </w:rPr>
        <w:t>本表适用于发生广告费和业务宣传费纳税调整项目（含广告费和业务宣传费结转），保险企业手续费及佣金支出纳税调整项目（含保险企业手续费及佣金支出结转）的纳税人填报。纳税人根据税法、《财政部</w:t>
      </w:r>
      <w:r>
        <w:rPr>
          <w:rFonts w:ascii="宋体" w:hAnsi="宋体"/>
          <w:sz w:val="24"/>
        </w:rPr>
        <w:t xml:space="preserve"> </w:t>
      </w:r>
      <w:r>
        <w:rPr>
          <w:rFonts w:hint="eastAsia" w:ascii="宋体" w:hAnsi="宋体"/>
          <w:sz w:val="24"/>
        </w:rPr>
        <w:t>国家税务总局关于广告费和业务宣传费支出税前扣除政策的通知》（财税〔</w:t>
      </w:r>
      <w:r>
        <w:rPr>
          <w:rFonts w:ascii="宋体" w:hAnsi="宋体"/>
          <w:sz w:val="24"/>
        </w:rPr>
        <w:t>2012</w:t>
      </w:r>
      <w:r>
        <w:rPr>
          <w:rFonts w:hint="eastAsia" w:ascii="宋体" w:hAnsi="宋体"/>
          <w:sz w:val="24"/>
        </w:rPr>
        <w:t>〕</w:t>
      </w:r>
      <w:r>
        <w:rPr>
          <w:rFonts w:ascii="宋体" w:hAnsi="宋体"/>
          <w:sz w:val="24"/>
        </w:rPr>
        <w:t>48</w:t>
      </w:r>
      <w:r>
        <w:rPr>
          <w:rFonts w:hint="eastAsia" w:ascii="宋体" w:hAnsi="宋体"/>
          <w:sz w:val="24"/>
        </w:rPr>
        <w:t>号）、《财政部</w:t>
      </w:r>
      <w:r>
        <w:rPr>
          <w:rFonts w:ascii="宋体" w:hAnsi="宋体"/>
          <w:sz w:val="24"/>
        </w:rPr>
        <w:t xml:space="preserve"> </w:t>
      </w:r>
      <w:r>
        <w:rPr>
          <w:rFonts w:hint="eastAsia" w:ascii="宋体" w:hAnsi="宋体"/>
          <w:sz w:val="24"/>
        </w:rPr>
        <w:t>税务总局关于保险企业手续费及佣金支出税前扣除政策的公告》（财政部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72</w:t>
      </w:r>
      <w:r>
        <w:rPr>
          <w:rFonts w:hint="eastAsia" w:ascii="宋体" w:hAnsi="宋体"/>
          <w:sz w:val="24"/>
        </w:rPr>
        <w:t>号）等相关规定，以及国家统一企业会计制度，填报广告费和业务宣传费、保险企业手续费及佣金支出会计处理、税收规定，以及跨年度纳税调整情况。</w:t>
      </w:r>
    </w:p>
    <w:p>
      <w:pPr>
        <w:spacing w:line="360" w:lineRule="auto"/>
        <w:ind w:firstLine="482" w:firstLineChars="200"/>
        <w:jc w:val="left"/>
        <w:outlineLvl w:val="0"/>
        <w:rPr>
          <w:rFonts w:ascii="宋体" w:hAnsi="宋体" w:cs="Calibri"/>
          <w:b/>
          <w:sz w:val="24"/>
        </w:rPr>
      </w:pPr>
      <w:bookmarkStart w:id="117" w:name="_Toc21711208"/>
      <w:bookmarkStart w:id="118" w:name="_Toc21712246"/>
      <w:bookmarkStart w:id="119" w:name="_Toc24965029"/>
      <w:bookmarkStart w:id="120" w:name="_Toc21703725"/>
      <w:r>
        <w:rPr>
          <w:rFonts w:hint="eastAsia" w:ascii="宋体" w:hAnsi="宋体" w:cs="Calibri"/>
          <w:b/>
          <w:sz w:val="24"/>
        </w:rPr>
        <w:t>一、有关项目填报说明</w:t>
      </w:r>
      <w:bookmarkEnd w:id="117"/>
      <w:bookmarkEnd w:id="118"/>
      <w:bookmarkEnd w:id="119"/>
      <w:bookmarkEnd w:id="120"/>
    </w:p>
    <w:p>
      <w:pPr>
        <w:spacing w:line="360" w:lineRule="auto"/>
        <w:ind w:firstLine="480" w:firstLineChars="200"/>
        <w:outlineLvl w:val="1"/>
        <w:rPr>
          <w:rFonts w:ascii="宋体" w:hAnsi="宋体"/>
          <w:sz w:val="24"/>
        </w:rPr>
      </w:pPr>
      <w:r>
        <w:rPr>
          <w:rFonts w:hint="eastAsia" w:ascii="宋体" w:hAnsi="宋体"/>
          <w:sz w:val="24"/>
        </w:rPr>
        <w:t>（一）列次填报</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第</w:t>
      </w:r>
      <w:r>
        <w:rPr>
          <w:rFonts w:ascii="宋体" w:hAnsi="宋体"/>
          <w:sz w:val="24"/>
        </w:rPr>
        <w:t>1</w:t>
      </w:r>
      <w:r>
        <w:rPr>
          <w:rFonts w:hint="eastAsia" w:ascii="宋体" w:hAnsi="宋体"/>
          <w:sz w:val="24"/>
        </w:rPr>
        <w:t>列“广告费和业务宣传费”：填报广告费和业务宣传费会计处理、税收规定，以及跨年度纳税调整情况。</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列“保险企业手续费及佣金支出”：填报保险企业手续费及佣金支出会计处理、税收规定，以及跨年度纳税调整情况。</w:t>
      </w:r>
    </w:p>
    <w:p>
      <w:pPr>
        <w:spacing w:line="360" w:lineRule="auto"/>
        <w:ind w:firstLine="480" w:firstLineChars="200"/>
        <w:outlineLvl w:val="1"/>
        <w:rPr>
          <w:rFonts w:ascii="宋体" w:hAnsi="宋体"/>
          <w:sz w:val="24"/>
        </w:rPr>
      </w:pPr>
      <w:r>
        <w:rPr>
          <w:rFonts w:hint="eastAsia" w:ascii="宋体" w:hAnsi="宋体"/>
          <w:sz w:val="24"/>
        </w:rPr>
        <w:t>（二）行次填报</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w:t>
      </w:r>
      <w:r>
        <w:rPr>
          <w:rFonts w:hint="eastAsia" w:ascii="宋体" w:hAnsi="宋体"/>
          <w:sz w:val="24"/>
        </w:rPr>
        <w:t>行“一、本年支出”：填报纳税人计入本年损益的支出金额。</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行“减：不允许扣除的支出”：填报税收规定不允许扣除的支出金额。</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3</w:t>
      </w:r>
      <w:r>
        <w:rPr>
          <w:rFonts w:hint="eastAsia" w:ascii="宋体" w:hAnsi="宋体"/>
          <w:sz w:val="24"/>
        </w:rPr>
        <w:t>行“二、本年符合条件的支出”：填报第</w:t>
      </w:r>
      <w:r>
        <w:rPr>
          <w:rFonts w:ascii="宋体" w:hAnsi="宋体"/>
          <w:sz w:val="24"/>
        </w:rPr>
        <w:t>1-2</w:t>
      </w:r>
      <w:r>
        <w:rPr>
          <w:rFonts w:hint="eastAsia" w:ascii="宋体" w:hAnsi="宋体"/>
          <w:sz w:val="24"/>
        </w:rPr>
        <w:t>行的余额。</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4</w:t>
      </w:r>
      <w:r>
        <w:rPr>
          <w:rFonts w:hint="eastAsia" w:ascii="宋体" w:hAnsi="宋体"/>
          <w:sz w:val="24"/>
        </w:rPr>
        <w:t>行“三、本年计算扣除限额的基数”：填报按照税收规定计算扣除限额的基数。“广告费和业务宣传费”列次填写计算扣除限额的当年销售（营业）收入。“保险企业手续费及佣金支出”列次填报</w:t>
      </w:r>
      <w:r>
        <w:rPr>
          <w:rFonts w:hint="eastAsia" w:ascii="Arial" w:hAnsi="Arial" w:cs="Arial"/>
          <w:sz w:val="24"/>
        </w:rPr>
        <w:t>当年保险企业全部保费收入扣除退保金等后余额。</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5</w:t>
      </w:r>
      <w:r>
        <w:rPr>
          <w:rFonts w:hint="eastAsia" w:ascii="宋体" w:hAnsi="宋体"/>
          <w:sz w:val="24"/>
        </w:rPr>
        <w:t>行“税收规定扣除率”：填报税收规定的扣除比例。</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6</w:t>
      </w:r>
      <w:r>
        <w:rPr>
          <w:rFonts w:hint="eastAsia" w:ascii="宋体" w:hAnsi="宋体"/>
          <w:sz w:val="24"/>
        </w:rPr>
        <w:t>行“四、本企业计算的扣除限额”：填报第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7</w:t>
      </w:r>
      <w:r>
        <w:rPr>
          <w:rFonts w:hint="eastAsia" w:ascii="宋体" w:hAnsi="宋体"/>
          <w:sz w:val="24"/>
        </w:rPr>
        <w:t>行“五、本年结转以后年度扣除额”：若第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3-6</w:t>
      </w:r>
      <w:r>
        <w:rPr>
          <w:rFonts w:hint="eastAsia" w:ascii="宋体" w:hAnsi="宋体"/>
          <w:sz w:val="24"/>
        </w:rPr>
        <w:t>行的余额；若第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8</w:t>
      </w:r>
      <w:r>
        <w:rPr>
          <w:rFonts w:hint="eastAsia" w:ascii="宋体" w:hAnsi="宋体"/>
          <w:sz w:val="24"/>
        </w:rPr>
        <w:t>行“加：以前年度累计结转扣除额”：填报以前年度允许税前扣除但超过扣除限额未扣除、结转扣除的支出金额。</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9</w:t>
      </w:r>
      <w:r>
        <w:rPr>
          <w:rFonts w:hint="eastAsia" w:ascii="宋体" w:hAnsi="宋体"/>
          <w:sz w:val="24"/>
        </w:rPr>
        <w:t>行“减：本年扣除的以前年度结转额”：若第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6-3</w:t>
      </w:r>
      <w:r>
        <w:rPr>
          <w:rFonts w:hint="eastAsia" w:ascii="宋体" w:hAnsi="宋体"/>
          <w:sz w:val="24"/>
        </w:rPr>
        <w:t>行与第</w:t>
      </w:r>
      <w:r>
        <w:rPr>
          <w:rFonts w:ascii="宋体" w:hAnsi="宋体"/>
          <w:sz w:val="24"/>
        </w:rPr>
        <w:t>8</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第</w:t>
      </w:r>
      <w:r>
        <w:rPr>
          <w:rFonts w:ascii="宋体" w:hAnsi="宋体"/>
          <w:sz w:val="24"/>
        </w:rPr>
        <w:t>10</w:t>
      </w:r>
      <w:r>
        <w:rPr>
          <w:rFonts w:hint="eastAsia" w:ascii="宋体" w:hAnsi="宋体"/>
          <w:sz w:val="24"/>
        </w:rPr>
        <w:t>行“六、按照分摊协议归集至其他关联方的金额”：本行第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将其发生的不超过当年销售（营业）收入税前扣除限额比例内的广告费和业务宣传费支出归集至其他关联方扣除的广告费和业务宣传费，本行应≤第</w:t>
      </w:r>
      <w:r>
        <w:rPr>
          <w:rFonts w:ascii="宋体" w:hAnsi="宋体"/>
          <w:sz w:val="24"/>
        </w:rPr>
        <w:t>3</w:t>
      </w:r>
      <w:r>
        <w:rPr>
          <w:rFonts w:hint="eastAsia" w:ascii="宋体" w:hAnsi="宋体"/>
          <w:sz w:val="24"/>
        </w:rPr>
        <w:t>行与第</w:t>
      </w:r>
      <w:r>
        <w:rPr>
          <w:rFonts w:ascii="宋体" w:hAnsi="宋体"/>
          <w:sz w:val="24"/>
        </w:rPr>
        <w:t>6</w:t>
      </w:r>
      <w:r>
        <w:rPr>
          <w:rFonts w:hint="eastAsia" w:ascii="宋体" w:hAnsi="宋体"/>
          <w:sz w:val="24"/>
        </w:rPr>
        <w:t>行的孰小值。本行第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11</w:t>
      </w:r>
      <w:r>
        <w:rPr>
          <w:rFonts w:hint="eastAsia" w:ascii="宋体" w:hAnsi="宋体"/>
          <w:sz w:val="24"/>
        </w:rPr>
        <w:t>行“按照分摊协议从其他关联方归集至本企业的金额”：本行第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列填报签订广告费和业务宣传费分摊协议（以下简称分摊协议）的关联企业的一方，按照分摊协议，从其他关联方归集至本企业的广告费和业务宣传费。本行第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第</w:t>
      </w:r>
      <w:r>
        <w:rPr>
          <w:rFonts w:ascii="宋体" w:hAnsi="宋体"/>
          <w:sz w:val="24"/>
        </w:rPr>
        <w:t>12</w:t>
      </w:r>
      <w:r>
        <w:rPr>
          <w:rFonts w:hint="eastAsia" w:ascii="宋体" w:hAnsi="宋体"/>
          <w:sz w:val="24"/>
        </w:rPr>
        <w:t>行“七、本年支出纳税调整金额”：若第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2+3-6+10-11</w:t>
      </w:r>
      <w:r>
        <w:rPr>
          <w:rFonts w:hint="eastAsia" w:ascii="宋体" w:hAnsi="宋体"/>
          <w:sz w:val="24"/>
        </w:rPr>
        <w:t>行的金额；若第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2+10-11-9</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第</w:t>
      </w:r>
      <w:r>
        <w:rPr>
          <w:rFonts w:ascii="宋体" w:hAnsi="宋体"/>
          <w:sz w:val="24"/>
        </w:rPr>
        <w:t>13</w:t>
      </w:r>
      <w:r>
        <w:rPr>
          <w:rFonts w:hint="eastAsia" w:ascii="宋体" w:hAnsi="宋体"/>
          <w:sz w:val="24"/>
        </w:rPr>
        <w:t>行“八、累计结转以后年度扣除额”：填报第</w:t>
      </w:r>
      <w:r>
        <w:rPr>
          <w:rFonts w:ascii="宋体" w:hAnsi="宋体"/>
          <w:sz w:val="24"/>
        </w:rPr>
        <w:t>7+8-9</w:t>
      </w:r>
      <w:r>
        <w:rPr>
          <w:rFonts w:hint="eastAsia" w:ascii="宋体" w:hAnsi="宋体"/>
          <w:sz w:val="24"/>
        </w:rPr>
        <w:t>行的金额。</w:t>
      </w:r>
    </w:p>
    <w:p>
      <w:pPr>
        <w:spacing w:line="360" w:lineRule="auto"/>
        <w:ind w:firstLine="482" w:firstLineChars="200"/>
        <w:jc w:val="left"/>
        <w:outlineLvl w:val="0"/>
        <w:rPr>
          <w:rFonts w:ascii="宋体" w:hAnsi="宋体" w:cs="Calibri"/>
          <w:b/>
          <w:sz w:val="24"/>
        </w:rPr>
      </w:pPr>
      <w:bookmarkStart w:id="121" w:name="_Toc24965030"/>
      <w:bookmarkStart w:id="122" w:name="_Toc21703726"/>
      <w:bookmarkStart w:id="123" w:name="_Toc21712247"/>
      <w:bookmarkStart w:id="124" w:name="_Toc21711209"/>
      <w:r>
        <w:rPr>
          <w:rFonts w:hint="eastAsia" w:ascii="宋体" w:hAnsi="宋体" w:cs="Calibri"/>
          <w:b/>
          <w:sz w:val="24"/>
        </w:rPr>
        <w:t>二、表内、表间关系</w:t>
      </w:r>
      <w:bookmarkEnd w:id="121"/>
      <w:bookmarkEnd w:id="122"/>
      <w:bookmarkEnd w:id="123"/>
      <w:bookmarkEnd w:id="124"/>
    </w:p>
    <w:p>
      <w:pPr>
        <w:spacing w:line="360" w:lineRule="auto"/>
        <w:ind w:firstLine="480" w:firstLineChars="200"/>
        <w:outlineLvl w:val="1"/>
        <w:rPr>
          <w:rFonts w:ascii="黑体" w:hAnsi="黑体" w:eastAsia="黑体" w:cs="黑体"/>
          <w:sz w:val="24"/>
        </w:rPr>
      </w:pPr>
      <w:bookmarkStart w:id="125" w:name="_Toc21703727"/>
      <w:bookmarkStart w:id="126" w:name="_Toc21711210"/>
      <w:bookmarkStart w:id="127" w:name="_Toc21712248"/>
      <w:bookmarkStart w:id="128" w:name="_Toc24965031"/>
      <w:r>
        <w:rPr>
          <w:rFonts w:hint="eastAsia" w:ascii="黑体" w:hAnsi="黑体" w:eastAsia="黑体" w:cs="黑体"/>
          <w:sz w:val="24"/>
        </w:rPr>
        <w:t>（一）表内关系</w:t>
      </w:r>
      <w:bookmarkEnd w:id="125"/>
      <w:bookmarkEnd w:id="126"/>
      <w:bookmarkEnd w:id="127"/>
      <w:bookmarkEnd w:id="128"/>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3</w:t>
      </w:r>
      <w:r>
        <w:rPr>
          <w:rFonts w:hint="eastAsia" w:ascii="宋体" w:hAnsi="宋体"/>
          <w:sz w:val="24"/>
        </w:rPr>
        <w:t>行＝第</w:t>
      </w:r>
      <w:r>
        <w:rPr>
          <w:rFonts w:ascii="宋体" w:hAnsi="宋体"/>
          <w:sz w:val="24"/>
        </w:rPr>
        <w:t>1-2</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6</w:t>
      </w:r>
      <w:r>
        <w:rPr>
          <w:rFonts w:hint="eastAsia" w:ascii="宋体" w:hAnsi="宋体"/>
          <w:sz w:val="24"/>
        </w:rPr>
        <w:t>行＝第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7</w:t>
      </w:r>
      <w:r>
        <w:rPr>
          <w:rFonts w:hint="eastAsia" w:ascii="宋体" w:hAnsi="宋体"/>
          <w:sz w:val="24"/>
        </w:rPr>
        <w:t>行＝第</w:t>
      </w:r>
      <w:r>
        <w:rPr>
          <w:rFonts w:ascii="宋体" w:hAnsi="宋体"/>
          <w:sz w:val="24"/>
        </w:rPr>
        <w:t>3-6</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7</w:t>
      </w:r>
      <w:r>
        <w:rPr>
          <w:rFonts w:hint="eastAsia" w:ascii="宋体" w:hAnsi="宋体"/>
          <w:sz w:val="24"/>
        </w:rPr>
        <w:t>行＝</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9</w:t>
      </w:r>
      <w:r>
        <w:rPr>
          <w:rFonts w:hint="eastAsia" w:ascii="宋体" w:hAnsi="宋体"/>
          <w:sz w:val="24"/>
        </w:rPr>
        <w:t>行＝</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8</w:t>
      </w:r>
      <w:r>
        <w:rPr>
          <w:rFonts w:hint="eastAsia" w:ascii="宋体" w:hAnsi="宋体"/>
          <w:sz w:val="24"/>
        </w:rPr>
        <w:t>行与第</w:t>
      </w:r>
      <w:r>
        <w:rPr>
          <w:rFonts w:ascii="宋体" w:hAnsi="宋体"/>
          <w:sz w:val="24"/>
        </w:rPr>
        <w:t>6-3</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12</w:t>
      </w:r>
      <w:r>
        <w:rPr>
          <w:rFonts w:hint="eastAsia" w:ascii="宋体" w:hAnsi="宋体"/>
          <w:sz w:val="24"/>
        </w:rPr>
        <w:t>行＝</w:t>
      </w:r>
      <w:r>
        <w:rPr>
          <w:rFonts w:ascii="宋体" w:hAnsi="宋体"/>
          <w:sz w:val="24"/>
        </w:rPr>
        <w:t>2+3-6+10-11</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2-9+10-11</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13</w:t>
      </w:r>
      <w:r>
        <w:rPr>
          <w:rFonts w:hint="eastAsia" w:ascii="宋体" w:hAnsi="宋体"/>
          <w:sz w:val="24"/>
        </w:rPr>
        <w:t>行＝第</w:t>
      </w:r>
      <w:r>
        <w:rPr>
          <w:rFonts w:ascii="宋体" w:hAnsi="宋体"/>
          <w:sz w:val="24"/>
        </w:rPr>
        <w:t>7+8-9</w:t>
      </w:r>
      <w:r>
        <w:rPr>
          <w:rFonts w:hint="eastAsia" w:ascii="宋体" w:hAnsi="宋体"/>
          <w:sz w:val="24"/>
        </w:rPr>
        <w:t>行。</w:t>
      </w:r>
    </w:p>
    <w:p>
      <w:pPr>
        <w:spacing w:line="360" w:lineRule="auto"/>
        <w:ind w:firstLine="480" w:firstLineChars="200"/>
        <w:outlineLvl w:val="1"/>
        <w:rPr>
          <w:rFonts w:ascii="黑体" w:hAnsi="黑体" w:eastAsia="黑体" w:cs="黑体"/>
          <w:sz w:val="24"/>
        </w:rPr>
      </w:pPr>
      <w:bookmarkStart w:id="129" w:name="_Toc21703728"/>
      <w:bookmarkStart w:id="130" w:name="_Toc21711211"/>
      <w:bookmarkStart w:id="131" w:name="_Toc21712249"/>
      <w:bookmarkStart w:id="132" w:name="_Toc24965032"/>
      <w:r>
        <w:rPr>
          <w:rFonts w:hint="eastAsia" w:ascii="黑体" w:hAnsi="黑体" w:eastAsia="黑体" w:cs="黑体"/>
          <w:sz w:val="24"/>
        </w:rPr>
        <w:t>（二）表间关系</w:t>
      </w:r>
      <w:bookmarkEnd w:id="129"/>
      <w:bookmarkEnd w:id="130"/>
      <w:bookmarkEnd w:id="131"/>
      <w:bookmarkEnd w:id="132"/>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列的绝对值＝表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4</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保险企业：第</w:t>
      </w:r>
      <w:r>
        <w:rPr>
          <w:rFonts w:ascii="宋体" w:hAnsi="宋体"/>
          <w:sz w:val="24"/>
        </w:rPr>
        <w:t>1</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w:t>
      </w:r>
      <w:r>
        <w:rPr>
          <w:rFonts w:ascii="宋体" w:hAnsi="宋体"/>
          <w:sz w:val="24"/>
        </w:rPr>
        <w:t>23</w:t>
      </w:r>
      <w:r>
        <w:rPr>
          <w:rFonts w:hint="eastAsia" w:ascii="宋体" w:hAnsi="宋体"/>
          <w:sz w:val="24"/>
        </w:rPr>
        <w:t>行第</w:t>
      </w:r>
      <w:r>
        <w:rPr>
          <w:rFonts w:ascii="宋体" w:hAnsi="宋体"/>
          <w:sz w:val="24"/>
        </w:rPr>
        <w:t>1</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列的绝对值</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4</w:t>
      </w:r>
      <w:r>
        <w:rPr>
          <w:rFonts w:hint="eastAsia" w:ascii="宋体" w:hAnsi="宋体"/>
          <w:sz w:val="24"/>
        </w:rPr>
        <w:t>列。</w:t>
      </w:r>
    </w:p>
    <w:p>
      <w:pPr>
        <w:widowControl/>
        <w:jc w:val="left"/>
        <w:sectPr>
          <w:pgSz w:w="11906" w:h="16838"/>
          <w:pgMar w:top="1134" w:right="1418" w:bottom="1134" w:left="1418" w:header="851" w:footer="992" w:gutter="113"/>
          <w:pgNumType w:fmt="decimal"/>
          <w:cols w:space="720" w:num="1"/>
          <w:docGrid w:linePitch="312" w:charSpace="0"/>
        </w:sectPr>
      </w:pPr>
      <w:bookmarkStart w:id="133" w:name="_Toc499456583"/>
      <w:bookmarkStart w:id="134" w:name="_Toc2689"/>
    </w:p>
    <w:p>
      <w:pPr>
        <w:pStyle w:val="66"/>
        <w:tabs>
          <w:tab w:val="center" w:pos="6520"/>
          <w:tab w:val="clear" w:pos="4678"/>
        </w:tabs>
        <w:jc w:val="both"/>
        <w:rPr>
          <w:rFonts w:hint="eastAsia"/>
        </w:rPr>
      </w:pPr>
      <w:bookmarkStart w:id="135" w:name="_Toc1093"/>
      <w:bookmarkStart w:id="136" w:name="_Toc54267912"/>
      <w:bookmarkStart w:id="137" w:name="_Toc24965033"/>
      <w:r>
        <w:rPr>
          <w:rFonts w:hint="eastAsia"/>
        </w:rPr>
        <w:t>A105070</w:t>
      </w:r>
      <w:r>
        <w:rPr>
          <w:rFonts w:hint="eastAsia"/>
        </w:rPr>
        <w:tab/>
      </w:r>
      <w:r>
        <w:rPr>
          <w:rFonts w:hint="eastAsia"/>
        </w:rPr>
        <w:t>捐赠支出及纳税调整明细表</w:t>
      </w:r>
      <w:bookmarkEnd w:id="135"/>
      <w:bookmarkEnd w:id="136"/>
    </w:p>
    <w:tbl>
      <w:tblPr>
        <w:tblStyle w:val="25"/>
        <w:tblpPr w:leftFromText="180" w:rightFromText="180" w:vertAnchor="text" w:horzAnchor="page" w:tblpX="1643" w:tblpY="110"/>
        <w:tblOverlap w:val="never"/>
        <w:tblW w:w="141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4485"/>
        <w:gridCol w:w="1208"/>
        <w:gridCol w:w="1208"/>
        <w:gridCol w:w="1208"/>
        <w:gridCol w:w="1208"/>
        <w:gridCol w:w="1208"/>
        <w:gridCol w:w="1208"/>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20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4485" w:type="dxa"/>
            <w:vMerge w:val="restart"/>
            <w:tcBorders>
              <w:top w:val="single" w:color="auto" w:sz="12" w:space="0"/>
              <w:left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以前年度结转可扣除的捐赠额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按税收规定计算的扣除限额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纳税调增金额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纳税调减金额</w:t>
            </w:r>
          </w:p>
        </w:tc>
        <w:tc>
          <w:tcPr>
            <w:tcW w:w="1212"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可结转以后年度扣除的捐赠额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20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4485" w:type="dxa"/>
            <w:vMerge w:val="continue"/>
            <w:tcBorders>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一、非公益性捐赠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4485"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二、限额扣除的公益性捐赠(3+4+5+6)</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前三年度（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前二年度（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前一年度（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本年（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4485" w:type="dxa"/>
            <w:tcBorders>
              <w:top w:val="single" w:color="auto" w:sz="6" w:space="0"/>
              <w:left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三、全额扣除的公益性捐赠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485" w:type="dxa"/>
            <w:tcBorders>
              <w:left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合计（1+2+7）</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附列资料</w:t>
            </w:r>
          </w:p>
        </w:tc>
        <w:tc>
          <w:tcPr>
            <w:tcW w:w="4485"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2015年度至本年发生的公益性扶贫捐赠合计金额</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bl>
    <w:p>
      <w:pPr>
        <w:tabs>
          <w:tab w:val="center" w:pos="6946"/>
        </w:tabs>
        <w:spacing w:line="360" w:lineRule="auto"/>
        <w:jc w:val="left"/>
        <w:outlineLvl w:val="0"/>
        <w:rPr>
          <w:rFonts w:hint="eastAsia" w:ascii="宋体" w:hAnsi="宋体" w:cs="宋体"/>
          <w:b/>
          <w:bCs/>
          <w:kern w:val="0"/>
          <w:sz w:val="28"/>
          <w:szCs w:val="28"/>
        </w:rPr>
        <w:sectPr>
          <w:pgSz w:w="16838" w:h="11906" w:orient="landscape"/>
          <w:pgMar w:top="1418" w:right="1985" w:bottom="1418" w:left="1928" w:header="851" w:footer="992" w:gutter="113"/>
          <w:pgNumType w:fmt="decimal"/>
          <w:cols w:space="720" w:num="1"/>
          <w:docGrid w:linePitch="312" w:charSpace="0"/>
        </w:sectPr>
      </w:pPr>
    </w:p>
    <w:p>
      <w:pPr>
        <w:pStyle w:val="66"/>
        <w:jc w:val="both"/>
        <w:rPr>
          <w:rFonts w:hint="eastAsia"/>
        </w:rPr>
      </w:pPr>
      <w:bookmarkStart w:id="138" w:name="_Toc54267913"/>
      <w:r>
        <w:rPr>
          <w:rFonts w:hint="eastAsia"/>
        </w:rPr>
        <w:tab/>
      </w:r>
      <w:bookmarkStart w:id="139" w:name="_Toc14785"/>
      <w:r>
        <w:rPr>
          <w:rFonts w:hint="eastAsia"/>
        </w:rPr>
        <w:t>A105070    《捐赠支出及纳税调整明细表》填报说明</w:t>
      </w:r>
      <w:bookmarkEnd w:id="138"/>
      <w:bookmarkEnd w:id="139"/>
    </w:p>
    <w:p>
      <w:pPr>
        <w:spacing w:line="360" w:lineRule="auto"/>
        <w:ind w:firstLine="480" w:firstLineChars="200"/>
        <w:rPr>
          <w:rFonts w:hint="eastAsia" w:ascii="宋体" w:hAnsi="宋体" w:cs="宋体"/>
          <w:sz w:val="24"/>
        </w:rPr>
      </w:pPr>
      <w:r>
        <w:rPr>
          <w:rFonts w:hint="eastAsia" w:ascii="宋体" w:hAnsi="宋体" w:cs="宋体"/>
          <w:sz w:val="24"/>
        </w:rPr>
        <w:t>本表适用于发生捐赠支出（含捐赠支出结转）的纳税人填报。纳税人根据税法、《财政部 税务总局 海关总署关于北京2022年冬奥会和冬残奥会税收政策的通知》（财税〔2017〕60号）、《财政部 税务总局关于公益性捐赠支出企业所得税税前结转扣除有关政策的通知》（财税〔2018〕15号）、《财政部 税务总局 国务院扶贫办关于企业扶贫捐赠所得税税前扣除政策的公告》（2019年第49号）、《财政部　税务总局关于公共租赁住房税收优惠政策的公告》（2019年第61号）、《财政部 税务总局关于支持新型冠状病毒感染的肺炎疫情防控有关捐赠税收政策的公告》（2020年第9号）、《财政部 税务总局、海关总署关于杭州亚运会和亚残运会税收政策的公告》（2020年第18号）等相关规定，以及国家统一企业会计制度，填报捐赠支出会计处理、税收规定的税前扣除额、捐赠支出结转额以及纳税调整额。纳税人发生相关支出（含捐赠支出结转），无论是否纳税调整，均应填报本表。</w:t>
      </w:r>
    </w:p>
    <w:p>
      <w:pPr>
        <w:spacing w:before="156" w:line="360" w:lineRule="auto"/>
        <w:ind w:firstLine="482" w:firstLineChars="200"/>
        <w:jc w:val="left"/>
        <w:outlineLvl w:val="0"/>
        <w:rPr>
          <w:rFonts w:hint="eastAsia" w:ascii="宋体" w:hAnsi="宋体" w:cs="宋体"/>
          <w:b/>
          <w:sz w:val="24"/>
        </w:rPr>
      </w:pPr>
      <w:bookmarkStart w:id="140" w:name="_Toc54267914"/>
      <w:bookmarkStart w:id="141" w:name="_Toc54267547"/>
      <w:r>
        <w:rPr>
          <w:rFonts w:hint="eastAsia" w:ascii="宋体" w:hAnsi="宋体" w:cs="宋体"/>
          <w:b/>
          <w:sz w:val="24"/>
        </w:rPr>
        <w:t>一、有关项目填报说明</w:t>
      </w:r>
      <w:bookmarkEnd w:id="140"/>
      <w:bookmarkEnd w:id="141"/>
    </w:p>
    <w:p>
      <w:pPr>
        <w:spacing w:line="360" w:lineRule="auto"/>
        <w:ind w:firstLine="480" w:firstLineChars="200"/>
        <w:rPr>
          <w:rFonts w:hint="eastAsia" w:ascii="宋体" w:hAnsi="宋体" w:cs="宋体"/>
          <w:sz w:val="24"/>
        </w:rPr>
      </w:pPr>
      <w:r>
        <w:rPr>
          <w:rFonts w:hint="eastAsia" w:ascii="宋体" w:hAnsi="宋体" w:cs="宋体"/>
          <w:sz w:val="24"/>
        </w:rPr>
        <w:t>1.第1行“非公益性捐赠”：填报纳税人本年发生且已计入本年损益的税收规定公益性捐赠以外的其他捐赠支出及纳税调整情况。具体如下：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（1）第1列“账载金额”：填报纳税人计入本年损益的公益性捐赠以外的其他捐赠支出金额，包括该支出已通过《纳税调整项目明细表》（A105000）第30行“（十七）其他”进行纳税调整的金额。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（2）第5列“纳税调增额”：填报非公益性捐赠支出纳税调整增加额，金额等于第1列“账载金额”。</w:t>
      </w:r>
    </w:p>
    <w:p>
      <w:pPr>
        <w:spacing w:line="360" w:lineRule="auto"/>
        <w:ind w:firstLine="480" w:firstLineChars="200"/>
        <w:rPr>
          <w:rFonts w:hint="eastAsia" w:ascii="宋体" w:hAnsi="宋体" w:cs="宋体"/>
          <w:sz w:val="24"/>
        </w:rPr>
      </w:pPr>
      <w:r>
        <w:rPr>
          <w:rFonts w:hint="eastAsia" w:ascii="宋体" w:hAnsi="宋体" w:cs="宋体"/>
          <w:sz w:val="24"/>
        </w:rPr>
        <w:t>2.第2行“限额扣除的公益性捐赠”：填报纳税人本年发生的限额扣除的公益性捐赠支出、纳税调整额、以前年度结转扣除捐赠支出等。第2行等于第3+4+5+6行。其中本行第4列“税收金额”：当本行第1列+第2列大于第3列时，第4列＝第3列；当本行第1列+第2列小于等于第3列时，第4列＝第1列+第2列。</w:t>
      </w:r>
    </w:p>
    <w:p>
      <w:pPr>
        <w:spacing w:line="360" w:lineRule="auto"/>
        <w:ind w:firstLine="480" w:firstLineChars="200"/>
        <w:rPr>
          <w:rFonts w:hint="eastAsia" w:ascii="宋体" w:hAnsi="宋体" w:cs="宋体"/>
          <w:sz w:val="24"/>
        </w:rPr>
      </w:pPr>
      <w:r>
        <w:rPr>
          <w:rFonts w:hint="eastAsia" w:ascii="宋体" w:hAnsi="宋体" w:cs="宋体"/>
          <w:sz w:val="24"/>
        </w:rPr>
        <w:t>3.第3行“前三年度”：填报纳税人前三年度发生的未税前扣除的公益性捐赠支出在本年度扣除的金额。具体如下：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（1）第2列“以前年度结转可扣除的捐赠额”：填报前三年度发生的尚未税前扣除的公益性捐赠支出金额。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（2）第6列“纳税调减额”：根据本年扣除限额以及前三年度未扣除的公益性捐赠支出分析填报。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4.第4行“前二年度”：填报纳税人前二年度发生的未税前扣除的公益性捐赠支出在本年度扣除的捐赠额以及结转以后年度扣除的捐赠额。具体如下：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（1）第2列“以前年度结转可扣除的捐赠额”：填报前二年度发生的尚未税前扣除的公益性捐赠支出金额。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（2）第6列“纳税调减额”：根据本年剩余扣除限额、本年扣除前三年度捐赠支出、前二年度未扣除的公益性捐赠支出分析填报。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（3）第7列“可结转以后年度扣除的捐赠额”：填报前二年度未扣除、结转以后年度扣除的公益性捐赠支出金额。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5.第5行“前一年度”：填报纳税人前一年度发生的未税前扣除的公益性捐赠支出在本年度扣除的捐赠额以及结转以后年度扣除的捐赠额。具体如下：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（1）第2列“以前年度结转可扣除的捐赠额”：填报前一年度发生的尚未税前扣除的公益性捐赠支出金额。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（2）第6列“纳税调减额”：根据本年剩余扣除限额、本年扣除前三年度捐赠支出、本年扣除前二年度捐赠支出、前一年度未扣除的公益性捐赠支出分析填报。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w:t>
      </w:r>
      <w:r>
        <w:rPr>
          <w:rFonts w:hint="eastAsia" w:ascii="宋体" w:hAnsi="宋体" w:cs="宋体"/>
          <w:kern w:val="0"/>
          <w:sz w:val="24"/>
        </w:rPr>
        <w:t>可结转以后年度扣除的捐赠额</w:t>
      </w:r>
      <w:r>
        <w:rPr>
          <w:rFonts w:hint="eastAsia" w:ascii="宋体" w:hAnsi="宋体" w:cs="宋体"/>
          <w:sz w:val="24"/>
        </w:rPr>
        <w:t>”：填报前一年度未扣除、结转以后年度扣除的公益性捐赠支出金额。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6.第6行“本年”：填报纳税人本年度发生、本年税前扣除、本年纳税调增以及结转以后年度扣除的公益性捐赠支出。具体如下：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（1）第1列“账载金额”：填报计入本年损益的公益性捐赠支出金额，包括该支出已通过《纳税调整项目明细表》（A105000）第30行“（十七）其他”进行纳税调整的金额。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（2）第3列“按税收规定计算的扣除限额”：填报按照本年利润总额乘以12%的金额，若利润总额为负数，则以0填报。</w:t>
      </w:r>
    </w:p>
    <w:p>
      <w:pPr>
        <w:spacing w:line="360" w:lineRule="auto"/>
        <w:ind w:firstLine="480" w:firstLineChars="200"/>
        <w:rPr>
          <w:rFonts w:hint="eastAsia" w:ascii="宋体" w:hAnsi="宋体" w:cs="宋体"/>
          <w:sz w:val="24"/>
        </w:rPr>
      </w:pPr>
      <w:r>
        <w:rPr>
          <w:rFonts w:hint="eastAsia" w:ascii="宋体" w:hAnsi="宋体" w:cs="宋体"/>
          <w:sz w:val="24"/>
        </w:rPr>
        <w:t>（3）第4列“税收金额”：根据本年实际发生的公益性捐赠支出以及结转扣除以前年度公益性捐赠支出情况分析填报。</w:t>
      </w:r>
    </w:p>
    <w:p>
      <w:pPr>
        <w:spacing w:line="360" w:lineRule="auto"/>
        <w:ind w:firstLine="480" w:firstLineChars="200"/>
        <w:rPr>
          <w:rFonts w:hint="eastAsia" w:ascii="宋体" w:hAnsi="宋体" w:cs="宋体"/>
          <w:sz w:val="24"/>
        </w:rPr>
      </w:pPr>
      <w:r>
        <w:rPr>
          <w:rFonts w:hint="eastAsia" w:ascii="宋体" w:hAnsi="宋体" w:cs="宋体"/>
          <w:sz w:val="24"/>
        </w:rPr>
        <w:t>（4）第5列“纳税调增额”：填报本年公益性捐赠支出账载金额超过税收规定的税前扣除额的部分。</w:t>
      </w:r>
    </w:p>
    <w:p>
      <w:pPr>
        <w:spacing w:line="360" w:lineRule="auto"/>
        <w:ind w:firstLine="480" w:firstLineChars="200"/>
        <w:rPr>
          <w:rFonts w:hint="eastAsia" w:ascii="宋体" w:hAnsi="宋体" w:cs="宋体"/>
          <w:b/>
          <w:sz w:val="24"/>
        </w:rPr>
      </w:pPr>
      <w:r>
        <w:rPr>
          <w:rFonts w:hint="eastAsia" w:ascii="宋体" w:hAnsi="宋体" w:cs="宋体"/>
          <w:sz w:val="24"/>
        </w:rPr>
        <w:t>（5）第7列“可结转以后年度扣除的捐赠额”：填报本年度未扣除、结转以后年度扣除的公益性捐赠支出金额</w:t>
      </w:r>
      <w:r>
        <w:rPr>
          <w:rFonts w:hint="eastAsia" w:ascii="宋体" w:hAnsi="宋体" w:cs="宋体"/>
          <w:b/>
          <w:sz w:val="24"/>
        </w:rPr>
        <w:t>。</w:t>
      </w:r>
    </w:p>
    <w:p>
      <w:pPr>
        <w:spacing w:line="360" w:lineRule="auto"/>
        <w:ind w:firstLine="480" w:firstLineChars="200"/>
        <w:rPr>
          <w:rFonts w:hint="eastAsia" w:ascii="宋体" w:hAnsi="宋体" w:cs="宋体"/>
          <w:sz w:val="24"/>
        </w:rPr>
      </w:pPr>
      <w:r>
        <w:rPr>
          <w:rFonts w:hint="eastAsia" w:ascii="宋体" w:hAnsi="宋体" w:cs="宋体"/>
          <w:sz w:val="24"/>
        </w:rPr>
        <w:t>7.第7行至第10行“全额扣除的公益性捐赠”：填报纳税人发生的可全额税前扣除的公益性捐赠支出。</w:t>
      </w:r>
    </w:p>
    <w:p>
      <w:pPr>
        <w:spacing w:line="360" w:lineRule="auto"/>
        <w:ind w:firstLine="480" w:firstLineChars="200"/>
        <w:rPr>
          <w:rFonts w:hint="eastAsia" w:ascii="宋体" w:hAnsi="宋体" w:cs="宋体"/>
          <w:sz w:val="24"/>
        </w:rPr>
      </w:pPr>
      <w:r>
        <w:rPr>
          <w:rFonts w:hint="eastAsia" w:ascii="宋体" w:hAnsi="宋体" w:cs="宋体"/>
          <w:sz w:val="24"/>
        </w:rPr>
        <w:t>（1）第7行：填报各行相应列次填报金额的合计金额。</w:t>
      </w:r>
    </w:p>
    <w:p>
      <w:pPr>
        <w:spacing w:line="360" w:lineRule="auto"/>
        <w:ind w:firstLine="480" w:firstLineChars="200"/>
        <w:rPr>
          <w:rFonts w:hint="eastAsia" w:ascii="宋体" w:hAnsi="宋体" w:cs="宋体"/>
          <w:sz w:val="24"/>
        </w:rPr>
      </w:pPr>
      <w:r>
        <w:rPr>
          <w:rFonts w:hint="eastAsia" w:ascii="宋体" w:hAnsi="宋体" w:cs="宋体"/>
          <w:sz w:val="24"/>
        </w:rPr>
        <w:t>（2）第8行至第10行“项目”：纳税人在以下事项中选择填报：1.扶贫捐赠；2.北京2022年冬奥会、冬残奥会、测试赛捐赠；3.杭州2022年亚运会捐赠；4.支持新型冠状病毒感染的肺炎疫情防控捐赠（通过公益性社会组织或国家机关捐赠)；5.支持新型冠状病毒感染的肺炎疫情防控捐赠（直接向承担疫情防治任务的医院捐赠）。一个项目填报一行，纳税人有多个项目的，可自行增加行次填报。</w:t>
      </w:r>
    </w:p>
    <w:p>
      <w:pPr>
        <w:spacing w:line="360" w:lineRule="auto"/>
        <w:ind w:firstLine="480" w:firstLineChars="200"/>
        <w:rPr>
          <w:rFonts w:hint="eastAsia" w:ascii="宋体" w:hAnsi="宋体" w:cs="宋体"/>
          <w:sz w:val="24"/>
        </w:rPr>
      </w:pPr>
      <w:r>
        <w:rPr>
          <w:rFonts w:hint="eastAsia" w:ascii="宋体" w:hAnsi="宋体" w:cs="宋体"/>
          <w:sz w:val="24"/>
        </w:rPr>
        <w:t>（3）具体各项目填报规则如下：</w:t>
      </w:r>
    </w:p>
    <w:p>
      <w:pPr>
        <w:spacing w:line="360" w:lineRule="auto"/>
        <w:ind w:firstLine="480" w:firstLineChars="200"/>
        <w:rPr>
          <w:rFonts w:hint="eastAsia" w:ascii="宋体" w:hAnsi="宋体" w:cs="宋体"/>
          <w:sz w:val="24"/>
        </w:rPr>
      </w:pPr>
      <w:r>
        <w:rPr>
          <w:rFonts w:hint="eastAsia" w:ascii="宋体" w:hAnsi="宋体" w:cs="宋体"/>
          <w:sz w:val="24"/>
        </w:rPr>
        <w:t>扶贫捐赠：填报纳税人发生的可全额税前扣除的扶贫公益性捐赠支出情况。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第1列“账载金额”：填报纳税人本年发生且已计入本年损益的可全额税前扣除的扶贫公益性捐赠支出金额，包括该支出已通过《纳税调整项目明细表》（A105000）第30行“（十七）其他”进行纳税调整的金额。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北京2022年冬奥会、冬残奥会、测试赛捐赠：填报纳税人赞助、捐赠北京2022年冬奥会、冬残奥会、测试赛的可全额扣除的资金、物资、服务支出情况。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北京2022年冬奥会、冬残奥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杭州2022年亚运会捐赠：填报纳税人赞助、捐赠杭州2022年亚运会、亚残运会、测试赛的可全额扣除的资金、物资、服务支出情况。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杭州2022年亚运会、亚残运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通过公益性社会组织或国家机关捐赠）：填报纳税人发生的可全额税前扣除的通过公益性社会组织或者县级以上人民政府及其部门等国家机关，用于应对新型冠状病毒感染的肺炎疫情的现金和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通过公益性社会组织或者县级以上人民政府及其部门等国家机关，用于应对新型冠状病毒感染的肺炎疫情的现金和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直接向承担疫情防治任务的医院捐赠）：填报纳税人发生的可全额税前扣除的直接向承担疫情防治任务的医院用于应对新型冠状病毒感染的肺炎疫情进行的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直接向承担疫情防治任务的医院用于应对新型冠状病毒感染的肺炎疫情进行的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8.第11行“合计”：填报第1+2+7行的合计金额。</w:t>
      </w:r>
    </w:p>
    <w:p>
      <w:pPr>
        <w:spacing w:line="360" w:lineRule="auto"/>
        <w:ind w:firstLine="480" w:firstLineChars="200"/>
        <w:rPr>
          <w:rFonts w:hint="eastAsia" w:ascii="宋体" w:hAnsi="宋体" w:cs="宋体"/>
          <w:sz w:val="24"/>
        </w:rPr>
      </w:pPr>
      <w:r>
        <w:rPr>
          <w:rFonts w:hint="eastAsia" w:ascii="宋体" w:hAnsi="宋体" w:cs="宋体"/>
          <w:sz w:val="24"/>
        </w:rPr>
        <w:t>9.附列资料“2015年度至本年发生的公益性扶贫捐赠合计金额”：填报企业按照《财政部 税务总局 国务院扶贫办关于企业扶贫捐赠所得税税前扣除政策的公告》（2019年第49号）规定，企业在2015年1月1日至本年度发生的可全额税前扣除的扶贫公益性捐赠支出合计金额。具体如下：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（1）第1列“账载金额”：填报纳税人2015年1月1日至本年度发生的且已计入损益的按税收规定可全额税前扣除的扶贫公益性捐赠支出合计金额。</w:t>
      </w:r>
    </w:p>
    <w:p>
      <w:pPr>
        <w:spacing w:line="360" w:lineRule="auto"/>
        <w:ind w:firstLine="480" w:firstLineChars="200"/>
        <w:rPr>
          <w:rFonts w:hint="eastAsia" w:ascii="宋体" w:hAnsi="宋体" w:cs="宋体"/>
          <w:sz w:val="24"/>
        </w:rPr>
      </w:pPr>
      <w:r>
        <w:rPr>
          <w:rFonts w:hint="eastAsia" w:ascii="宋体" w:hAnsi="宋体" w:cs="宋体"/>
          <w:sz w:val="24"/>
        </w:rPr>
        <w:t>（2）第4列“税收金额”：填报纳税人2015年1月1日至本年度发生的且已计入损益的按税收规定已在税前扣除的扶贫公益性捐赠支出合计金额。</w:t>
      </w:r>
    </w:p>
    <w:p>
      <w:pPr>
        <w:spacing w:before="156" w:line="360" w:lineRule="auto"/>
        <w:ind w:firstLine="482" w:firstLineChars="200"/>
        <w:jc w:val="left"/>
        <w:outlineLvl w:val="0"/>
        <w:rPr>
          <w:rFonts w:hint="eastAsia" w:ascii="宋体" w:hAnsi="宋体" w:cs="宋体"/>
          <w:b/>
          <w:sz w:val="24"/>
        </w:rPr>
      </w:pPr>
      <w:bookmarkStart w:id="142" w:name="_Toc54267915"/>
      <w:bookmarkStart w:id="143" w:name="_Toc54267548"/>
      <w:r>
        <w:rPr>
          <w:rFonts w:hint="eastAsia" w:ascii="宋体" w:hAnsi="宋体" w:cs="宋体"/>
          <w:b/>
          <w:sz w:val="24"/>
        </w:rPr>
        <w:t>二、表内、表间关系（以表样实例行次为例）</w:t>
      </w:r>
      <w:bookmarkEnd w:id="142"/>
      <w:bookmarkEnd w:id="143"/>
    </w:p>
    <w:p>
      <w:pPr>
        <w:spacing w:line="360" w:lineRule="auto"/>
        <w:ind w:firstLine="480" w:firstLineChars="200"/>
        <w:outlineLvl w:val="1"/>
        <w:rPr>
          <w:rFonts w:hint="eastAsia" w:ascii="宋体" w:hAnsi="宋体" w:cs="宋体"/>
          <w:sz w:val="24"/>
        </w:rPr>
      </w:pPr>
      <w:bookmarkStart w:id="144" w:name="_Toc54267549"/>
      <w:bookmarkStart w:id="145" w:name="_Toc54267916"/>
      <w:r>
        <w:rPr>
          <w:rFonts w:hint="eastAsia" w:ascii="宋体" w:hAnsi="宋体" w:cs="宋体"/>
          <w:sz w:val="24"/>
        </w:rPr>
        <w:t>（一）表内关系</w:t>
      </w:r>
      <w:bookmarkEnd w:id="144"/>
      <w:bookmarkEnd w:id="145"/>
    </w:p>
    <w:p>
      <w:pPr>
        <w:spacing w:line="360" w:lineRule="auto"/>
        <w:ind w:firstLine="480" w:firstLineChars="200"/>
        <w:rPr>
          <w:rFonts w:hint="eastAsia" w:ascii="宋体" w:hAnsi="宋体" w:cs="宋体"/>
          <w:sz w:val="24"/>
        </w:rPr>
      </w:pPr>
      <w:r>
        <w:rPr>
          <w:rFonts w:hint="eastAsia" w:ascii="宋体" w:hAnsi="宋体" w:cs="宋体"/>
          <w:sz w:val="24"/>
        </w:rPr>
        <w:t>1.第1行第5列＝第1行第1列。</w:t>
      </w:r>
    </w:p>
    <w:p>
      <w:pPr>
        <w:spacing w:line="360" w:lineRule="auto"/>
        <w:ind w:firstLine="480" w:firstLineChars="200"/>
        <w:rPr>
          <w:rFonts w:hint="eastAsia" w:ascii="宋体" w:hAnsi="宋体" w:cs="宋体"/>
          <w:sz w:val="24"/>
        </w:rPr>
      </w:pPr>
      <w:r>
        <w:rPr>
          <w:rFonts w:hint="eastAsia" w:ascii="宋体" w:hAnsi="宋体" w:cs="宋体"/>
          <w:sz w:val="24"/>
        </w:rPr>
        <w:t>2.第2行＝第3+4+5+6行。</w:t>
      </w:r>
    </w:p>
    <w:p>
      <w:pPr>
        <w:spacing w:line="360" w:lineRule="auto"/>
        <w:ind w:firstLine="480" w:firstLineChars="200"/>
        <w:rPr>
          <w:rFonts w:hint="eastAsia" w:ascii="宋体" w:hAnsi="宋体" w:cs="宋体"/>
          <w:sz w:val="24"/>
        </w:rPr>
      </w:pPr>
      <w:r>
        <w:rPr>
          <w:rFonts w:hint="eastAsia" w:ascii="宋体" w:hAnsi="宋体" w:cs="宋体"/>
          <w:sz w:val="24"/>
        </w:rPr>
        <w:t>3.第7行第4列＝第7行第1列。</w:t>
      </w:r>
    </w:p>
    <w:p>
      <w:pPr>
        <w:spacing w:line="360" w:lineRule="auto"/>
        <w:ind w:firstLine="480" w:firstLineChars="200"/>
        <w:rPr>
          <w:rFonts w:hint="eastAsia" w:ascii="宋体" w:hAnsi="宋体" w:cs="宋体"/>
          <w:sz w:val="24"/>
        </w:rPr>
      </w:pPr>
      <w:r>
        <w:rPr>
          <w:rFonts w:hint="eastAsia" w:ascii="宋体" w:hAnsi="宋体" w:cs="宋体"/>
          <w:sz w:val="24"/>
        </w:rPr>
        <w:t>4.第7行＝第8+9+10行。</w:t>
      </w:r>
    </w:p>
    <w:p>
      <w:pPr>
        <w:spacing w:line="360" w:lineRule="auto"/>
        <w:ind w:firstLine="480" w:firstLineChars="200"/>
        <w:rPr>
          <w:rFonts w:hint="eastAsia" w:ascii="宋体" w:hAnsi="宋体" w:cs="宋体"/>
          <w:sz w:val="24"/>
        </w:rPr>
      </w:pPr>
      <w:r>
        <w:rPr>
          <w:rFonts w:hint="eastAsia" w:ascii="宋体" w:hAnsi="宋体" w:cs="宋体"/>
          <w:sz w:val="24"/>
        </w:rPr>
        <w:t>5.第11行＝第1+2+7行。</w:t>
      </w:r>
    </w:p>
    <w:p>
      <w:pPr>
        <w:spacing w:line="360" w:lineRule="auto"/>
        <w:ind w:firstLine="480" w:firstLineChars="200"/>
        <w:outlineLvl w:val="1"/>
        <w:rPr>
          <w:rFonts w:hint="eastAsia" w:ascii="宋体" w:hAnsi="宋体" w:cs="宋体"/>
          <w:sz w:val="24"/>
        </w:rPr>
      </w:pPr>
      <w:bookmarkStart w:id="146" w:name="_Toc54267550"/>
      <w:bookmarkStart w:id="147" w:name="_Toc54267917"/>
      <w:r>
        <w:rPr>
          <w:rFonts w:hint="eastAsia" w:ascii="宋体" w:hAnsi="宋体" w:cs="宋体"/>
          <w:sz w:val="24"/>
        </w:rPr>
        <w:t>（二）表间关系</w:t>
      </w:r>
      <w:bookmarkEnd w:id="146"/>
      <w:bookmarkEnd w:id="147"/>
    </w:p>
    <w:p>
      <w:pPr>
        <w:spacing w:line="360" w:lineRule="auto"/>
        <w:ind w:firstLine="480" w:firstLineChars="200"/>
        <w:rPr>
          <w:rFonts w:hint="eastAsia" w:ascii="宋体" w:hAnsi="宋体" w:cs="宋体"/>
          <w:sz w:val="24"/>
        </w:rPr>
      </w:pPr>
      <w:r>
        <w:rPr>
          <w:rFonts w:hint="eastAsia" w:ascii="宋体" w:hAnsi="宋体" w:cs="宋体"/>
          <w:sz w:val="24"/>
        </w:rPr>
        <w:t>1.第6行第3列＝表A100000第13行×12%（当表A100000第13行≤0，第11行第3列＝0）。</w:t>
      </w:r>
    </w:p>
    <w:p>
      <w:pPr>
        <w:tabs>
          <w:tab w:val="center" w:pos="6946"/>
        </w:tabs>
        <w:spacing w:line="360" w:lineRule="auto"/>
        <w:ind w:firstLine="480" w:firstLineChars="200"/>
        <w:jc w:val="left"/>
        <w:rPr>
          <w:rFonts w:hint="eastAsia" w:ascii="宋体" w:hAnsi="宋体" w:cs="宋体"/>
          <w:bCs/>
          <w:sz w:val="24"/>
        </w:rPr>
        <w:sectPr>
          <w:pgSz w:w="11906" w:h="16838"/>
          <w:pgMar w:top="1985" w:right="1418" w:bottom="1928" w:left="1418" w:header="851" w:footer="992" w:gutter="113"/>
          <w:pgNumType w:fmt="decimal"/>
          <w:cols w:space="720" w:num="1"/>
          <w:docGrid w:linePitch="312" w:charSpace="0"/>
        </w:sectPr>
      </w:pPr>
      <w:r>
        <w:rPr>
          <w:rFonts w:hint="eastAsia" w:ascii="宋体" w:hAnsi="宋体" w:cs="宋体"/>
          <w:bCs/>
          <w:sz w:val="24"/>
        </w:rPr>
        <w:t>2.合计行第1列＝表A105000第17行第1列；合计行第4列＝表A105000第17行第2列；合计行第5列＝表A105000第17行第3列；合计行第6列＝表A105000第17行第4列。</w:t>
      </w:r>
    </w:p>
    <w:bookmarkEnd w:id="133"/>
    <w:bookmarkEnd w:id="134"/>
    <w:bookmarkEnd w:id="137"/>
    <w:p>
      <w:pPr>
        <w:pStyle w:val="66"/>
        <w:tabs>
          <w:tab w:val="center" w:pos="6520"/>
          <w:tab w:val="clear" w:pos="4678"/>
        </w:tabs>
        <w:rPr>
          <w:rFonts w:hint="eastAsia"/>
        </w:rPr>
      </w:pPr>
      <w:bookmarkStart w:id="148" w:name="_Toc54267918"/>
      <w:bookmarkStart w:id="149" w:name="_Toc24674"/>
      <w:bookmarkStart w:id="150" w:name="_Toc420684843_WPSOffice_Level1"/>
      <w:bookmarkStart w:id="151" w:name="_Toc1822427688_WPSOffice_Level1"/>
      <w:bookmarkStart w:id="152" w:name="_Toc527722743"/>
      <w:r>
        <w:rPr>
          <w:rFonts w:hint="eastAsia"/>
        </w:rPr>
        <w:t>A105080</w:t>
      </w:r>
      <w:r>
        <w:rPr>
          <w:rFonts w:hint="eastAsia"/>
        </w:rPr>
        <w:tab/>
      </w:r>
      <w:r>
        <w:rPr>
          <w:rFonts w:hint="eastAsia"/>
        </w:rPr>
        <w:t>资产折旧、摊销及纳税调整明细表</w:t>
      </w:r>
      <w:bookmarkEnd w:id="148"/>
      <w:bookmarkEnd w:id="149"/>
    </w:p>
    <w:bookmarkEnd w:id="150"/>
    <w:bookmarkEnd w:id="151"/>
    <w:tbl>
      <w:tblPr>
        <w:tblStyle w:val="25"/>
        <w:tblW w:w="1461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16"/>
        <w:gridCol w:w="900"/>
        <w:gridCol w:w="1468"/>
        <w:gridCol w:w="2900"/>
        <w:gridCol w:w="745"/>
        <w:gridCol w:w="913"/>
        <w:gridCol w:w="1075"/>
        <w:gridCol w:w="791"/>
        <w:gridCol w:w="1075"/>
        <w:gridCol w:w="1075"/>
        <w:gridCol w:w="1078"/>
        <w:gridCol w:w="1075"/>
        <w:gridCol w:w="8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16" w:type="dxa"/>
            <w:vMerge w:val="restart"/>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行次</w:t>
            </w:r>
          </w:p>
        </w:tc>
        <w:tc>
          <w:tcPr>
            <w:tcW w:w="5268" w:type="dxa"/>
            <w:gridSpan w:val="3"/>
            <w:vMerge w:val="restart"/>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项目</w:t>
            </w:r>
          </w:p>
        </w:tc>
        <w:tc>
          <w:tcPr>
            <w:tcW w:w="2733" w:type="dxa"/>
            <w:gridSpan w:val="3"/>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账载金额</w:t>
            </w:r>
          </w:p>
        </w:tc>
        <w:tc>
          <w:tcPr>
            <w:tcW w:w="5094" w:type="dxa"/>
            <w:gridSpan w:val="5"/>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税收金额</w:t>
            </w:r>
          </w:p>
        </w:tc>
        <w:tc>
          <w:tcPr>
            <w:tcW w:w="899" w:type="dxa"/>
            <w:vMerge w:val="restart"/>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纳税调整金额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资产原值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本年折旧、摊销额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资产计税基础</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享受加速折旧政策的资产按税收一般规定计算的折旧、摊销额</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加速折旧、摊销统计额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0" w:type="auto"/>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3</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7（5-6）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8</w:t>
            </w: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9(2-5)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一、固定资产（2+3+4+5+6+7）</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所有固定资产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（一）房屋、建筑物</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（二）飞机、火车、轮船、机器、机械和其他生产设备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（三）与生产经营活动有关的器具、工具、家具等</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（四）飞机、火车、轮船以外的运输工具</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（五）电子设备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8</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其中：享受固定资产加速折旧及一次性扣除政策的资产加速折旧额大于一般折旧额的部分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（一）重要行业固定资产加速折旧（不含一次性扣除）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（二）其他行业研发设备加速折旧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（三）特定地区企业固定资产加速折旧（10.1+10.2）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（四）500万元以下设备器具一次性扣除（11.1+11.2）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1.高新技术企业2022年第四季度</w:t>
            </w:r>
            <w:r>
              <w:rPr>
                <w:rFonts w:ascii="宋体" w:hAnsi="宋体"/>
                <w:kern w:val="0"/>
                <w:sz w:val="20"/>
                <w:szCs w:val="20"/>
                <w:lang w:val="en"/>
              </w:rPr>
              <w:t>(</w:t>
            </w:r>
            <w:r>
              <w:rPr>
                <w:rFonts w:hint="eastAsia" w:ascii="宋体" w:hAnsi="宋体"/>
                <w:kern w:val="0"/>
                <w:sz w:val="20"/>
                <w:szCs w:val="20"/>
              </w:rPr>
              <w:t>10月-12月）购置单价5</w:t>
            </w:r>
            <w:r>
              <w:rPr>
                <w:rFonts w:ascii="宋体" w:hAnsi="宋体"/>
                <w:kern w:val="0"/>
                <w:sz w:val="20"/>
                <w:szCs w:val="20"/>
              </w:rPr>
              <w:t>00</w:t>
            </w:r>
            <w:r>
              <w:rPr>
                <w:rFonts w:hint="eastAsia" w:ascii="宋体" w:hAnsi="宋体"/>
                <w:kern w:val="0"/>
                <w:sz w:val="20"/>
                <w:szCs w:val="20"/>
              </w:rPr>
              <w:t>万元以下设备器具一次性扣除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lang w:val="en"/>
              </w:rPr>
            </w:pPr>
            <w:r>
              <w:rPr>
                <w:rFonts w:hint="eastAsia" w:ascii="宋体" w:hAnsi="宋体"/>
                <w:kern w:val="0"/>
                <w:sz w:val="20"/>
                <w:szCs w:val="20"/>
              </w:rPr>
              <w:t>2.购置单价5</w:t>
            </w:r>
            <w:r>
              <w:rPr>
                <w:rFonts w:ascii="宋体" w:hAnsi="宋体"/>
                <w:kern w:val="0"/>
                <w:sz w:val="20"/>
                <w:szCs w:val="20"/>
              </w:rPr>
              <w:t>00</w:t>
            </w:r>
            <w:r>
              <w:rPr>
                <w:rFonts w:hint="eastAsia" w:ascii="宋体" w:hAnsi="宋体"/>
                <w:kern w:val="0"/>
                <w:sz w:val="20"/>
                <w:szCs w:val="20"/>
              </w:rPr>
              <w:t>万元以下设备器具一次性扣除</w:t>
            </w:r>
            <w:r>
              <w:rPr>
                <w:rFonts w:ascii="宋体" w:hAnsi="宋体"/>
                <w:kern w:val="0"/>
                <w:sz w:val="20"/>
                <w:szCs w:val="20"/>
                <w:lang w:val="en"/>
              </w:rPr>
              <w:t>(</w:t>
            </w:r>
            <w:r>
              <w:rPr>
                <w:rFonts w:hint="eastAsia" w:ascii="宋体" w:hAnsi="宋体"/>
                <w:kern w:val="0"/>
                <w:sz w:val="20"/>
                <w:szCs w:val="20"/>
                <w:lang w:val="en"/>
              </w:rPr>
              <w:t>不包含高新技术企业</w:t>
            </w:r>
            <w:r>
              <w:rPr>
                <w:rFonts w:hint="eastAsia" w:ascii="宋体" w:hAnsi="宋体"/>
                <w:kern w:val="0"/>
                <w:sz w:val="20"/>
                <w:szCs w:val="20"/>
              </w:rPr>
              <w:t>2022年第四季度购置</w:t>
            </w:r>
            <w:r>
              <w:rPr>
                <w:rFonts w:ascii="宋体" w:hAnsi="宋体"/>
                <w:kern w:val="0"/>
                <w:sz w:val="20"/>
                <w:szCs w:val="20"/>
                <w:lang w:val="en"/>
              </w:rPr>
              <w:t>)</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（五）500万元以上设备器具一次性扣除（1</w:t>
            </w:r>
            <w:r>
              <w:rPr>
                <w:rFonts w:ascii="宋体" w:hAnsi="宋体"/>
                <w:kern w:val="0"/>
                <w:sz w:val="20"/>
                <w:szCs w:val="20"/>
              </w:rPr>
              <w:t>2.1+12.2+12.3</w:t>
            </w:r>
            <w:r>
              <w:rPr>
                <w:rFonts w:hint="eastAsia" w:ascii="宋体" w:hAnsi="宋体"/>
                <w:kern w:val="0"/>
                <w:sz w:val="20"/>
                <w:szCs w:val="20"/>
              </w:rPr>
              <w:t>+12.4）</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kern w:val="0"/>
                <w:sz w:val="20"/>
                <w:szCs w:val="20"/>
              </w:rPr>
            </w:pPr>
            <w:r>
              <w:rPr>
                <w:rFonts w:hint="eastAsia" w:ascii="宋体" w:hAnsi="宋体"/>
                <w:kern w:val="0"/>
                <w:sz w:val="20"/>
                <w:szCs w:val="20"/>
              </w:rPr>
              <w:t>中小微企业购置单价500万元以上设备器具</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1.最低折旧年限为3年的设备器具一次性扣除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2.最低折旧年限为4、5年的设备器具50%部分一次性扣除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3.最低折旧年限为10年的设备器具50%部分一次性扣除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4.高新技术企业2022年第四季度（10月-12月）购置单价500万元以上设备器具一次性扣除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（六）特定地区企业固定资产一次性扣除（13.1+13.2）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（七）技术进步、更新换代固定资产加速折旧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（八）常年强震动、高腐蚀固定资产加速折旧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（九）外购软件加速折旧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（十）集成电路企业生产设备加速折旧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二、生产性生物资产（19+20）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（一）林木类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（二）畜类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三、无形资产（22+23+24+25+26+27+28+29）</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所有无形资产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（一）专利权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（二）商标权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（三）著作权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（四）土地使用权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（五）非专利技术</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（六）特许权使用费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（七）软件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30</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其中：享受无形资产加速摊销及一次性摊销政策的资产加速摊销额大于一般摊销额的部分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（一）企业外购软件加速摊销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（二）特定地区企业无形资产加速摊销（31.1+31.2）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（三）特定地区企业无形资产一次性摊销（32.1+32.2）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33</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四、长期待摊费用（34+35+36+37+38）</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34</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（一）已足额提取折旧的固定资产的改建支出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35</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（二）租入固定资产的改建支出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36</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（三）固定资产的大修理支出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37</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（四）开办费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（五）其他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五、油气勘探投资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六、油气开发投资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合计（1+18+21+33+39+40）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16" w:type="dxa"/>
            <w:gridSpan w:val="2"/>
            <w:tcBorders>
              <w:top w:val="single" w:color="000000" w:sz="4" w:space="0"/>
              <w:left w:val="single" w:color="000000" w:sz="12"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附列资料</w:t>
            </w:r>
          </w:p>
        </w:tc>
        <w:tc>
          <w:tcPr>
            <w:tcW w:w="4368" w:type="dxa"/>
            <w:gridSpan w:val="2"/>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全民所有制企业公司制改制资产评估增值政策资产</w:t>
            </w:r>
          </w:p>
        </w:tc>
        <w:tc>
          <w:tcPr>
            <w:tcW w:w="74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12" w:space="0"/>
              <w:right w:val="single" w:color="000000" w:sz="12" w:space="0"/>
            </w:tcBorders>
            <w:noWrap w:val="0"/>
            <w:vAlign w:val="center"/>
          </w:tcPr>
          <w:p>
            <w:pPr>
              <w:jc w:val="center"/>
              <w:rPr>
                <w:rFonts w:ascii="宋体" w:hAnsi="宋体"/>
                <w:sz w:val="20"/>
                <w:szCs w:val="20"/>
              </w:rPr>
            </w:pPr>
          </w:p>
        </w:tc>
      </w:tr>
    </w:tbl>
    <w:p>
      <w:pPr>
        <w:pStyle w:val="94"/>
        <w:ind w:firstLine="0" w:firstLineChars="0"/>
        <w:rPr>
          <w:rFonts w:hint="eastAsia" w:ascii="宋体" w:hAnsi="宋体" w:eastAsia="宋体" w:cs="宋体"/>
        </w:rPr>
      </w:pPr>
    </w:p>
    <w:p>
      <w:pPr>
        <w:pStyle w:val="94"/>
        <w:ind w:firstLine="480"/>
        <w:rPr>
          <w:rFonts w:hint="eastAsia" w:ascii="宋体" w:hAnsi="宋体" w:eastAsia="宋体" w:cs="宋体"/>
        </w:rPr>
        <w:sectPr>
          <w:pgSz w:w="16838" w:h="11906" w:orient="landscape"/>
          <w:pgMar w:top="1134" w:right="1100" w:bottom="1134" w:left="1100" w:header="851" w:footer="680" w:gutter="113"/>
          <w:pgNumType w:fmt="decimal"/>
          <w:cols w:space="720" w:num="1"/>
          <w:docGrid w:linePitch="312" w:charSpace="0"/>
        </w:sectPr>
      </w:pPr>
    </w:p>
    <w:p>
      <w:pPr>
        <w:pStyle w:val="66"/>
        <w:jc w:val="center"/>
        <w:rPr>
          <w:rFonts w:hint="eastAsia"/>
        </w:rPr>
      </w:pPr>
      <w:bookmarkStart w:id="153" w:name="_Toc14387"/>
      <w:r>
        <w:rPr>
          <w:rFonts w:hint="eastAsia"/>
        </w:rPr>
        <w:t>A105080《资产折旧、摊销及纳税调整明细表》填报说明</w:t>
      </w:r>
      <w:bookmarkEnd w:id="153"/>
    </w:p>
    <w:p>
      <w:pPr>
        <w:pStyle w:val="94"/>
        <w:spacing w:line="360" w:lineRule="auto"/>
        <w:ind w:firstLine="480"/>
        <w:rPr>
          <w:rFonts w:ascii="宋体" w:hAnsi="宋体" w:eastAsia="宋体"/>
        </w:rPr>
      </w:pPr>
      <w:r>
        <w:rPr>
          <w:rFonts w:hint="eastAsia" w:ascii="宋体" w:hAnsi="宋体" w:eastAsia="宋体"/>
        </w:rPr>
        <w:t>本表适用于发生资产折旧、摊销的纳税人填报。纳税人根据税法、《国家税务总局关于企业固定资产加速折旧所得税处理有关问题的通知》（国税发〔2009〕81号）、《国家税务总局关于融资性售后回租业务中承租方出售资产行为有关税收问题的公告》（2010年第13号）、《国家税务总局关于企业所得税若干问题的公告》（2011年第34号）、《国家税务总局关于发布〈企业所得税政策性搬迁所得税管理办法〉的公告》（2012年第40号）、《财政部 国家税务总局关于进一步鼓励软件产业和集成电路产业发展企业所得税政策的通知》（财税〔2012〕27号）、《国家税务总局关于企业所得税应纳税所得额若干问题的公告》（2014年第29号）、《财政部 国家税务总局关于完善固定资产加速折旧税收政策有关问题的通知》（财税〔2014〕75号）、《财政部 国家税务总局关于进一步完善固定资产加速折旧企业所得税政策的通知》（财税〔2015〕106号）、《国家税务总局关于全民所有制企业公司制改制企业所得税处理问题的公告》（2017年第34号）、《财政部 税务总局关于设备器具扣除有关企业所得税政策的通知》（财税〔2018〕54号）、《国家税务总局关于设备器具扣除有关企业所得税政策执行问题的公告》（2018年第46号）、《财政部 税务总局关于扩大固定资产加速折旧优惠政策适用范围的公告》（2019年第66号）、《财政部 税务总局关于海南自由贸易港企业所得税优惠政策的通知》（财税〔2020〕31号）、《财政部 税务总局关于延长部分税收优惠政策执行期限的公告》（2021年第6号）、《财政部 税务总局关于中小微企业设备器具所得税税前扣除有关政策的公告》（2</w:t>
      </w:r>
      <w:r>
        <w:rPr>
          <w:rFonts w:ascii="宋体" w:hAnsi="宋体" w:eastAsia="宋体"/>
        </w:rPr>
        <w:t>022</w:t>
      </w:r>
      <w:r>
        <w:rPr>
          <w:rFonts w:hint="eastAsia" w:ascii="宋体" w:hAnsi="宋体" w:eastAsia="宋体"/>
        </w:rPr>
        <w:t>年第1</w:t>
      </w:r>
      <w:r>
        <w:rPr>
          <w:rFonts w:ascii="宋体" w:hAnsi="宋体" w:eastAsia="宋体"/>
        </w:rPr>
        <w:t>2</w:t>
      </w:r>
      <w:r>
        <w:rPr>
          <w:rFonts w:hint="eastAsia" w:ascii="宋体" w:hAnsi="宋体" w:eastAsia="宋体"/>
        </w:rPr>
        <w:t>号）、《财政部 税务总局 科技部关于加大支持科技创新税前扣除力度的公告》（2022年第28号）、</w:t>
      </w:r>
      <w:r>
        <w:rPr>
          <w:rFonts w:ascii="宋体" w:hAnsi="宋体" w:eastAsia="宋体"/>
          <w:lang w:val="en"/>
        </w:rPr>
        <w:t>《财政部 税务总局关于横琴粤澳深度合作区企业所得税优惠政策的通知》（财税〔2022〕19号）</w:t>
      </w:r>
      <w:r>
        <w:rPr>
          <w:rFonts w:hint="eastAsia" w:ascii="宋体" w:hAnsi="宋体" w:eastAsia="宋体"/>
        </w:rPr>
        <w:t>等相关规定，以及国家统一企业会计制度，填报资产折旧、摊销的会计处理、税收规定，以及纳税调整情况。纳税人只要发生相关事项，均需填报本表。</w:t>
      </w:r>
    </w:p>
    <w:p>
      <w:pPr>
        <w:pStyle w:val="94"/>
        <w:spacing w:line="360" w:lineRule="auto"/>
        <w:ind w:firstLine="482"/>
        <w:outlineLvl w:val="0"/>
        <w:rPr>
          <w:rFonts w:ascii="宋体" w:hAnsi="宋体" w:eastAsia="宋体"/>
          <w:b/>
          <w:bCs/>
        </w:rPr>
      </w:pPr>
      <w:bookmarkStart w:id="154" w:name="_Toc1483612704_WPSOffice_Level1"/>
      <w:bookmarkEnd w:id="154"/>
      <w:bookmarkStart w:id="155" w:name="_Toc196972449_WPSOffice_Level1"/>
      <w:bookmarkStart w:id="156" w:name="_Toc327713172_WPSOffice_Level1"/>
      <w:bookmarkStart w:id="157" w:name="_Toc463474984_WPSOffice_Level1"/>
      <w:r>
        <w:rPr>
          <w:rFonts w:hint="eastAsia" w:ascii="宋体" w:hAnsi="宋体" w:eastAsia="宋体"/>
          <w:b/>
          <w:bCs/>
        </w:rPr>
        <w:t>一、有关项目填报说明</w:t>
      </w:r>
      <w:bookmarkEnd w:id="155"/>
      <w:bookmarkEnd w:id="156"/>
      <w:bookmarkEnd w:id="157"/>
    </w:p>
    <w:p>
      <w:pPr>
        <w:pStyle w:val="94"/>
        <w:spacing w:line="360" w:lineRule="auto"/>
        <w:ind w:firstLine="480"/>
        <w:outlineLvl w:val="1"/>
        <w:rPr>
          <w:rFonts w:ascii="宋体" w:hAnsi="宋体" w:eastAsia="宋体"/>
        </w:rPr>
      </w:pPr>
      <w:bookmarkStart w:id="158" w:name="_Toc77493887_WPSOffice_Level2"/>
      <w:bookmarkEnd w:id="158"/>
      <w:bookmarkStart w:id="159" w:name="_Toc650894371_WPSOffice_Level2"/>
      <w:r>
        <w:rPr>
          <w:rFonts w:hint="eastAsia" w:ascii="宋体" w:hAnsi="宋体" w:eastAsia="宋体"/>
        </w:rPr>
        <w:t>（一）列次填报</w:t>
      </w:r>
      <w:bookmarkEnd w:id="159"/>
    </w:p>
    <w:p>
      <w:pPr>
        <w:pStyle w:val="94"/>
        <w:spacing w:line="360" w:lineRule="auto"/>
        <w:ind w:firstLine="480"/>
        <w:rPr>
          <w:rFonts w:ascii="宋体" w:hAnsi="宋体" w:eastAsia="宋体"/>
        </w:rPr>
      </w:pPr>
      <w:r>
        <w:rPr>
          <w:rFonts w:hint="eastAsia" w:ascii="宋体" w:hAnsi="宋体" w:eastAsia="宋体"/>
        </w:rPr>
        <w:t>对于不征税收入形成的资产，其折旧、摊销额不得税前扣除。第4列至第8列税收金额不包含不征税收入所形成资产的折旧、摊销额。</w:t>
      </w:r>
    </w:p>
    <w:p>
      <w:pPr>
        <w:pStyle w:val="94"/>
        <w:spacing w:line="360" w:lineRule="auto"/>
        <w:ind w:firstLine="480"/>
        <w:rPr>
          <w:rFonts w:ascii="宋体" w:hAnsi="宋体" w:eastAsia="宋体"/>
        </w:rPr>
      </w:pPr>
      <w:r>
        <w:rPr>
          <w:rFonts w:hint="eastAsia" w:ascii="宋体" w:hAnsi="宋体" w:eastAsia="宋体"/>
        </w:rPr>
        <w:t>1.第1列“资产原值”：填报纳税人会计处理计提折旧、摊销的资产原值（或历史成本）的金额。</w:t>
      </w:r>
    </w:p>
    <w:p>
      <w:pPr>
        <w:pStyle w:val="94"/>
        <w:spacing w:line="360" w:lineRule="auto"/>
        <w:ind w:firstLine="480"/>
        <w:rPr>
          <w:rFonts w:ascii="宋体" w:hAnsi="宋体" w:eastAsia="宋体"/>
        </w:rPr>
      </w:pPr>
      <w:r>
        <w:rPr>
          <w:rFonts w:hint="eastAsia" w:ascii="宋体" w:hAnsi="宋体" w:eastAsia="宋体"/>
        </w:rPr>
        <w:t>2.第2列“本年折旧、摊销额”：填报纳税人会计核算的本年资产折旧、摊销额。</w:t>
      </w:r>
    </w:p>
    <w:p>
      <w:pPr>
        <w:pStyle w:val="94"/>
        <w:spacing w:line="360" w:lineRule="auto"/>
        <w:ind w:firstLine="480"/>
        <w:rPr>
          <w:rFonts w:hint="eastAsia" w:ascii="宋体" w:hAnsi="宋体" w:eastAsia="宋体"/>
        </w:rPr>
      </w:pPr>
      <w:r>
        <w:rPr>
          <w:rFonts w:hint="eastAsia" w:ascii="宋体" w:hAnsi="宋体" w:eastAsia="宋体"/>
        </w:rPr>
        <w:t>3.第3列“累计折旧、摊销额”：填报纳税人会计核算的累计（含本年）资产折旧、摊销额。</w:t>
      </w:r>
    </w:p>
    <w:p>
      <w:pPr>
        <w:pStyle w:val="94"/>
        <w:spacing w:line="360" w:lineRule="auto"/>
        <w:ind w:firstLine="480"/>
        <w:rPr>
          <w:rFonts w:ascii="宋体" w:hAnsi="宋体" w:eastAsia="宋体"/>
        </w:rPr>
      </w:pPr>
      <w:r>
        <w:rPr>
          <w:rFonts w:hint="eastAsia" w:ascii="宋体" w:hAnsi="宋体" w:eastAsia="宋体"/>
        </w:rPr>
        <w:t>4.第4列“资产计税基础”：填报纳税人按照税收规定据以计算折旧、摊销的资产原值（或历史成本）的金额。</w:t>
      </w:r>
    </w:p>
    <w:p>
      <w:pPr>
        <w:pStyle w:val="94"/>
        <w:ind w:firstLine="480"/>
        <w:rPr>
          <w:rFonts w:ascii="宋体" w:hAnsi="宋体" w:eastAsia="宋体"/>
        </w:rPr>
      </w:pPr>
      <w:r>
        <w:rPr>
          <w:rFonts w:hint="eastAsia" w:ascii="宋体" w:hAnsi="宋体" w:eastAsia="宋体"/>
        </w:rPr>
        <w:t>5.第5列“税收折旧、摊销额”：填报纳税人按照税收规定计算的允许税前扣除的本年资产折旧、摊销额。</w:t>
      </w:r>
    </w:p>
    <w:p>
      <w:pPr>
        <w:pStyle w:val="94"/>
        <w:ind w:firstLine="480"/>
        <w:rPr>
          <w:rFonts w:ascii="宋体" w:hAnsi="宋体" w:eastAsia="宋体"/>
        </w:rPr>
      </w:pPr>
      <w:r>
        <w:rPr>
          <w:rFonts w:hint="eastAsia" w:ascii="宋体" w:hAnsi="宋体" w:eastAsia="宋体"/>
        </w:rPr>
        <w:t>第8行至第17行、第30行至第32行第5列“税收折旧、摊销额”：填报享受相关加速折旧、摊销优惠政策的资产，采取税收加速折旧、摊销或一次性扣除方式计算的税收折旧额合计金额、摊销额合计金额。本列仅填报“税收折旧、摊销额”大于“享受加速折旧政策的资产按税收一般规定计算的折旧、摊销额”月份的金额合计。如，享受加速折旧、摊销优惠政策的资产，发生本年度某些月份其“税收折旧、摊销额”大于“享受加速折旧政策的资产按税收一般规定计算的折旧、摊销额”，其余月份其“税收折旧、摊销额”小于“享受加速折旧政策的资产按税收一般规定计算的折旧、摊销额”的情形，仅填报“税收折旧、摊销额”大于“享受加速折旧政策的资产按税收一般规定计算的折旧、摊销额”月份的税收折旧额合计金额、摊销额合计金额。</w:t>
      </w:r>
    </w:p>
    <w:p>
      <w:pPr>
        <w:pStyle w:val="94"/>
        <w:ind w:firstLine="480"/>
        <w:rPr>
          <w:rFonts w:ascii="宋体" w:hAnsi="宋体" w:eastAsia="宋体"/>
        </w:rPr>
      </w:pPr>
      <w:r>
        <w:rPr>
          <w:rFonts w:hint="eastAsia" w:ascii="宋体" w:hAnsi="宋体" w:eastAsia="宋体"/>
        </w:rPr>
        <w:t>6.第6列“享受加速折旧政策的资产按税收一般规定计算的折旧、摊销额”：仅适用于第8行至第17行、第30行至第32行，填报纳税人享受加速折旧、摊销优惠政策的资产，按照税收一般规定计算的折旧额合计金额、摊销额合计金额。按照税收一般规定计算的折旧、摊销额，是指该资产在不享受加速折旧、摊销优惠政策情况下，按照税收规定的最低折旧年限以直线法计算的折旧额、摊销额。本列仅填报“税收折旧、摊销额”大于“享受加速折旧政策的资产按税收一般规定计算的折旧、摊销额”月份的按税收一般规定计算的折旧额合计金额、摊销额合计金额。</w:t>
      </w:r>
    </w:p>
    <w:p>
      <w:pPr>
        <w:pStyle w:val="94"/>
        <w:ind w:firstLine="480"/>
        <w:rPr>
          <w:rFonts w:ascii="宋体" w:hAnsi="宋体" w:eastAsia="宋体"/>
        </w:rPr>
      </w:pPr>
      <w:r>
        <w:rPr>
          <w:rFonts w:hint="eastAsia" w:ascii="宋体" w:hAnsi="宋体" w:eastAsia="宋体"/>
        </w:rPr>
        <w:t>7.第7列“加速折旧、摊销统计额”：用于统计纳税人享受各类固定资产加速折旧政策的优惠金额，按第5-6列金额填报。</w:t>
      </w:r>
    </w:p>
    <w:p>
      <w:pPr>
        <w:pStyle w:val="94"/>
        <w:ind w:firstLine="480"/>
        <w:rPr>
          <w:rFonts w:ascii="宋体" w:hAnsi="宋体" w:eastAsia="宋体"/>
        </w:rPr>
      </w:pPr>
      <w:r>
        <w:rPr>
          <w:rFonts w:hint="eastAsia" w:ascii="宋体" w:hAnsi="宋体" w:eastAsia="宋体"/>
        </w:rPr>
        <w:t>8.第8列“累计折旧、摊销额”：填报纳税人按照税收规定计算的累计（含本年）资产折旧、摊销额。</w:t>
      </w:r>
    </w:p>
    <w:p>
      <w:pPr>
        <w:pStyle w:val="94"/>
        <w:ind w:firstLine="480"/>
        <w:rPr>
          <w:rFonts w:ascii="宋体" w:hAnsi="宋体" w:eastAsia="宋体"/>
        </w:rPr>
      </w:pPr>
      <w:r>
        <w:rPr>
          <w:rFonts w:hint="eastAsia" w:ascii="宋体" w:hAnsi="宋体" w:eastAsia="宋体"/>
        </w:rPr>
        <w:t>9.第9列“纳税调整金额”：填报第2-5列金额。</w:t>
      </w:r>
    </w:p>
    <w:p>
      <w:pPr>
        <w:pStyle w:val="94"/>
        <w:ind w:firstLine="480"/>
        <w:outlineLvl w:val="1"/>
        <w:rPr>
          <w:rFonts w:ascii="宋体" w:hAnsi="宋体" w:eastAsia="宋体"/>
        </w:rPr>
      </w:pPr>
      <w:bookmarkStart w:id="160" w:name="_Toc2143575215_WPSOffice_Level2"/>
      <w:bookmarkEnd w:id="160"/>
      <w:bookmarkStart w:id="161" w:name="_Toc2134285112_WPSOffice_Level2"/>
      <w:r>
        <w:rPr>
          <w:rFonts w:hint="eastAsia" w:ascii="宋体" w:hAnsi="宋体" w:eastAsia="宋体"/>
        </w:rPr>
        <w:t>（二）行次填报</w:t>
      </w:r>
      <w:bookmarkEnd w:id="161"/>
    </w:p>
    <w:p>
      <w:pPr>
        <w:pStyle w:val="94"/>
        <w:ind w:firstLine="480"/>
        <w:rPr>
          <w:rFonts w:ascii="宋体" w:hAnsi="宋体" w:eastAsia="宋体"/>
        </w:rPr>
      </w:pPr>
      <w:r>
        <w:rPr>
          <w:rFonts w:hint="eastAsia" w:ascii="宋体" w:hAnsi="宋体" w:eastAsia="宋体"/>
        </w:rPr>
        <w:t>1.第2行至第7行、第19行至第20行、第22行至第29行、第34行至第40行：填报各类资产有关情况。</w:t>
      </w:r>
    </w:p>
    <w:p>
      <w:pPr>
        <w:pStyle w:val="94"/>
        <w:ind w:firstLine="480"/>
        <w:rPr>
          <w:rFonts w:ascii="宋体" w:hAnsi="宋体" w:eastAsia="宋体"/>
        </w:rPr>
      </w:pPr>
      <w:r>
        <w:rPr>
          <w:rFonts w:hint="eastAsia" w:ascii="宋体" w:hAnsi="宋体" w:eastAsia="宋体"/>
        </w:rPr>
        <w:t>2. 第8行至第17行、第30行至第32行：填报纳税人享受相关加速折旧、摊销优惠政策的资产有关情况及优惠统计情况。若固定资产或无形资产同时适用多项政策，由纳税人自行选择一项政策填报。同一项固定资产或无形资产不得重复填报。</w:t>
      </w:r>
    </w:p>
    <w:p>
      <w:pPr>
        <w:pStyle w:val="94"/>
        <w:ind w:firstLine="480"/>
        <w:rPr>
          <w:rFonts w:ascii="宋体" w:hAnsi="宋体" w:eastAsia="宋体"/>
        </w:rPr>
      </w:pPr>
      <w:r>
        <w:rPr>
          <w:rFonts w:hint="eastAsia" w:ascii="宋体" w:hAnsi="宋体" w:eastAsia="宋体"/>
        </w:rPr>
        <w:t>第8行“（一）重要行业固定资产加速折旧”：适用于符合财税〔2014〕75号、财税〔2015〕106号和财政部、税务总局公告2019年第66号文件规定的制造业，信息传输、软件和信息技术服务业行业（以下称“重要行业”）的企业填报，填报新购进固定资产享受加速折旧政策的有关情况及优惠统计情况。</w:t>
      </w:r>
    </w:p>
    <w:p>
      <w:pPr>
        <w:pStyle w:val="94"/>
        <w:ind w:firstLine="480"/>
        <w:rPr>
          <w:rFonts w:ascii="宋体" w:hAnsi="宋体" w:eastAsia="宋体"/>
        </w:rPr>
      </w:pPr>
      <w:r>
        <w:rPr>
          <w:rFonts w:hint="eastAsia" w:ascii="宋体" w:hAnsi="宋体" w:eastAsia="宋体"/>
        </w:rPr>
        <w:t>第9行“（二）其他行业研发设备加速折旧”：适用于重要行业以外的其他企业填报，填报单位价值超过100万元以上专用研发设备采取缩短折旧年限或加速折旧方法的有关情况及优惠统计情况。</w:t>
      </w:r>
    </w:p>
    <w:p>
      <w:pPr>
        <w:pStyle w:val="94"/>
        <w:ind w:firstLine="480"/>
        <w:rPr>
          <w:rFonts w:ascii="宋体" w:hAnsi="宋体" w:eastAsia="宋体"/>
        </w:rPr>
      </w:pPr>
      <w:r>
        <w:rPr>
          <w:rFonts w:hint="eastAsia" w:ascii="宋体" w:hAnsi="宋体" w:eastAsia="宋体"/>
        </w:rPr>
        <w:t>第10行“（三）特定地区企业固定资产加速折旧”：适用于海南自由贸易港等特定地区设立的企业填报享受固定资产加速折旧政策有关情况。本行填报第10.1+10.2行金额。</w:t>
      </w:r>
    </w:p>
    <w:p>
      <w:pPr>
        <w:pStyle w:val="94"/>
        <w:ind w:firstLine="480"/>
        <w:rPr>
          <w:rFonts w:ascii="宋体" w:hAnsi="宋体" w:eastAsia="宋体"/>
        </w:rPr>
      </w:pPr>
      <w:r>
        <w:rPr>
          <w:rFonts w:hint="eastAsia" w:ascii="宋体" w:hAnsi="宋体" w:eastAsia="宋体"/>
        </w:rPr>
        <w:t>第10.1行“1.海南自由贸易港企业固定资产加速折旧”：海南自由贸易港企业填报新购置（含自建）单位价值500万元以上的固定资产，按照税收规定采取缩短折旧年限或加速折旧方法的有关情况及优惠统计情况。</w:t>
      </w:r>
    </w:p>
    <w:p>
      <w:pPr>
        <w:pStyle w:val="94"/>
        <w:ind w:firstLine="480"/>
        <w:rPr>
          <w:rFonts w:ascii="宋体" w:hAnsi="宋体" w:eastAsia="宋体"/>
        </w:rPr>
      </w:pPr>
      <w:r>
        <w:rPr>
          <w:rFonts w:hint="eastAsia" w:ascii="宋体" w:hAnsi="宋体" w:eastAsia="宋体"/>
        </w:rPr>
        <w:t>第10.2行“2.横琴粤澳深度合作区企业固定资产加速折旧”：横琴粤澳深度合作区企业填报新购置(含自建)单位价值500万元以上的固定资产，按照税收规定采取缩短折旧年限或加速折旧方法的固定资产有关情况及优惠统计情况。</w:t>
      </w:r>
    </w:p>
    <w:p>
      <w:pPr>
        <w:pStyle w:val="94"/>
        <w:ind w:firstLine="480"/>
        <w:rPr>
          <w:rFonts w:ascii="宋体" w:hAnsi="宋体" w:eastAsia="宋体"/>
        </w:rPr>
      </w:pPr>
      <w:r>
        <w:rPr>
          <w:rFonts w:hint="eastAsia" w:ascii="宋体" w:hAnsi="宋体" w:eastAsia="宋体"/>
        </w:rPr>
        <w:t>第11行“（四）500万元以下设备器具一次性扣除”：填报新购置单位价值不超过500万元的设备器具等，按照税收规定一次性扣除的有关情况及优惠统计情况。本行填报第11.1+11.2行金额。</w:t>
      </w:r>
    </w:p>
    <w:p>
      <w:pPr>
        <w:pStyle w:val="94"/>
        <w:ind w:firstLine="480"/>
        <w:rPr>
          <w:rFonts w:ascii="宋体" w:hAnsi="宋体" w:eastAsia="宋体"/>
        </w:rPr>
      </w:pPr>
      <w:r>
        <w:rPr>
          <w:rFonts w:hint="eastAsia" w:ascii="宋体" w:hAnsi="宋体" w:eastAsia="宋体"/>
        </w:rPr>
        <w:t>第1</w:t>
      </w:r>
      <w:r>
        <w:rPr>
          <w:rFonts w:ascii="宋体" w:hAnsi="宋体" w:eastAsia="宋体"/>
        </w:rPr>
        <w:t>1.1</w:t>
      </w:r>
      <w:r>
        <w:rPr>
          <w:rFonts w:hint="eastAsia" w:ascii="宋体" w:hAnsi="宋体" w:eastAsia="宋体"/>
        </w:rPr>
        <w:t>行“高新技术企业2022年第四季度（10月-12月）购置单价500万元以下设备器具一次性扣除”：高新技术企业填报2022年第四季度（10月-12月）新购置单位价值不超过500万元的设备器具等，按照税收规定一次性扣除的有关情况及优惠统计情况。</w:t>
      </w:r>
    </w:p>
    <w:p>
      <w:pPr>
        <w:pStyle w:val="94"/>
        <w:ind w:firstLine="480"/>
        <w:rPr>
          <w:rFonts w:ascii="宋体" w:hAnsi="宋体" w:eastAsia="宋体"/>
        </w:rPr>
      </w:pPr>
      <w:r>
        <w:rPr>
          <w:rFonts w:hint="eastAsia" w:ascii="宋体" w:hAnsi="宋体" w:eastAsia="宋体"/>
        </w:rPr>
        <w:t>第1</w:t>
      </w:r>
      <w:r>
        <w:rPr>
          <w:rFonts w:ascii="宋体" w:hAnsi="宋体" w:eastAsia="宋体"/>
        </w:rPr>
        <w:t>1.2</w:t>
      </w:r>
      <w:r>
        <w:rPr>
          <w:rFonts w:hint="eastAsia" w:ascii="宋体" w:hAnsi="宋体" w:eastAsia="宋体"/>
        </w:rPr>
        <w:t>行“购置单价500万元以下设备器具一次性扣除</w:t>
      </w:r>
      <w:r>
        <w:rPr>
          <w:rFonts w:hint="eastAsia" w:ascii="宋体" w:hAnsi="宋体" w:eastAsia="宋体"/>
          <w:lang w:val="en"/>
        </w:rPr>
        <w:t>(不包含高新技术企业</w:t>
      </w:r>
      <w:r>
        <w:rPr>
          <w:rFonts w:hint="eastAsia" w:ascii="宋体" w:hAnsi="宋体" w:eastAsia="宋体"/>
        </w:rPr>
        <w:t>2022年第四季度购置</w:t>
      </w:r>
      <w:r>
        <w:rPr>
          <w:rFonts w:hint="eastAsia" w:ascii="宋体" w:hAnsi="宋体" w:eastAsia="宋体"/>
          <w:lang w:val="en"/>
        </w:rPr>
        <w:t>)</w:t>
      </w:r>
      <w:r>
        <w:rPr>
          <w:rFonts w:hint="eastAsia" w:ascii="宋体" w:hAnsi="宋体" w:eastAsia="宋体"/>
        </w:rPr>
        <w:t>”：除高新技术企业以外的其他企业填报新购置单位价值不超过500万元的设备器具或者高新技术企业填报除2022年第四季度（10月-12月）以外新购置单位价值不超过500万元的设备器具，按照税收规定一次性扣除的有关情况及优惠统计情况。高新技术企业2022年第四季度（10月-12月）新购置单位价值不超过500万元的设备器具等一次性扣除情况，在第11.1行“高新技术企业2022年第四季度（10月-12月）购置单价500万元以下设备器具一次性扣除”填报。</w:t>
      </w:r>
    </w:p>
    <w:p>
      <w:pPr>
        <w:pStyle w:val="94"/>
        <w:ind w:firstLine="480"/>
        <w:rPr>
          <w:rFonts w:ascii="宋体" w:hAnsi="宋体" w:eastAsia="宋体"/>
        </w:rPr>
      </w:pPr>
      <w:r>
        <w:rPr>
          <w:rFonts w:hint="eastAsia" w:ascii="宋体" w:hAnsi="宋体" w:eastAsia="宋体"/>
        </w:rPr>
        <w:t>第1</w:t>
      </w:r>
      <w:r>
        <w:rPr>
          <w:rFonts w:ascii="宋体" w:hAnsi="宋体" w:eastAsia="宋体"/>
        </w:rPr>
        <w:t>2</w:t>
      </w:r>
      <w:r>
        <w:rPr>
          <w:rFonts w:hint="eastAsia" w:ascii="宋体" w:hAnsi="宋体" w:eastAsia="宋体"/>
        </w:rPr>
        <w:t>行“（五）500万元以上设备器具一次性扣除”：填报新购置单位价值超过500万元的设备器具等，按照税收规定部分或全部一次性扣除的有关情况及优惠统计情况。第1</w:t>
      </w:r>
      <w:r>
        <w:rPr>
          <w:rFonts w:ascii="宋体" w:hAnsi="宋体" w:eastAsia="宋体"/>
        </w:rPr>
        <w:t>2.1</w:t>
      </w:r>
      <w:r>
        <w:rPr>
          <w:rFonts w:hint="eastAsia" w:ascii="宋体" w:hAnsi="宋体" w:eastAsia="宋体"/>
        </w:rPr>
        <w:t>行、第12.2行、第</w:t>
      </w:r>
      <w:r>
        <w:rPr>
          <w:rFonts w:ascii="宋体" w:hAnsi="宋体" w:eastAsia="宋体"/>
        </w:rPr>
        <w:t>12.3</w:t>
      </w:r>
      <w:r>
        <w:rPr>
          <w:rFonts w:hint="eastAsia" w:ascii="宋体" w:hAnsi="宋体" w:eastAsia="宋体"/>
        </w:rPr>
        <w:t>行适用中小微企业填报2022年1月1日至2022年12月31日期间新购置的设备器具所得税税前扣除政策有关情况，第1</w:t>
      </w:r>
      <w:r>
        <w:rPr>
          <w:rFonts w:ascii="宋体" w:hAnsi="宋体" w:eastAsia="宋体"/>
        </w:rPr>
        <w:t>2.4</w:t>
      </w:r>
      <w:r>
        <w:rPr>
          <w:rFonts w:hint="eastAsia" w:ascii="宋体" w:hAnsi="宋体" w:eastAsia="宋体"/>
        </w:rPr>
        <w:t>行适用高新技术企业填报2022年第四季度购置设备器具所得税税前扣除政策有关情况。本行填报第12.1+12.2+12.3+12.4行金额。</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2.1</w:t>
      </w:r>
      <w:r>
        <w:rPr>
          <w:rFonts w:hint="eastAsia" w:ascii="宋体" w:hAnsi="宋体"/>
          <w:sz w:val="24"/>
        </w:rPr>
        <w:t>行“</w:t>
      </w:r>
      <w:r>
        <w:rPr>
          <w:rFonts w:ascii="宋体" w:hAnsi="宋体"/>
          <w:sz w:val="24"/>
        </w:rPr>
        <w:t>1.</w:t>
      </w:r>
      <w:r>
        <w:rPr>
          <w:rFonts w:hint="eastAsia" w:ascii="宋体" w:hAnsi="宋体"/>
          <w:sz w:val="24"/>
        </w:rPr>
        <w:t>中小微企业购置单价500万元以上设备器具—最低折旧年限为3年的设备器具一次性扣除”，填报中小微企业新购置单位价值5</w:t>
      </w:r>
      <w:r>
        <w:rPr>
          <w:rFonts w:ascii="宋体" w:hAnsi="宋体"/>
          <w:sz w:val="24"/>
        </w:rPr>
        <w:t>00</w:t>
      </w:r>
      <w:r>
        <w:rPr>
          <w:rFonts w:hint="eastAsia" w:ascii="宋体" w:hAnsi="宋体"/>
          <w:sz w:val="24"/>
        </w:rPr>
        <w:t>万元以上的设备器具（折旧年限为3年），按照税收规定一次性扣除的有关情况及优惠统计情况。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2.2</w:t>
      </w:r>
      <w:r>
        <w:rPr>
          <w:rFonts w:hint="eastAsia" w:ascii="宋体" w:hAnsi="宋体"/>
          <w:sz w:val="24"/>
        </w:rPr>
        <w:t>行“</w:t>
      </w:r>
      <w:r>
        <w:rPr>
          <w:rFonts w:ascii="宋体" w:hAnsi="宋体"/>
          <w:sz w:val="24"/>
        </w:rPr>
        <w:t>2.</w:t>
      </w:r>
      <w:r>
        <w:rPr>
          <w:rFonts w:hint="eastAsia" w:ascii="宋体" w:hAnsi="宋体"/>
          <w:sz w:val="24"/>
        </w:rPr>
        <w:t>中小微企业购置单价500万元以上设备器具—最低折旧年限为4、5年的设备器具50%部分一次性扣除”，填报中小微企业新购置单位价值5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4</w:t>
      </w:r>
      <w:r>
        <w:rPr>
          <w:rFonts w:hint="eastAsia" w:ascii="宋体" w:hAnsi="宋体"/>
          <w:sz w:val="24"/>
        </w:rPr>
        <w:t>、5年）5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2.3</w:t>
      </w:r>
      <w:r>
        <w:rPr>
          <w:rFonts w:hint="eastAsia" w:ascii="宋体" w:hAnsi="宋体"/>
          <w:sz w:val="24"/>
        </w:rPr>
        <w:t>行“</w:t>
      </w:r>
      <w:r>
        <w:rPr>
          <w:rFonts w:ascii="宋体" w:hAnsi="宋体"/>
          <w:sz w:val="24"/>
        </w:rPr>
        <w:t>3.</w:t>
      </w:r>
      <w:r>
        <w:rPr>
          <w:rFonts w:hint="eastAsia" w:ascii="宋体" w:hAnsi="宋体"/>
          <w:sz w:val="24"/>
        </w:rPr>
        <w:t>中小微企业购置单价500万元以上设备器具—最低折旧年限为10年的设备器具50%部分一次性扣除”，填报中小微企业新购置单位价值5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10</w:t>
      </w:r>
      <w:r>
        <w:rPr>
          <w:rFonts w:hint="eastAsia" w:ascii="宋体" w:hAnsi="宋体"/>
          <w:sz w:val="24"/>
        </w:rPr>
        <w:t>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2.4</w:t>
      </w:r>
      <w:r>
        <w:rPr>
          <w:rFonts w:hint="eastAsia" w:ascii="宋体" w:hAnsi="宋体"/>
          <w:sz w:val="24"/>
        </w:rPr>
        <w:t>行“4</w:t>
      </w:r>
      <w:r>
        <w:rPr>
          <w:rFonts w:ascii="宋体" w:hAnsi="宋体"/>
          <w:sz w:val="24"/>
        </w:rPr>
        <w:t>.</w:t>
      </w:r>
      <w:r>
        <w:rPr>
          <w:rFonts w:hint="eastAsia" w:ascii="宋体" w:hAnsi="宋体"/>
          <w:sz w:val="24"/>
        </w:rPr>
        <w:t>高新技术企业2022年第四季度（10月-12月）购置单价500万元以上设备器具一次性扣除”：填报高新技术企业2022年第四季度（10月-12月）新购置单位价值5</w:t>
      </w:r>
      <w:r>
        <w:rPr>
          <w:rFonts w:ascii="宋体" w:hAnsi="宋体"/>
          <w:sz w:val="24"/>
        </w:rPr>
        <w:t>00</w:t>
      </w:r>
      <w:r>
        <w:rPr>
          <w:rFonts w:hint="eastAsia" w:ascii="宋体" w:hAnsi="宋体"/>
          <w:sz w:val="24"/>
        </w:rPr>
        <w:t>万元以上设备器具，按照税收规定一次性扣除的有关情况及优惠统计情况。</w:t>
      </w:r>
    </w:p>
    <w:p>
      <w:pPr>
        <w:pStyle w:val="94"/>
        <w:ind w:firstLine="480"/>
        <w:rPr>
          <w:rFonts w:ascii="宋体" w:hAnsi="宋体" w:eastAsia="宋体"/>
        </w:rPr>
      </w:pPr>
      <w:r>
        <w:rPr>
          <w:rFonts w:hint="eastAsia" w:ascii="宋体" w:hAnsi="宋体" w:eastAsia="宋体"/>
        </w:rPr>
        <w:t>第13行“（六）特定地区企业固定资产一次性扣除”：适用于海南自由贸易港等特定地区设立的企业填报享受固定资产一次性扣除政策有关情况。本行填报第13.1+13.2行金额。</w:t>
      </w:r>
    </w:p>
    <w:p>
      <w:pPr>
        <w:pStyle w:val="94"/>
        <w:ind w:firstLine="480"/>
        <w:rPr>
          <w:rFonts w:ascii="宋体" w:hAnsi="宋体" w:eastAsia="宋体"/>
        </w:rPr>
      </w:pPr>
      <w:r>
        <w:rPr>
          <w:rFonts w:hint="eastAsia" w:ascii="宋体" w:hAnsi="宋体" w:eastAsia="宋体"/>
        </w:rPr>
        <w:t>第13.1行“1.海南自由贸易港企业固定资产一次性扣除”：海南自由贸易港企业填报新购置(含自建)单位价值不超过5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94"/>
        <w:ind w:firstLine="480"/>
        <w:rPr>
          <w:rFonts w:ascii="宋体" w:hAnsi="宋体" w:eastAsia="宋体"/>
        </w:rPr>
      </w:pPr>
      <w:r>
        <w:rPr>
          <w:rFonts w:hint="eastAsia" w:ascii="宋体" w:hAnsi="宋体" w:eastAsia="宋体"/>
        </w:rPr>
        <w:t>第13.2行“2.横琴粤澳深度合作区企业固定资产一次性扣除”：横琴粤澳深度合作区企业填报新购置(含自建)单位价值不超过5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94"/>
        <w:ind w:firstLine="480"/>
        <w:rPr>
          <w:rFonts w:ascii="宋体" w:hAnsi="宋体" w:eastAsia="宋体"/>
        </w:rPr>
      </w:pPr>
      <w:r>
        <w:rPr>
          <w:rFonts w:hint="eastAsia" w:ascii="宋体" w:hAnsi="宋体" w:eastAsia="宋体"/>
        </w:rPr>
        <w:t>第14行“（七）技术进步、更新换代固定资产加速折旧”：填报固定资产因技术进步、产品更新换代较快而按税收规定享受固定资产加速折旧政策的有关情况及优惠统计情况。</w:t>
      </w:r>
    </w:p>
    <w:p>
      <w:pPr>
        <w:pStyle w:val="94"/>
        <w:ind w:firstLine="480"/>
        <w:rPr>
          <w:rFonts w:ascii="宋体" w:hAnsi="宋体" w:eastAsia="宋体"/>
        </w:rPr>
      </w:pPr>
      <w:r>
        <w:rPr>
          <w:rFonts w:hint="eastAsia" w:ascii="宋体" w:hAnsi="宋体" w:eastAsia="宋体"/>
        </w:rPr>
        <w:t>第15行“（八）常年强震动、高腐蚀固定资产加速折旧”：填报常年处于强震动、高腐蚀状态的固定资产按税收规定享受固定资产加速折旧政策的有关情况及优惠统计情况。</w:t>
      </w:r>
    </w:p>
    <w:p>
      <w:pPr>
        <w:pStyle w:val="94"/>
        <w:ind w:firstLine="480"/>
        <w:rPr>
          <w:rFonts w:ascii="宋体" w:hAnsi="宋体" w:eastAsia="宋体"/>
        </w:rPr>
      </w:pPr>
      <w:r>
        <w:rPr>
          <w:rFonts w:hint="eastAsia" w:ascii="宋体" w:hAnsi="宋体" w:eastAsia="宋体"/>
        </w:rPr>
        <w:t>第16行“（九）外购软件加速折旧”：填报企业外购软件作为固定资产处理，按财税〔2012〕27号文件规定享受加速折旧政策的有关情况及优惠统计情况。</w:t>
      </w:r>
    </w:p>
    <w:p>
      <w:pPr>
        <w:pStyle w:val="94"/>
        <w:ind w:firstLine="480"/>
        <w:rPr>
          <w:rFonts w:ascii="宋体" w:hAnsi="宋体" w:eastAsia="宋体"/>
        </w:rPr>
      </w:pPr>
      <w:r>
        <w:rPr>
          <w:rFonts w:hint="eastAsia" w:ascii="宋体" w:hAnsi="宋体" w:eastAsia="宋体"/>
        </w:rPr>
        <w:t>第17行“（十）集成电路企业生产设备加速折旧”：填报集成电路生产企业的生产设备，按照财税〔2012〕27号文件规定享受加速折旧政策的有关情况及优惠统计情况。</w:t>
      </w:r>
    </w:p>
    <w:p>
      <w:pPr>
        <w:pStyle w:val="94"/>
        <w:ind w:firstLine="480"/>
        <w:rPr>
          <w:rFonts w:ascii="宋体" w:hAnsi="宋体" w:eastAsia="宋体"/>
        </w:rPr>
      </w:pPr>
      <w:r>
        <w:rPr>
          <w:rFonts w:hint="eastAsia" w:ascii="宋体" w:hAnsi="宋体" w:eastAsia="宋体"/>
        </w:rPr>
        <w:t>第30行“（一）企业外购软件加速摊销”：填报企业外购软件作无形资产处理，按财税〔2012〕27号文件规定享受加速摊销政策的有关情况及优惠统计情况。</w:t>
      </w:r>
    </w:p>
    <w:p>
      <w:pPr>
        <w:pStyle w:val="94"/>
        <w:ind w:firstLine="480"/>
        <w:rPr>
          <w:rFonts w:ascii="宋体" w:hAnsi="宋体" w:eastAsia="宋体"/>
        </w:rPr>
      </w:pPr>
      <w:r>
        <w:rPr>
          <w:rFonts w:hint="eastAsia" w:ascii="宋体" w:hAnsi="宋体" w:eastAsia="宋体"/>
        </w:rPr>
        <w:t>第31行“（二）特定地区企业无形资产加速摊销”：适用于海南自由贸易港等特定地区设立的企业填报享受无形资产加速摊销政策有关情况。本行填报第31.1+31.2行金额。</w:t>
      </w:r>
    </w:p>
    <w:p>
      <w:pPr>
        <w:pStyle w:val="94"/>
        <w:ind w:firstLine="480"/>
        <w:rPr>
          <w:rFonts w:ascii="宋体" w:hAnsi="宋体" w:eastAsia="宋体"/>
        </w:rPr>
      </w:pPr>
      <w:r>
        <w:rPr>
          <w:rFonts w:hint="eastAsia" w:ascii="宋体" w:hAnsi="宋体" w:eastAsia="宋体"/>
        </w:rPr>
        <w:t>第31.1行“海南自由贸易港企业无形资产加速摊销”：海南自由贸易港企业填报新购置（含自行开发）单位价值超过5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94"/>
        <w:ind w:firstLine="480"/>
        <w:rPr>
          <w:rFonts w:ascii="宋体" w:hAnsi="宋体" w:eastAsia="宋体"/>
        </w:rPr>
      </w:pPr>
      <w:r>
        <w:rPr>
          <w:rFonts w:hint="eastAsia" w:ascii="宋体" w:hAnsi="宋体" w:eastAsia="宋体"/>
        </w:rPr>
        <w:t>第31.2行“横琴粤澳深度合作区企业无形资产加速摊销”：横琴粤澳深度合作区企业填报新购置（含自行开发）单位价值超过5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94"/>
        <w:ind w:firstLine="480"/>
        <w:rPr>
          <w:rFonts w:ascii="宋体" w:hAnsi="宋体" w:eastAsia="宋体"/>
        </w:rPr>
      </w:pPr>
      <w:r>
        <w:rPr>
          <w:rFonts w:hint="eastAsia" w:ascii="宋体" w:hAnsi="宋体" w:eastAsia="宋体"/>
        </w:rPr>
        <w:t>第32行“（三）特定地区企业无形资产一次性摊销”：适用于海南自由贸易港等特定地区设立的企业填报享受无形资产一次性摊销政策有关情况。本行填报第32.1+32.2行金额。</w:t>
      </w:r>
    </w:p>
    <w:p>
      <w:pPr>
        <w:pStyle w:val="94"/>
        <w:ind w:firstLine="480"/>
        <w:rPr>
          <w:rFonts w:ascii="宋体" w:hAnsi="宋体" w:eastAsia="宋体"/>
        </w:rPr>
      </w:pPr>
      <w:r>
        <w:rPr>
          <w:rFonts w:hint="eastAsia" w:ascii="宋体" w:hAnsi="宋体" w:eastAsia="宋体"/>
        </w:rPr>
        <w:t>第32.1行“海南自由贸易港企业无形资产一次性摊销”：海南自由贸易港企业填报新购置（含自行开发）单位价值不超过5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94"/>
        <w:ind w:firstLine="480"/>
        <w:rPr>
          <w:rFonts w:ascii="宋体" w:hAnsi="宋体" w:eastAsia="宋体"/>
        </w:rPr>
      </w:pPr>
      <w:r>
        <w:rPr>
          <w:rFonts w:hint="eastAsia" w:ascii="宋体" w:hAnsi="宋体" w:eastAsia="宋体"/>
        </w:rPr>
        <w:t>第32.2行“横琴粤澳深度合作区企业无形资产一次性摊销”：横琴粤澳深度合作区企业填报新购置（含自行开发）单位价值不超过5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94"/>
        <w:ind w:firstLine="480"/>
        <w:rPr>
          <w:rFonts w:ascii="宋体" w:hAnsi="宋体" w:eastAsia="宋体"/>
        </w:rPr>
      </w:pPr>
      <w:r>
        <w:rPr>
          <w:rFonts w:hint="eastAsia" w:ascii="宋体" w:hAnsi="宋体" w:eastAsia="宋体"/>
        </w:rPr>
        <w:t>3.附列资料“全民所有制企业公司制改制资产评估增值政策资产”：填报企业按照国家税务总局公告2017年第34号规定，执行“改制中资产评估增值不计入应纳税所得额，资产的计税基础按其原有计税基础确定，资产增值部分的折旧或者摊销不得在税前扣除”政策的有关情况。本行不参与计算，仅用于统计享受全民所有制企业公司制改制资产评估增值政策资产的有关情况，相关资产折旧、摊销情况及调整情况在第1行至第40行填报。</w:t>
      </w:r>
    </w:p>
    <w:p>
      <w:pPr>
        <w:pStyle w:val="94"/>
        <w:ind w:firstLine="482"/>
        <w:outlineLvl w:val="0"/>
        <w:rPr>
          <w:rFonts w:ascii="宋体" w:hAnsi="宋体" w:eastAsia="宋体"/>
          <w:b/>
          <w:bCs/>
        </w:rPr>
      </w:pPr>
      <w:bookmarkStart w:id="162" w:name="_Toc1017687144_WPSOffice_Level1"/>
      <w:bookmarkEnd w:id="162"/>
      <w:bookmarkStart w:id="163" w:name="_Toc1369110665_WPSOffice_Level1"/>
      <w:bookmarkStart w:id="164" w:name="_Toc729404382_WPSOffice_Level1"/>
      <w:bookmarkStart w:id="165" w:name="_Toc1648477118_WPSOffice_Level1"/>
      <w:r>
        <w:rPr>
          <w:rFonts w:hint="eastAsia" w:ascii="宋体" w:hAnsi="宋体" w:eastAsia="宋体"/>
          <w:b/>
          <w:bCs/>
        </w:rPr>
        <w:t>二、表内、表间关系</w:t>
      </w:r>
      <w:bookmarkEnd w:id="163"/>
      <w:bookmarkEnd w:id="164"/>
      <w:bookmarkEnd w:id="165"/>
    </w:p>
    <w:p>
      <w:pPr>
        <w:pStyle w:val="94"/>
        <w:ind w:firstLine="480"/>
        <w:outlineLvl w:val="1"/>
        <w:rPr>
          <w:rFonts w:ascii="宋体" w:hAnsi="宋体" w:eastAsia="宋体"/>
        </w:rPr>
      </w:pPr>
      <w:bookmarkStart w:id="166" w:name="_Toc1322846752_WPSOffice_Level2"/>
      <w:bookmarkEnd w:id="166"/>
      <w:bookmarkStart w:id="167" w:name="_Toc303342233_WPSOffice_Level2"/>
      <w:r>
        <w:rPr>
          <w:rFonts w:hint="eastAsia" w:ascii="宋体" w:hAnsi="宋体" w:eastAsia="宋体"/>
        </w:rPr>
        <w:t>（一）表内关系</w:t>
      </w:r>
      <w:bookmarkEnd w:id="167"/>
    </w:p>
    <w:p>
      <w:pPr>
        <w:pStyle w:val="94"/>
        <w:ind w:firstLine="480"/>
        <w:rPr>
          <w:rFonts w:ascii="宋体" w:hAnsi="宋体" w:eastAsia="宋体"/>
        </w:rPr>
      </w:pPr>
      <w:r>
        <w:rPr>
          <w:rFonts w:hint="eastAsia" w:ascii="宋体" w:hAnsi="宋体" w:eastAsia="宋体"/>
        </w:rPr>
        <w:t>1.第1行＝第2+3+…+7行。</w:t>
      </w:r>
    </w:p>
    <w:p>
      <w:pPr>
        <w:pStyle w:val="94"/>
        <w:ind w:firstLine="480"/>
        <w:rPr>
          <w:rFonts w:hint="eastAsia" w:ascii="宋体" w:hAnsi="宋体" w:eastAsia="宋体"/>
        </w:rPr>
      </w:pPr>
      <w:r>
        <w:rPr>
          <w:rFonts w:hint="eastAsia" w:ascii="宋体" w:hAnsi="宋体" w:eastAsia="宋体"/>
        </w:rPr>
        <w:t>2.第10行＝第10.1行+第10.2行。</w:t>
      </w:r>
    </w:p>
    <w:p>
      <w:pPr>
        <w:pStyle w:val="94"/>
        <w:ind w:firstLine="480"/>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第1</w:t>
      </w:r>
      <w:r>
        <w:rPr>
          <w:rFonts w:ascii="宋体" w:hAnsi="宋体" w:eastAsia="宋体"/>
        </w:rPr>
        <w:t>1</w:t>
      </w:r>
      <w:r>
        <w:rPr>
          <w:rFonts w:hint="eastAsia" w:ascii="宋体" w:hAnsi="宋体" w:eastAsia="宋体"/>
        </w:rPr>
        <w:t>行=第1</w:t>
      </w:r>
      <w:r>
        <w:rPr>
          <w:rFonts w:ascii="宋体" w:hAnsi="宋体" w:eastAsia="宋体"/>
        </w:rPr>
        <w:t>1.1</w:t>
      </w:r>
      <w:r>
        <w:rPr>
          <w:rFonts w:hint="eastAsia" w:ascii="宋体" w:hAnsi="宋体" w:eastAsia="宋体"/>
        </w:rPr>
        <w:t>行+第1</w:t>
      </w:r>
      <w:r>
        <w:rPr>
          <w:rFonts w:ascii="宋体" w:hAnsi="宋体" w:eastAsia="宋体"/>
        </w:rPr>
        <w:t>1.2</w:t>
      </w:r>
      <w:r>
        <w:rPr>
          <w:rFonts w:hint="eastAsia" w:ascii="宋体" w:hAnsi="宋体" w:eastAsia="宋体"/>
        </w:rPr>
        <w:t>行。</w:t>
      </w:r>
    </w:p>
    <w:p>
      <w:pPr>
        <w:pStyle w:val="94"/>
        <w:ind w:firstLine="480"/>
        <w:rPr>
          <w:rFonts w:hint="eastAsia" w:ascii="宋体" w:hAnsi="宋体" w:eastAsia="宋体"/>
        </w:rPr>
      </w:pPr>
      <w:r>
        <w:rPr>
          <w:rFonts w:ascii="宋体" w:hAnsi="宋体" w:eastAsia="宋体"/>
        </w:rPr>
        <w:t>4.</w:t>
      </w:r>
      <w:r>
        <w:rPr>
          <w:rFonts w:hint="eastAsia" w:ascii="宋体" w:hAnsi="宋体" w:eastAsia="宋体"/>
        </w:rPr>
        <w:t>第1</w:t>
      </w:r>
      <w:r>
        <w:rPr>
          <w:rFonts w:ascii="宋体" w:hAnsi="宋体" w:eastAsia="宋体"/>
        </w:rPr>
        <w:t>2</w:t>
      </w:r>
      <w:r>
        <w:rPr>
          <w:rFonts w:hint="eastAsia" w:ascii="宋体" w:hAnsi="宋体" w:eastAsia="宋体"/>
        </w:rPr>
        <w:t>行=第1</w:t>
      </w:r>
      <w:r>
        <w:rPr>
          <w:rFonts w:ascii="宋体" w:hAnsi="宋体" w:eastAsia="宋体"/>
        </w:rPr>
        <w:t>2.1+12.2+12.3+12.4</w:t>
      </w:r>
      <w:r>
        <w:rPr>
          <w:rFonts w:hint="eastAsia" w:ascii="宋体" w:hAnsi="宋体" w:eastAsia="宋体"/>
        </w:rPr>
        <w:t>行。</w:t>
      </w:r>
    </w:p>
    <w:p>
      <w:pPr>
        <w:pStyle w:val="94"/>
        <w:ind w:firstLine="480"/>
        <w:rPr>
          <w:rFonts w:hint="eastAsia" w:ascii="宋体" w:hAnsi="宋体" w:eastAsia="宋体"/>
        </w:rPr>
      </w:pPr>
      <w:r>
        <w:rPr>
          <w:rFonts w:ascii="宋体" w:hAnsi="宋体" w:eastAsia="宋体"/>
        </w:rPr>
        <w:t>5</w:t>
      </w:r>
      <w:r>
        <w:rPr>
          <w:rFonts w:hint="eastAsia" w:ascii="宋体" w:hAnsi="宋体" w:eastAsia="宋体"/>
        </w:rPr>
        <w:t>.第13行＝第13.1+13.2行。</w:t>
      </w:r>
    </w:p>
    <w:p>
      <w:pPr>
        <w:pStyle w:val="94"/>
        <w:ind w:firstLine="480"/>
        <w:rPr>
          <w:rFonts w:ascii="宋体" w:hAnsi="宋体" w:eastAsia="宋体"/>
        </w:rPr>
      </w:pPr>
      <w:r>
        <w:rPr>
          <w:rFonts w:hint="eastAsia" w:ascii="宋体" w:hAnsi="宋体" w:eastAsia="宋体"/>
        </w:rPr>
        <w:t>6.第18行＝第19+20行。</w:t>
      </w:r>
    </w:p>
    <w:p>
      <w:pPr>
        <w:pStyle w:val="94"/>
        <w:ind w:firstLine="480"/>
        <w:rPr>
          <w:rFonts w:ascii="宋体" w:hAnsi="宋体" w:eastAsia="宋体"/>
        </w:rPr>
      </w:pPr>
      <w:r>
        <w:rPr>
          <w:rFonts w:hint="eastAsia" w:ascii="宋体" w:hAnsi="宋体" w:eastAsia="宋体"/>
        </w:rPr>
        <w:t>7.第21行＝第22+23…+29行。</w:t>
      </w:r>
    </w:p>
    <w:p>
      <w:pPr>
        <w:pStyle w:val="94"/>
        <w:ind w:firstLine="480"/>
        <w:rPr>
          <w:rFonts w:hint="eastAsia" w:ascii="宋体" w:hAnsi="宋体" w:eastAsia="宋体"/>
        </w:rPr>
      </w:pPr>
      <w:r>
        <w:rPr>
          <w:rFonts w:hint="eastAsia" w:ascii="宋体" w:hAnsi="宋体" w:eastAsia="宋体"/>
        </w:rPr>
        <w:t>8.第31行＝第31.1+31.2行。</w:t>
      </w:r>
    </w:p>
    <w:p>
      <w:pPr>
        <w:pStyle w:val="94"/>
        <w:ind w:firstLine="480"/>
        <w:rPr>
          <w:rFonts w:hint="eastAsia" w:ascii="宋体" w:hAnsi="宋体" w:eastAsia="宋体"/>
        </w:rPr>
      </w:pPr>
      <w:r>
        <w:rPr>
          <w:rFonts w:hint="eastAsia" w:ascii="宋体" w:hAnsi="宋体" w:eastAsia="宋体"/>
        </w:rPr>
        <w:t>9.第32行＝第32.1+32.2行。</w:t>
      </w:r>
    </w:p>
    <w:p>
      <w:pPr>
        <w:pStyle w:val="94"/>
        <w:ind w:firstLine="480"/>
        <w:rPr>
          <w:rFonts w:ascii="宋体" w:hAnsi="宋体" w:eastAsia="宋体"/>
        </w:rPr>
      </w:pPr>
      <w:r>
        <w:rPr>
          <w:rFonts w:hint="eastAsia" w:ascii="宋体" w:hAnsi="宋体" w:eastAsia="宋体"/>
        </w:rPr>
        <w:t>10.第33行＝第34+35+36+37+38行。</w:t>
      </w:r>
    </w:p>
    <w:p>
      <w:pPr>
        <w:pStyle w:val="94"/>
        <w:ind w:firstLine="480"/>
        <w:rPr>
          <w:rFonts w:ascii="宋体" w:hAnsi="宋体" w:eastAsia="宋体"/>
        </w:rPr>
      </w:pPr>
      <w:r>
        <w:rPr>
          <w:rFonts w:hint="eastAsia" w:ascii="宋体" w:hAnsi="宋体" w:eastAsia="宋体"/>
        </w:rPr>
        <w:t>11.第41行＝第1+18+21+33+39+40行。（其中第41行第6列＝第8+9+10+11+12+13+14+15+16+17+30+31+32行第6列；第41行第7列＝第8+9+10+11+12+13+14+15+16+17+30+31+32行第7列）。</w:t>
      </w:r>
    </w:p>
    <w:p>
      <w:pPr>
        <w:pStyle w:val="94"/>
        <w:ind w:firstLine="480"/>
        <w:rPr>
          <w:rFonts w:ascii="宋体" w:hAnsi="宋体" w:eastAsia="宋体"/>
        </w:rPr>
      </w:pPr>
      <w:r>
        <w:rPr>
          <w:rFonts w:hint="eastAsia" w:ascii="宋体" w:hAnsi="宋体" w:eastAsia="宋体"/>
        </w:rPr>
        <w:t>12.第7列＝第5-6列。</w:t>
      </w:r>
    </w:p>
    <w:p>
      <w:pPr>
        <w:pStyle w:val="94"/>
        <w:ind w:firstLine="480"/>
        <w:rPr>
          <w:rFonts w:ascii="宋体" w:hAnsi="宋体" w:eastAsia="宋体"/>
        </w:rPr>
      </w:pPr>
      <w:r>
        <w:rPr>
          <w:rFonts w:hint="eastAsia" w:ascii="宋体" w:hAnsi="宋体" w:eastAsia="宋体"/>
        </w:rPr>
        <w:t>1</w:t>
      </w:r>
      <w:r>
        <w:rPr>
          <w:rFonts w:ascii="宋体" w:hAnsi="宋体" w:eastAsia="宋体"/>
        </w:rPr>
        <w:t>3</w:t>
      </w:r>
      <w:r>
        <w:rPr>
          <w:rFonts w:hint="eastAsia" w:ascii="宋体" w:hAnsi="宋体" w:eastAsia="宋体"/>
        </w:rPr>
        <w:t>.第9列＝第2-5列。</w:t>
      </w:r>
    </w:p>
    <w:p>
      <w:pPr>
        <w:pStyle w:val="94"/>
        <w:ind w:firstLine="480"/>
        <w:outlineLvl w:val="1"/>
        <w:rPr>
          <w:rFonts w:ascii="宋体" w:hAnsi="宋体" w:eastAsia="宋体"/>
        </w:rPr>
      </w:pPr>
      <w:bookmarkStart w:id="168" w:name="_Toc752612628_WPSOffice_Level2"/>
      <w:bookmarkEnd w:id="168"/>
      <w:bookmarkStart w:id="169" w:name="_Toc1349526280_WPSOffice_Level2"/>
      <w:r>
        <w:rPr>
          <w:rFonts w:hint="eastAsia" w:ascii="宋体" w:hAnsi="宋体" w:eastAsia="宋体"/>
        </w:rPr>
        <w:t>（二）表间关系</w:t>
      </w:r>
      <w:bookmarkEnd w:id="169"/>
    </w:p>
    <w:p>
      <w:pPr>
        <w:pStyle w:val="94"/>
        <w:ind w:firstLine="480"/>
        <w:rPr>
          <w:rFonts w:ascii="宋体" w:hAnsi="宋体" w:eastAsia="宋体"/>
        </w:rPr>
      </w:pPr>
      <w:r>
        <w:rPr>
          <w:rFonts w:hint="eastAsia" w:ascii="宋体" w:hAnsi="宋体" w:eastAsia="宋体"/>
        </w:rPr>
        <w:t>1.第41行第2列＝表A105000第32行第1列。</w:t>
      </w:r>
    </w:p>
    <w:p>
      <w:pPr>
        <w:pStyle w:val="94"/>
        <w:ind w:firstLine="480"/>
        <w:rPr>
          <w:rFonts w:ascii="宋体" w:hAnsi="宋体" w:eastAsia="宋体"/>
        </w:rPr>
      </w:pPr>
      <w:r>
        <w:rPr>
          <w:rFonts w:hint="eastAsia" w:ascii="宋体" w:hAnsi="宋体" w:eastAsia="宋体"/>
        </w:rPr>
        <w:t>2.第41行第5列＝表A105000第32行第2列。</w:t>
      </w:r>
    </w:p>
    <w:p>
      <w:pPr>
        <w:pStyle w:val="94"/>
        <w:ind w:firstLine="480"/>
        <w:rPr>
          <w:rFonts w:hint="eastAsia" w:ascii="宋体" w:hAnsi="宋体" w:eastAsia="宋体" w:cs="宋体"/>
        </w:rPr>
      </w:pPr>
      <w:r>
        <w:rPr>
          <w:rFonts w:hint="eastAsia" w:ascii="宋体" w:hAnsi="宋体" w:eastAsia="宋体"/>
        </w:rPr>
        <w:t>3.若第41行第9列≥0，第41行第9列＝表A105000第32行第3列；若第41行第9列＜0，第41行第9列的绝对值＝表A105000第32行第4列</w:t>
      </w:r>
      <w:r>
        <w:rPr>
          <w:rFonts w:hint="eastAsia" w:ascii="宋体" w:hAnsi="宋体" w:eastAsia="宋体" w:cs="宋体"/>
        </w:rPr>
        <w:t>。</w:t>
      </w:r>
    </w:p>
    <w:p>
      <w:pPr>
        <w:spacing w:line="360" w:lineRule="auto"/>
        <w:ind w:firstLine="480" w:firstLineChars="200"/>
        <w:rPr>
          <w:rFonts w:hint="eastAsia" w:ascii="宋体" w:hAnsi="宋体"/>
          <w:sz w:val="24"/>
        </w:rPr>
      </w:pPr>
    </w:p>
    <w:bookmarkEnd w:id="152"/>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66"/>
        <w:tabs>
          <w:tab w:val="center" w:pos="6520"/>
          <w:tab w:val="clear" w:pos="4678"/>
        </w:tabs>
        <w:rPr>
          <w:rFonts w:hint="eastAsia"/>
        </w:rPr>
      </w:pPr>
      <w:bookmarkStart w:id="170" w:name="_Toc54267926"/>
      <w:bookmarkStart w:id="171" w:name="_Toc10959"/>
      <w:bookmarkStart w:id="172" w:name="_Toc527722744"/>
      <w:r>
        <w:rPr>
          <w:rFonts w:hint="eastAsia"/>
        </w:rPr>
        <w:t>A105090</w:t>
      </w:r>
      <w:r>
        <w:rPr>
          <w:rFonts w:hint="eastAsia"/>
        </w:rPr>
        <w:tab/>
      </w:r>
      <w:r>
        <w:rPr>
          <w:rFonts w:hint="eastAsia"/>
        </w:rPr>
        <w:t>资产损失税前扣除及纳税调整明细表</w:t>
      </w:r>
      <w:bookmarkEnd w:id="170"/>
      <w:bookmarkEnd w:id="171"/>
    </w:p>
    <w:tbl>
      <w:tblPr>
        <w:tblStyle w:val="25"/>
        <w:tblW w:w="152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82"/>
        <w:gridCol w:w="6401"/>
        <w:gridCol w:w="1155"/>
        <w:gridCol w:w="1155"/>
        <w:gridCol w:w="1155"/>
        <w:gridCol w:w="1155"/>
        <w:gridCol w:w="1155"/>
        <w:gridCol w:w="1155"/>
        <w:gridCol w:w="12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00" w:hRule="atLeast"/>
          <w:jc w:val="center"/>
        </w:trPr>
        <w:tc>
          <w:tcPr>
            <w:tcW w:w="682" w:type="dxa"/>
            <w:vMerge w:val="restart"/>
            <w:tcBorders>
              <w:top w:val="single" w:color="000000" w:sz="12"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6401" w:type="dxa"/>
            <w:vMerge w:val="restart"/>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资产损失直接计入本年损益金额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资产损失准备金核销金额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资产处置</w:t>
            </w:r>
          </w:p>
          <w:p>
            <w:pPr>
              <w:widowControl/>
              <w:jc w:val="center"/>
              <w:textAlignment w:val="center"/>
              <w:rPr>
                <w:rFonts w:hint="eastAsia" w:ascii="宋体" w:hAnsi="宋体" w:cs="宋体"/>
                <w:sz w:val="20"/>
                <w:szCs w:val="20"/>
              </w:rPr>
            </w:pPr>
            <w:r>
              <w:rPr>
                <w:rFonts w:hint="eastAsia" w:ascii="宋体" w:hAnsi="宋体" w:cs="宋体"/>
                <w:kern w:val="0"/>
                <w:sz w:val="20"/>
                <w:szCs w:val="20"/>
              </w:rPr>
              <w:t>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赔偿收入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资产计税</w:t>
            </w:r>
          </w:p>
          <w:p>
            <w:pPr>
              <w:widowControl/>
              <w:jc w:val="center"/>
              <w:textAlignment w:val="center"/>
              <w:rPr>
                <w:rFonts w:hint="eastAsia" w:ascii="宋体" w:hAnsi="宋体" w:cs="宋体"/>
                <w:sz w:val="20"/>
                <w:szCs w:val="20"/>
              </w:rPr>
            </w:pPr>
            <w:r>
              <w:rPr>
                <w:rFonts w:hint="eastAsia" w:ascii="宋体" w:hAnsi="宋体" w:cs="宋体"/>
                <w:kern w:val="0"/>
                <w:sz w:val="20"/>
                <w:szCs w:val="20"/>
              </w:rPr>
              <w:t>基础</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资产损失的税收金额</w:t>
            </w:r>
          </w:p>
        </w:tc>
        <w:tc>
          <w:tcPr>
            <w:tcW w:w="1213" w:type="dxa"/>
            <w:tcBorders>
              <w:top w:val="single" w:color="000000" w:sz="12"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纳税调整</w:t>
            </w:r>
          </w:p>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7" w:hRule="atLeast"/>
          <w:jc w:val="center"/>
        </w:trPr>
        <w:tc>
          <w:tcPr>
            <w:tcW w:w="682" w:type="dxa"/>
            <w:vMerge w:val="continue"/>
            <w:tcBorders>
              <w:top w:val="single" w:color="000000" w:sz="6" w:space="0"/>
              <w:left w:val="single" w:color="000000" w:sz="12" w:space="0"/>
              <w:bottom w:val="single" w:color="000000" w:sz="6" w:space="0"/>
              <w:right w:val="single" w:color="000000" w:sz="6" w:space="0"/>
            </w:tcBorders>
            <w:vAlign w:val="center"/>
          </w:tcPr>
          <w:p>
            <w:pPr>
              <w:jc w:val="center"/>
              <w:rPr>
                <w:rFonts w:hint="eastAsia" w:ascii="宋体" w:hAnsi="宋体" w:cs="宋体"/>
                <w:sz w:val="20"/>
                <w:szCs w:val="20"/>
              </w:rPr>
            </w:pPr>
          </w:p>
        </w:tc>
        <w:tc>
          <w:tcPr>
            <w:tcW w:w="6401"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sz w:val="20"/>
                <w:szCs w:val="20"/>
              </w:rPr>
              <w:t>6</w:t>
            </w:r>
            <w:r>
              <w:rPr>
                <w:rFonts w:hint="eastAsia" w:ascii="宋体" w:hAnsi="宋体" w:cs="宋体"/>
                <w:kern w:val="0"/>
                <w:sz w:val="20"/>
                <w:szCs w:val="20"/>
              </w:rPr>
              <w:t>（5-3-4）</w:t>
            </w:r>
          </w:p>
        </w:tc>
        <w:tc>
          <w:tcPr>
            <w:tcW w:w="1213" w:type="dxa"/>
            <w:tcBorders>
              <w:top w:val="single" w:color="000000" w:sz="6"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一、现金及银行存款损失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二、应收及预付款项坏账损失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420" w:leftChars="200"/>
              <w:textAlignment w:val="center"/>
              <w:rPr>
                <w:rFonts w:hint="eastAsia" w:ascii="宋体" w:hAnsi="宋体" w:cs="宋体"/>
                <w:sz w:val="20"/>
                <w:szCs w:val="20"/>
              </w:rPr>
            </w:pPr>
            <w:r>
              <w:rPr>
                <w:rFonts w:hint="eastAsia" w:ascii="宋体" w:hAnsi="宋体" w:cs="宋体"/>
                <w:kern w:val="0"/>
                <w:sz w:val="20"/>
                <w:szCs w:val="20"/>
              </w:rPr>
              <w:t>其中：逾期三年以上的应收款项损失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1050" w:leftChars="500"/>
              <w:textAlignment w:val="center"/>
              <w:rPr>
                <w:rFonts w:hint="eastAsia" w:ascii="宋体" w:hAnsi="宋体" w:cs="宋体"/>
                <w:sz w:val="20"/>
                <w:szCs w:val="20"/>
              </w:rPr>
            </w:pPr>
            <w:r>
              <w:rPr>
                <w:rFonts w:hint="eastAsia" w:ascii="宋体" w:hAnsi="宋体" w:cs="宋体"/>
                <w:kern w:val="0"/>
                <w:sz w:val="20"/>
                <w:szCs w:val="20"/>
              </w:rPr>
              <w:t>逾期一年以上的小额应收款项损失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三、存货损失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其中：存货盘亏、报废、损毁、变质或被盗损失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四、固定资产损失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其中：固定资产盘亏、丢失、报废、损毁或被盗损失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五、无形资产损失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其中：无形资产转让损失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008" w:leftChars="480"/>
              <w:textAlignment w:val="center"/>
              <w:rPr>
                <w:rFonts w:hint="eastAsia" w:ascii="宋体" w:hAnsi="宋体" w:cs="宋体"/>
                <w:sz w:val="20"/>
                <w:szCs w:val="20"/>
              </w:rPr>
            </w:pPr>
            <w:r>
              <w:rPr>
                <w:rFonts w:hint="eastAsia" w:ascii="宋体" w:hAnsi="宋体" w:cs="宋体"/>
                <w:kern w:val="0"/>
                <w:sz w:val="20"/>
                <w:szCs w:val="20"/>
              </w:rPr>
              <w:t>无形资产被替代或超过法律保护期限形成的损失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六、在建工程损失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其中：在建工程停建、报废损失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9"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七、生产性生物资产损失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其中：生产性生物资产盘亏、非正常死亡、被盗、丢失等产生的损失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八、债权性投资损失(17+23)</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（一）金融企业债</w:t>
            </w:r>
            <w:r>
              <w:rPr>
                <w:rStyle w:val="33"/>
                <w:rFonts w:hint="eastAsia" w:cs="宋体"/>
                <w:color w:val="auto"/>
                <w:szCs w:val="20"/>
              </w:rPr>
              <w:t>权性投资损失（18+22）</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kern w:val="0"/>
                <w:sz w:val="20"/>
                <w:szCs w:val="20"/>
              </w:rPr>
            </w:pPr>
            <w:r>
              <w:rPr>
                <w:rFonts w:hint="eastAsia" w:ascii="宋体" w:hAnsi="宋体" w:cs="宋体"/>
                <w:kern w:val="0"/>
                <w:sz w:val="20"/>
                <w:szCs w:val="20"/>
              </w:rPr>
              <w:t xml:space="preserve">  1.贷款损失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其中：符合条件的涉农和中小企业贷款损失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630" w:leftChars="300"/>
              <w:textAlignment w:val="center"/>
              <w:rPr>
                <w:rFonts w:hint="eastAsia" w:ascii="宋体" w:hAnsi="宋体" w:cs="宋体"/>
                <w:sz w:val="20"/>
                <w:szCs w:val="20"/>
              </w:rPr>
            </w:pPr>
            <w:r>
              <w:rPr>
                <w:rFonts w:hint="eastAsia" w:ascii="宋体" w:hAnsi="宋体" w:cs="宋体"/>
                <w:kern w:val="0"/>
                <w:sz w:val="20"/>
                <w:szCs w:val="20"/>
              </w:rPr>
              <w:t xml:space="preserve">    其中：单户贷款余额300万（含）以下的贷款损失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231" w:leftChars="586"/>
              <w:textAlignment w:val="center"/>
              <w:rPr>
                <w:rFonts w:hint="eastAsia" w:ascii="宋体" w:hAnsi="宋体" w:cs="宋体"/>
                <w:sz w:val="20"/>
                <w:szCs w:val="20"/>
              </w:rPr>
            </w:pPr>
            <w:r>
              <w:rPr>
                <w:rFonts w:hint="eastAsia" w:ascii="宋体" w:hAnsi="宋体" w:cs="宋体"/>
                <w:kern w:val="0"/>
                <w:sz w:val="20"/>
                <w:szCs w:val="20"/>
              </w:rPr>
              <w:t xml:space="preserve">    单户贷款余额300万元至1000万元（含）的 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2.其他债权性投资损失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（二）非金融企业债权</w:t>
            </w:r>
            <w:r>
              <w:rPr>
                <w:rStyle w:val="48"/>
                <w:rFonts w:hint="eastAsia" w:cs="宋体"/>
                <w:color w:val="auto"/>
                <w:szCs w:val="20"/>
              </w:rPr>
              <w:t>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九、股权（权益）性投资损失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其中：股权转让损失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00" w:hanging="400" w:hangingChars="200"/>
              <w:textAlignment w:val="center"/>
              <w:rPr>
                <w:rFonts w:hint="eastAsia" w:ascii="宋体" w:hAnsi="宋体" w:cs="宋体"/>
                <w:sz w:val="20"/>
                <w:szCs w:val="20"/>
              </w:rPr>
            </w:pPr>
            <w:r>
              <w:rPr>
                <w:rFonts w:hint="eastAsia" w:ascii="宋体" w:hAnsi="宋体" w:cs="宋体"/>
                <w:kern w:val="0"/>
                <w:sz w:val="20"/>
                <w:szCs w:val="20"/>
              </w:rPr>
              <w:t>十、通过各种交易场所、市场买卖债券、股票、期货、基金以及金融衍生产品等发生的损失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十一、打包出售资产损失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十二、其他资产损失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合计（1+2+5+7+9+12+14+16+24+26+27+28）</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12"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6401" w:type="dxa"/>
            <w:tcBorders>
              <w:top w:val="single" w:color="000000" w:sz="6" w:space="0"/>
              <w:left w:val="single" w:color="000000" w:sz="6" w:space="0"/>
              <w:bottom w:val="single" w:color="000000" w:sz="12" w:space="0"/>
              <w:right w:val="single" w:color="000000" w:sz="6" w:space="0"/>
            </w:tcBorders>
            <w:vAlign w:val="center"/>
          </w:tcPr>
          <w:p>
            <w:pPr>
              <w:widowControl/>
              <w:ind w:firstLine="500" w:firstLineChars="250"/>
              <w:textAlignment w:val="center"/>
              <w:rPr>
                <w:rFonts w:hint="eastAsia" w:ascii="宋体" w:hAnsi="宋体" w:cs="宋体"/>
                <w:sz w:val="20"/>
                <w:szCs w:val="20"/>
              </w:rPr>
            </w:pPr>
            <w:r>
              <w:rPr>
                <w:rFonts w:hint="eastAsia" w:ascii="宋体" w:hAnsi="宋体" w:cs="宋体"/>
                <w:kern w:val="0"/>
                <w:sz w:val="20"/>
                <w:szCs w:val="20"/>
              </w:rPr>
              <w:t>其中：分支机构留存备查的资产损失</w:t>
            </w: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2"/>
              </w:rPr>
            </w:pPr>
          </w:p>
        </w:tc>
        <w:tc>
          <w:tcPr>
            <w:tcW w:w="1213" w:type="dxa"/>
            <w:tcBorders>
              <w:top w:val="single" w:color="000000" w:sz="6" w:space="0"/>
              <w:left w:val="single" w:color="000000" w:sz="6" w:space="0"/>
              <w:bottom w:val="single" w:color="000000" w:sz="12" w:space="0"/>
              <w:right w:val="single" w:color="000000" w:sz="12" w:space="0"/>
            </w:tcBorders>
            <w:vAlign w:val="center"/>
          </w:tcPr>
          <w:p>
            <w:pPr>
              <w:jc w:val="center"/>
              <w:rPr>
                <w:rFonts w:hint="eastAsia" w:ascii="宋体" w:hAnsi="宋体" w:cs="宋体"/>
                <w:sz w:val="22"/>
              </w:rPr>
            </w:pPr>
          </w:p>
        </w:tc>
      </w:tr>
    </w:tbl>
    <w:p>
      <w:pPr>
        <w:rPr>
          <w:rFonts w:hint="eastAsia" w:ascii="宋体" w:hAnsi="宋体" w:cs="宋体"/>
        </w:rPr>
      </w:pPr>
    </w:p>
    <w:p>
      <w:pPr>
        <w:rPr>
          <w:rFonts w:hint="eastAsia" w:ascii="宋体" w:hAnsi="宋体" w:cs="宋体"/>
        </w:rPr>
        <w:sectPr>
          <w:pgSz w:w="16838" w:h="11906" w:orient="landscape"/>
          <w:pgMar w:top="1418" w:right="1928" w:bottom="1418" w:left="1985" w:header="851" w:footer="992" w:gutter="113"/>
          <w:pgNumType w:fmt="decimal"/>
          <w:cols w:space="720" w:num="1"/>
          <w:docGrid w:linePitch="312" w:charSpace="0"/>
        </w:sectPr>
      </w:pPr>
    </w:p>
    <w:p>
      <w:pPr>
        <w:pStyle w:val="66"/>
        <w:jc w:val="center"/>
        <w:rPr>
          <w:rFonts w:hint="eastAsia"/>
        </w:rPr>
      </w:pPr>
      <w:bookmarkStart w:id="173" w:name="_Toc54267927"/>
      <w:bookmarkStart w:id="174" w:name="_Toc3389"/>
      <w:r>
        <w:rPr>
          <w:rFonts w:hint="eastAsia"/>
        </w:rPr>
        <w:t>A105090</w:t>
      </w:r>
      <w:r>
        <w:rPr>
          <w:rFonts w:hint="eastAsia"/>
        </w:rPr>
        <w:tab/>
      </w:r>
      <w:r>
        <w:rPr>
          <w:rFonts w:hint="eastAsia"/>
        </w:rPr>
        <w:t>《资产损失税前扣除及纳税调整明细表》填报说明</w:t>
      </w:r>
      <w:bookmarkEnd w:id="173"/>
      <w:bookmarkEnd w:id="174"/>
    </w:p>
    <w:p>
      <w:pPr>
        <w:widowControl/>
        <w:spacing w:line="540" w:lineRule="atLeast"/>
        <w:ind w:firstLine="480" w:firstLineChars="200"/>
        <w:jc w:val="left"/>
        <w:rPr>
          <w:rFonts w:hint="eastAsia" w:ascii="宋体" w:hAnsi="宋体" w:cs="宋体"/>
          <w:sz w:val="24"/>
        </w:rPr>
      </w:pPr>
      <w:r>
        <w:rPr>
          <w:rFonts w:hint="eastAsia" w:ascii="宋体" w:hAnsi="宋体" w:cs="宋体"/>
          <w:sz w:val="24"/>
        </w:rPr>
        <w:t>本表适用于发生资产损失税前扣除项目及纳税调整项目的纳税人填报。纳税人根据税法、《财政部 国家税务总局关于企业资产损失税前扣除政策的通知》（财税〔2009〕57号）、《国家税务总局关于发布〈企业资产损失所得税税前扣除管理办法〉的公告》（2011年第25号发布、国家税务总局公告2018年第31号修改）、《国家税务总局关于商业零售企业存货损失税前扣除问题的公告》（2014年第3号）、《国家税务总局关于企业因国务院决定事项形成的资产损失税前扣除问题的公告》（2014年第18号）、《财政部 税务总局关于金融企业涉农贷款和中小企业贷款损失准备金税前扣除有关政策的公告》（2019年第85号）、《财政部 税务总局关于金融企业贷款损失准备金企业所得税税前扣除有关政策的公告》（2019年第86号）、《国家税务总局关于金融企业涉农贷款和中小企业贷款损失税前扣除问题的公告》（2015年第25号）、《国家税务总局关于企业所得税资产损失资料留存备查有关事项的公告》（2018年第15号）等相关规定，及国家统一企业会计制度，填报资产损失的会计处理、税收规定，以及纳税调整情况。</w:t>
      </w:r>
    </w:p>
    <w:p>
      <w:pPr>
        <w:pStyle w:val="69"/>
        <w:spacing w:before="156"/>
        <w:ind w:firstLine="482"/>
        <w:outlineLvl w:val="0"/>
        <w:rPr>
          <w:rFonts w:hint="eastAsia" w:cs="宋体"/>
        </w:rPr>
      </w:pPr>
      <w:bookmarkStart w:id="175" w:name="_Toc54267561"/>
      <w:bookmarkStart w:id="176" w:name="_Toc54267928"/>
      <w:r>
        <w:rPr>
          <w:rFonts w:hint="eastAsia" w:cs="宋体"/>
        </w:rPr>
        <w:t>一、有关项目填报说明</w:t>
      </w:r>
      <w:bookmarkEnd w:id="175"/>
      <w:bookmarkEnd w:id="176"/>
    </w:p>
    <w:p>
      <w:pPr>
        <w:pStyle w:val="79"/>
        <w:outlineLvl w:val="1"/>
        <w:rPr>
          <w:rFonts w:hint="eastAsia" w:ascii="宋体" w:hAnsi="宋体" w:eastAsia="宋体" w:cs="宋体"/>
        </w:rPr>
      </w:pPr>
      <w:bookmarkStart w:id="177" w:name="_Toc54267929"/>
      <w:bookmarkStart w:id="178" w:name="_Toc54267562"/>
      <w:r>
        <w:rPr>
          <w:rFonts w:hint="eastAsia" w:ascii="宋体" w:hAnsi="宋体" w:eastAsia="宋体" w:cs="宋体"/>
        </w:rPr>
        <w:t>（一）行次填报</w:t>
      </w:r>
      <w:bookmarkEnd w:id="177"/>
      <w:bookmarkEnd w:id="178"/>
    </w:p>
    <w:p>
      <w:pPr>
        <w:pStyle w:val="65"/>
        <w:rPr>
          <w:rFonts w:hint="eastAsia" w:cs="宋体"/>
        </w:rPr>
      </w:pPr>
      <w:r>
        <w:rPr>
          <w:rFonts w:hint="eastAsia" w:cs="宋体"/>
        </w:rPr>
        <w:t>纳税人在第1至28行按资产类型填报留存备查的资产损失情况，跨地区经营汇总纳税企业在第1行至28行应填报总机构和全部分支机构的资产损失情况，并在第30行填报各分支机构留存备查的资产损失汇总情况。</w:t>
      </w:r>
    </w:p>
    <w:p>
      <w:pPr>
        <w:pStyle w:val="65"/>
        <w:rPr>
          <w:rFonts w:hint="eastAsia" w:cs="宋体"/>
        </w:rPr>
      </w:pPr>
      <w:r>
        <w:rPr>
          <w:rFonts w:hint="eastAsia" w:cs="宋体"/>
        </w:rPr>
        <w:t>1.第1行“一、现金及银行存款损失”：填报纳税人当年发生的现金损失和银行存款损失的账载金额、资产处置收入、赔偿收入、资产计税基础、资产损失的税收金额及纳税调整金额。</w:t>
      </w:r>
    </w:p>
    <w:p>
      <w:pPr>
        <w:pStyle w:val="65"/>
        <w:rPr>
          <w:rFonts w:hint="eastAsia" w:cs="宋体"/>
        </w:rPr>
      </w:pPr>
      <w:r>
        <w:rPr>
          <w:rFonts w:hint="eastAsia" w:cs="宋体"/>
        </w:rPr>
        <w:t>2.第2行“二、应收及预付款项坏账损失”：填报纳税人当年发生的应收及预付款项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3.第3行“逾期三年以上的应收款项损失”：填报纳税人当年发生的应收及预付款项坏账损失中，逾期三年以上的应收款项且当年在会计上已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4.第4行“逾期一年以上的小额应收款项损失”：填报纳税人当年发生的应收及预付款项坏账损失中，逾期一年以上，单笔数额不超过五万或者不超过企业年度收入总额万分之一的应收款项，会计上已经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5.第5行“三、存货损失”：填报纳税人当年发生的存货损失的账载金额、资产损失准备金核销金额、资产处置收入、赔偿收入、资产计税基础、资产损失的税收金额及纳税调整金额。</w:t>
      </w:r>
    </w:p>
    <w:p>
      <w:pPr>
        <w:pStyle w:val="65"/>
        <w:rPr>
          <w:rFonts w:hint="eastAsia" w:cs="宋体"/>
        </w:rPr>
      </w:pPr>
      <w:r>
        <w:rPr>
          <w:rFonts w:hint="eastAsia" w:cs="宋体"/>
        </w:rPr>
        <w:t>6.第6行“存货盘亏、报废、损毁、变质或被盗损失”：填报纳税人当年发生的存货损失中，存货盘亏损失、存货报废、毁损或变质损失以及存货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7.第7行“四、固定资产损失”：填报纳税人当年发生的固定资产损失的账载金额、资产损失准备金核销金额、资产处置收入、赔偿收入、资产计税基础、资产损失的税收金额及纳税调整金额。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8.第8行“固定资产盘亏、丢失、报废、损毁或被盗损失”：填报纳税人当年发生的固定资产损失中，固定资产盘亏、丢失损失，报废、毁损损失以及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9.第9行“五、无形资产损失”：填报纳税人当年发生的无形资产损失的账载金额、资产损失准备金核销金额、资产处置收入、赔偿收入、资产计税基础、资产损失的税收金额及纳税调整金额。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10.第10行“无形资产转让损失”：填报纳税人当年在正常经营管理活动中，按照公允价格转让无形资产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11.第11行“无形资产被替代或超过法律保护期限形成的损失”：填报纳税人当年发生的无形资产损失中，被其他新技术所代替或超过法律保护期限，已经丧失使用价值和转让价值，尚未摊销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12.第12行“六、在建工程损失”：填报纳税人当年发生的在建工程损失的账载金额、资产处置收入、赔偿收入、资产计税基础、资产损失的税收金额及纳税调整金额。</w:t>
      </w:r>
    </w:p>
    <w:p>
      <w:pPr>
        <w:pStyle w:val="65"/>
        <w:rPr>
          <w:rFonts w:hint="eastAsia" w:cs="宋体"/>
        </w:rPr>
      </w:pPr>
      <w:r>
        <w:rPr>
          <w:rFonts w:hint="eastAsia" w:cs="宋体"/>
        </w:rPr>
        <w:t>13.第13行“在建工程停建、报废损失”：填报纳税人当年发生的在建工程损失中，在建工程停建、报废损失的账载金额、资产处置收入、赔偿收入、资产计税基础、资产损失的税收金额及纳税调整金额。</w:t>
      </w:r>
    </w:p>
    <w:p>
      <w:pPr>
        <w:pStyle w:val="65"/>
        <w:rPr>
          <w:rFonts w:hint="eastAsia" w:cs="宋体"/>
        </w:rPr>
      </w:pPr>
      <w:r>
        <w:rPr>
          <w:rFonts w:hint="eastAsia" w:cs="宋体"/>
        </w:rPr>
        <w:t>14.第14行“七、生产性生物资产损失”：填报纳税人当年发生的生产性生物资产损失的账载金额、资产损失准备金核销金额、资产处置收入、赔偿收入、资产计税基础、资产损失的税收金额及纳税调整金额。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15.第15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16.第16行“八、债权性投资损失”：填报纳税人当年发生的债权性投资损失的账载金额、资产损失准备金核销金额、资产处置收入、赔偿收入、资产计税基础、资产损失的税收金额及纳税调整金额。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17.第17行“（一）金融企业债权性投资损失”：填报金融企业当年发生的债权性投资损失的账载金额、资产损失准备金核销金额、资产处置收入、赔偿收入、资产计税基础、资产损失的税收金额及纳税调整金额。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18.第18行“1.贷款损失”：填报金融企业当年发生的贷款损失的账载金额、资产损失准备金核销金额、资产处置收入、赔偿收入、资产计税基础、资产损失的税收金额及纳税调整金额。</w:t>
      </w:r>
    </w:p>
    <w:p>
      <w:pPr>
        <w:pStyle w:val="65"/>
        <w:rPr>
          <w:rFonts w:hint="eastAsia" w:cs="宋体"/>
        </w:rPr>
      </w:pPr>
      <w:r>
        <w:rPr>
          <w:rFonts w:hint="eastAsia" w:cs="宋体"/>
        </w:rPr>
        <w:t>19.第19行“符合条件的涉农和中小企业贷款损失”：填报金融企业当年发生的，符合规定条件的涉农和中小企业贷款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20.第20行“单户贷款余额300万（含）以下的贷款损失”：填报金融企业当年发生的符合条件的涉农和中小企业贷款损失中，单户贷款余额300万（含）以下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21.第21行“单户贷款余额300万元至1000万元（含）的贷款损失”：填报金融企业当年发生的符合条件的涉农和中小企业贷款损失中，单户余额300万元至1000万元（含）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22.第22行“2.其他债权性投资损失”：填报金融企业当年发生的，除贷款损失以外的其他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23.第23行“（二）非金融企业债权性投资损失”：填报非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24.第24行“九、股权（权益）性投资损失”：填报纳税人当年发生的股权（权益）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25.第25行“股权转让损失”：填报纳税人当年发生的股权（权益）性投资损失中，因股权转让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26.第26行“十、通过各种场所、市场等买卖债券、股票、期货、基金以及金融衍生产品等发生的损失”：填报纳税人当年发生的，按照市场公平交易原则，通过各种交易场所、市场等买卖债券、股票、期货、基金以及金融衍生产品等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27.第27行“十一、打包出售资产损失”：填报纳税人当年发生的，将不同类别的资产捆绑（打包），以拍卖、询价、竞争性谈判、招标等市场方式出售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28.第28行“十二、其他资产损失”：填报纳税人当年发生的其他资产损失的账载金额、资产损失准备金核销金额、资产处置收入、赔偿收入、资产计税基础、资产损失的税收金额及纳税调整金额。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29.第29行“合计”行次：填报第1+2+5+7+9+12+14+16+24+26+27+28行的合计金额。</w:t>
      </w:r>
    </w:p>
    <w:p>
      <w:pPr>
        <w:pStyle w:val="65"/>
        <w:rPr>
          <w:rFonts w:hint="eastAsia" w:cs="宋体"/>
        </w:rPr>
      </w:pPr>
      <w:r>
        <w:rPr>
          <w:rFonts w:hint="eastAsia" w:cs="宋体"/>
        </w:rPr>
        <w:t>30.第30行“分支机构留存备查的资产损失”：填报跨地区经营企业各分支机构留存备查的资产损失的账载金额、资产损失准备金核销金额、资产处置收入、赔偿收入、资产计税基础、资产损失的税收金额及纳税调整金额。</w:t>
      </w:r>
    </w:p>
    <w:p>
      <w:pPr>
        <w:pStyle w:val="79"/>
        <w:outlineLvl w:val="1"/>
        <w:rPr>
          <w:rFonts w:hint="eastAsia" w:ascii="宋体" w:hAnsi="宋体" w:eastAsia="宋体" w:cs="宋体"/>
        </w:rPr>
      </w:pPr>
      <w:bookmarkStart w:id="179" w:name="_Toc54267930"/>
      <w:bookmarkStart w:id="180" w:name="_Toc54267563"/>
      <w:r>
        <w:rPr>
          <w:rFonts w:hint="eastAsia" w:ascii="宋体" w:hAnsi="宋体" w:eastAsia="宋体" w:cs="宋体"/>
        </w:rPr>
        <w:t>（二）列次填报</w:t>
      </w:r>
      <w:bookmarkEnd w:id="179"/>
      <w:bookmarkEnd w:id="180"/>
    </w:p>
    <w:p>
      <w:pPr>
        <w:pStyle w:val="65"/>
        <w:rPr>
          <w:rFonts w:hint="eastAsia" w:cs="宋体"/>
        </w:rPr>
      </w:pPr>
      <w:r>
        <w:rPr>
          <w:rFonts w:hint="eastAsia" w:cs="宋体"/>
        </w:rPr>
        <w:t>1.第1列“资产损失直接计入本年损益金额”：填报纳税人会计核算计入当期损益的对应项目的资产损失金额，不包含当年度通过准备金项目核销的资产损失金额。</w:t>
      </w:r>
    </w:p>
    <w:p>
      <w:pPr>
        <w:pStyle w:val="65"/>
        <w:rPr>
          <w:rFonts w:hint="eastAsia" w:cs="宋体"/>
        </w:rPr>
      </w:pPr>
      <w:r>
        <w:rPr>
          <w:rFonts w:hint="eastAsia" w:cs="宋体"/>
        </w:rPr>
        <w:t>2.第2列“资产损失准备金核销金额”：填报纳税人会计核算当年度通过准备金项目核销的资产损失金额。</w:t>
      </w:r>
    </w:p>
    <w:p>
      <w:pPr>
        <w:pStyle w:val="65"/>
        <w:rPr>
          <w:rFonts w:hint="eastAsia" w:cs="宋体"/>
        </w:rPr>
      </w:pPr>
      <w:r>
        <w:rPr>
          <w:rFonts w:hint="eastAsia" w:cs="宋体"/>
        </w:rPr>
        <w:t>3.第3列“资产处置收入”：填报纳税人处置发生损失的资产可收回的残值或处置收益。</w:t>
      </w:r>
    </w:p>
    <w:p>
      <w:pPr>
        <w:pStyle w:val="65"/>
        <w:rPr>
          <w:rFonts w:hint="eastAsia" w:cs="宋体"/>
        </w:rPr>
      </w:pPr>
      <w:r>
        <w:rPr>
          <w:rFonts w:hint="eastAsia" w:cs="宋体"/>
        </w:rPr>
        <w:t>4.第4列“赔偿收入”：填报纳税人发生的资产损失，取得的相关责任人、保险公司赔偿的金额。</w:t>
      </w:r>
    </w:p>
    <w:p>
      <w:pPr>
        <w:pStyle w:val="65"/>
        <w:rPr>
          <w:rFonts w:hint="eastAsia" w:cs="宋体"/>
        </w:rPr>
      </w:pPr>
      <w:r>
        <w:rPr>
          <w:rFonts w:hint="eastAsia" w:cs="宋体"/>
        </w:rPr>
        <w:t>5.第5列“资产计税基础”：填报纳税人按税收规定计算的发生损失时资产的计税基础，含损失资产涉及的不得抵扣增值税进项税额。</w:t>
      </w:r>
    </w:p>
    <w:p>
      <w:pPr>
        <w:pStyle w:val="65"/>
        <w:rPr>
          <w:rFonts w:hint="eastAsia" w:cs="宋体"/>
        </w:rPr>
      </w:pPr>
      <w:r>
        <w:rPr>
          <w:rFonts w:hint="eastAsia" w:cs="宋体"/>
        </w:rPr>
        <w:t>6.第6列“资产损失的税收金额”：填报按税收规定允许当期税前扣除的资产损失金额，按第5-3-4列金额填报。</w:t>
      </w:r>
    </w:p>
    <w:p>
      <w:pPr>
        <w:pStyle w:val="65"/>
        <w:rPr>
          <w:rFonts w:hint="eastAsia" w:cs="宋体"/>
        </w:rPr>
      </w:pPr>
      <w:r>
        <w:rPr>
          <w:rFonts w:hint="eastAsia" w:cs="宋体"/>
        </w:rPr>
        <w:t>7.第7列“纳税调整金额”：政策性银行、商业银行、财务公司、城乡信用社、金融租赁公司以及经省级金融管理部门（金融办、局等）批准成立的小额贷款公司第1至15行、第24至26行、第28行填报第1-6列金额；第17至22行、第27行填报第1+2-6列金额。其他企业填报第1-6列金额。</w:t>
      </w:r>
    </w:p>
    <w:p>
      <w:pPr>
        <w:pStyle w:val="69"/>
        <w:ind w:firstLine="482"/>
        <w:outlineLvl w:val="0"/>
        <w:rPr>
          <w:rFonts w:hint="eastAsia" w:cs="宋体"/>
        </w:rPr>
      </w:pPr>
      <w:bookmarkStart w:id="181" w:name="_Toc54267931"/>
      <w:bookmarkStart w:id="182" w:name="_Toc54267564"/>
      <w:r>
        <w:rPr>
          <w:rFonts w:hint="eastAsia" w:cs="宋体"/>
        </w:rPr>
        <w:t>二、表内、表间关系</w:t>
      </w:r>
      <w:bookmarkEnd w:id="181"/>
      <w:bookmarkEnd w:id="182"/>
    </w:p>
    <w:p>
      <w:pPr>
        <w:pStyle w:val="79"/>
        <w:outlineLvl w:val="1"/>
        <w:rPr>
          <w:rFonts w:hint="eastAsia" w:ascii="宋体" w:hAnsi="宋体" w:eastAsia="宋体" w:cs="宋体"/>
        </w:rPr>
      </w:pPr>
      <w:bookmarkStart w:id="183" w:name="_Toc54267565"/>
      <w:bookmarkStart w:id="184" w:name="_Toc54267932"/>
      <w:r>
        <w:rPr>
          <w:rFonts w:hint="eastAsia" w:ascii="宋体" w:hAnsi="宋体" w:eastAsia="宋体" w:cs="宋体"/>
        </w:rPr>
        <w:t>（一）表内关系</w:t>
      </w:r>
      <w:bookmarkEnd w:id="183"/>
      <w:bookmarkEnd w:id="184"/>
    </w:p>
    <w:p>
      <w:pPr>
        <w:pStyle w:val="65"/>
        <w:rPr>
          <w:rFonts w:hint="eastAsia" w:cs="宋体"/>
        </w:rPr>
      </w:pPr>
      <w:r>
        <w:rPr>
          <w:rFonts w:hint="eastAsia" w:cs="宋体"/>
        </w:rPr>
        <w:t>1.第16行＝第17+23行。</w:t>
      </w:r>
    </w:p>
    <w:p>
      <w:pPr>
        <w:pStyle w:val="65"/>
        <w:rPr>
          <w:rFonts w:hint="eastAsia" w:cs="宋体"/>
        </w:rPr>
      </w:pPr>
      <w:r>
        <w:rPr>
          <w:rFonts w:hint="eastAsia" w:cs="宋体"/>
        </w:rPr>
        <w:t>2.第17行＝第18+22行。</w:t>
      </w:r>
    </w:p>
    <w:p>
      <w:pPr>
        <w:pStyle w:val="65"/>
        <w:rPr>
          <w:rFonts w:hint="eastAsia" w:cs="宋体"/>
        </w:rPr>
      </w:pPr>
      <w:r>
        <w:rPr>
          <w:rFonts w:hint="eastAsia" w:cs="宋体"/>
        </w:rPr>
        <w:t>3.第29行＝第1+2+5+7+9+12+14+16+24+26+27+28行。</w:t>
      </w:r>
    </w:p>
    <w:p>
      <w:pPr>
        <w:pStyle w:val="65"/>
        <w:rPr>
          <w:rFonts w:hint="eastAsia" w:cs="宋体"/>
        </w:rPr>
      </w:pPr>
      <w:r>
        <w:rPr>
          <w:rFonts w:hint="eastAsia" w:cs="宋体"/>
        </w:rPr>
        <w:t>4.第6列＝第5-3-4列。</w:t>
      </w:r>
    </w:p>
    <w:p>
      <w:pPr>
        <w:pStyle w:val="65"/>
        <w:rPr>
          <w:rFonts w:hint="eastAsia" w:cs="宋体"/>
        </w:rPr>
      </w:pPr>
      <w:r>
        <w:rPr>
          <w:rFonts w:hint="eastAsia" w:cs="宋体"/>
        </w:rPr>
        <w:t>5.政策性银行、商业银行、财务公司、城乡信用社、金融租赁公司以及经省级金融管理部门（金融办、局等）批准成立的小额贷款公司：第1至15行、第24至26行、第28行第7列＝第1-6列金额；第17至22行、第27行第7列＝第1+2-6列金额。</w:t>
      </w:r>
    </w:p>
    <w:p>
      <w:pPr>
        <w:pStyle w:val="65"/>
        <w:rPr>
          <w:rFonts w:hint="eastAsia" w:cs="宋体"/>
        </w:rPr>
      </w:pPr>
      <w:r>
        <w:rPr>
          <w:rFonts w:hint="eastAsia" w:cs="宋体"/>
        </w:rPr>
        <w:t>其他企业：第7列＝第1-6列。</w:t>
      </w:r>
    </w:p>
    <w:p>
      <w:pPr>
        <w:pStyle w:val="79"/>
        <w:outlineLvl w:val="1"/>
        <w:rPr>
          <w:rFonts w:hint="eastAsia" w:ascii="宋体" w:hAnsi="宋体" w:eastAsia="宋体" w:cs="宋体"/>
        </w:rPr>
      </w:pPr>
      <w:bookmarkStart w:id="185" w:name="_Toc54267933"/>
      <w:bookmarkStart w:id="186" w:name="_Toc54267566"/>
      <w:r>
        <w:rPr>
          <w:rFonts w:hint="eastAsia" w:ascii="宋体" w:hAnsi="宋体" w:eastAsia="宋体" w:cs="宋体"/>
        </w:rPr>
        <w:t>（二）表间关系</w:t>
      </w:r>
      <w:bookmarkEnd w:id="185"/>
      <w:bookmarkEnd w:id="186"/>
    </w:p>
    <w:p>
      <w:pPr>
        <w:pStyle w:val="65"/>
        <w:rPr>
          <w:rFonts w:hint="eastAsia" w:cs="宋体"/>
        </w:rPr>
      </w:pPr>
      <w:r>
        <w:rPr>
          <w:rFonts w:hint="eastAsia" w:cs="宋体"/>
        </w:rPr>
        <w:t>若第29行第7列≥0，第29行第7列＝表A105000第34行第3列；若第29行第7列＜0，第29行第7列的绝对值＝表A105000第34行第4列。</w:t>
      </w:r>
    </w:p>
    <w:p>
      <w:pPr>
        <w:pStyle w:val="65"/>
        <w:rPr>
          <w:rFonts w:hint="eastAsia" w:cs="宋体"/>
        </w:rPr>
        <w:sectPr>
          <w:pgSz w:w="11906" w:h="16838"/>
          <w:pgMar w:top="1985" w:right="1418" w:bottom="1928" w:left="1418" w:header="851" w:footer="992" w:gutter="113"/>
          <w:pgNumType w:fmt="decimal"/>
          <w:cols w:space="720" w:num="1"/>
          <w:docGrid w:linePitch="312" w:charSpace="0"/>
        </w:sectPr>
      </w:pPr>
    </w:p>
    <w:bookmarkEnd w:id="172"/>
    <w:p>
      <w:pPr>
        <w:pStyle w:val="80"/>
      </w:pPr>
      <w:bookmarkStart w:id="187" w:name="_Toc32221"/>
      <w:r>
        <w:rPr>
          <w:rFonts w:hint="eastAsia"/>
        </w:rPr>
        <w:t>A105100</w:t>
      </w:r>
      <w:r>
        <w:tab/>
      </w:r>
      <w:r>
        <w:rPr>
          <w:rFonts w:hint="eastAsia"/>
        </w:rPr>
        <w:t>企业重组及递延纳税事项纳税调整明细表</w:t>
      </w:r>
      <w:bookmarkEnd w:id="187"/>
    </w:p>
    <w:tbl>
      <w:tblPr>
        <w:tblStyle w:val="25"/>
        <w:tblW w:w="148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44"/>
        <w:gridCol w:w="1125"/>
        <w:gridCol w:w="1290"/>
        <w:gridCol w:w="975"/>
        <w:gridCol w:w="1087"/>
        <w:gridCol w:w="1180"/>
        <w:gridCol w:w="1180"/>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144"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390"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一般性税务处理</w:t>
            </w:r>
          </w:p>
        </w:tc>
        <w:tc>
          <w:tcPr>
            <w:tcW w:w="3447"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特殊性税务处理（递延纳税）</w:t>
            </w:r>
          </w:p>
        </w:tc>
        <w:tc>
          <w:tcPr>
            <w:tcW w:w="1180"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677"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29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7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087"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80"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677"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9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1087"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6(5-4)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677" w:type="dxa"/>
            <w:tcBorders>
              <w:top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144" w:type="dxa"/>
            <w:tcBorders>
              <w:top w:val="single" w:color="auto" w:sz="12"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一、债务重组</w:t>
            </w:r>
          </w:p>
        </w:tc>
        <w:tc>
          <w:tcPr>
            <w:tcW w:w="112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其中：以非货币性资产清偿债务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债转股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二、股权收购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三、资产收购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四、企业合并（9+10）</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五、企业分立</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六、非货币性资产对外投资</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七、技术入股</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八、股权划转、资产划转</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九、基础设施领域不动产投资信托基金（</w:t>
            </w:r>
            <w:r>
              <w:rPr>
                <w:rFonts w:hint="eastAsia" w:ascii="宋体" w:hAnsi="宋体" w:cs="宋体"/>
                <w:kern w:val="0"/>
                <w:sz w:val="20"/>
                <w:szCs w:val="20"/>
              </w:rPr>
              <w:sym w:font="Wingdings 2" w:char="00A3"/>
            </w:r>
            <w:r>
              <w:rPr>
                <w:rFonts w:hint="eastAsia" w:ascii="宋体" w:hAnsi="宋体" w:cs="宋体"/>
                <w:kern w:val="0"/>
                <w:sz w:val="20"/>
                <w:szCs w:val="20"/>
              </w:rPr>
              <w:t>原始权益人</w:t>
            </w:r>
            <w:r>
              <w:rPr>
                <w:rFonts w:hint="eastAsia" w:ascii="宋体" w:hAnsi="宋体" w:cs="宋体"/>
                <w:kern w:val="0"/>
                <w:sz w:val="20"/>
                <w:szCs w:val="20"/>
              </w:rPr>
              <w:sym w:font="Wingdings 2" w:char="00A3"/>
            </w:r>
            <w:r>
              <w:rPr>
                <w:rFonts w:hint="eastAsia" w:ascii="宋体" w:hAnsi="宋体" w:cs="宋体"/>
                <w:kern w:val="0"/>
                <w:sz w:val="20"/>
                <w:szCs w:val="20"/>
              </w:rPr>
              <w:t>项目公司）</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15.1</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（一）设立基础设施REITs前</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15.2</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（二）设立基础设施REITs阶段</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十、其他</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合计（1+4+6+8+11+12+13+14+15+16）</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222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188" w:name="_Toc20527"/>
      <w:r>
        <w:rPr>
          <w:rFonts w:hint="eastAsia" w:ascii="宋体" w:eastAsia="宋体"/>
          <w:b/>
        </w:rPr>
        <w:t>A105100</w:t>
      </w:r>
      <w:r>
        <w:rPr>
          <w:rFonts w:ascii="宋体" w:eastAsia="宋体"/>
          <w:b/>
        </w:rPr>
        <w:tab/>
      </w:r>
      <w:r>
        <w:rPr>
          <w:rFonts w:hint="eastAsia" w:ascii="宋体" w:eastAsia="宋体"/>
          <w:b/>
        </w:rPr>
        <w:t>《企业重组及递延纳税事项纳税调整明细表》填报说明</w:t>
      </w:r>
      <w:bookmarkEnd w:id="188"/>
    </w:p>
    <w:p>
      <w:pPr>
        <w:pStyle w:val="65"/>
      </w:pPr>
      <w:r>
        <w:rPr>
          <w:rFonts w:hint="eastAsia"/>
        </w:rPr>
        <w:t>本表适用于发生企业重组、非货币性资产对外投资、技术入股、</w:t>
      </w:r>
      <w:r>
        <w:rPr>
          <w:rFonts w:hint="eastAsia"/>
          <w:lang w:val="en"/>
        </w:rPr>
        <w:t>基础设施领域不动产投资信托基金</w:t>
      </w:r>
      <w:r>
        <w:rPr>
          <w:rFonts w:hint="eastAsia"/>
        </w:rPr>
        <w:t>等业务的纳税人填报。纳税人发生企业重组事项的，在企业重组日所属纳税年度分析填报。纳税人根据税法、《财政部 国家税务总局关于企业重组业务企业所得税处理若干问题的通知》（财税〔2009〕59号）、《国家税务总局关于发布〈企业重组业务企业所得税管理办法〉的公告》（2010年第4号）、《财政部 国家税务总局关于中国（上海）自由贸易试验区内企业以非货币性资产对外投资等资产重组行为有关企业所得税政策问题的通知》（财税〔2013〕91号）、《财政部 国家税务总局关于非货币性资产投资企业所得税政策问题的通知》（财税〔2014〕116号）、《财政部 国家税务总局关于促进企业重组有关企业所得税处理问题的通知》（财税〔2014〕109号）、《国家税务总局关于非货币性资产投资企业所得税有关征管问题的公告》（2015年第33号）、《国家税务总局关于资产（股权）划转企业所得税征管问题的公告》（2015年第40号）、《国家税务总局关于企业重组业务企业所得税征收管理若干问题的公告》（2015年第48号）、《财政部 国家税务总局关于完善股权激励和技术入股有关所得税政策的通知》（财税〔2016〕101号）、《国家税务总局关于股权激励和技术入股所得税征管问题的公告》（2016年第62号）、《财政部 税务总局关于基础设施领域不动产投资信托基金（REITs）试点税收政策的公告》（2022年第3号）等相关规定，以及国家统一企业会计制度，填报企业重组、非货币资产对外投资、技术入股、</w:t>
      </w:r>
      <w:r>
        <w:rPr>
          <w:rFonts w:hint="eastAsia"/>
          <w:lang w:val="en"/>
        </w:rPr>
        <w:t>基础设施领域不动产投资信托基金</w:t>
      </w:r>
      <w:r>
        <w:rPr>
          <w:rFonts w:hint="eastAsia"/>
        </w:rPr>
        <w:t>等业务的会计核算及税收规定，以及纳税调整情况。对于发生债务重组业务且选择特殊性税务处理（即债务重组所得可以在5个纳税年度均匀计入应纳税所得额）的纳税人，重组日所属纳税年度的以后纳税年度，也在本表进行债务重组的纳税调整。除上述债务重组所得可以分期确认应纳税所得额的企业重组外，其他涉及资产计税基础与会计核算成本差异调整的企业重组，本表不作调整，在《资产折旧、摊销及纳税调整明细表》（A105080）进行纳税调整。</w:t>
      </w:r>
    </w:p>
    <w:p>
      <w:pPr>
        <w:pStyle w:val="69"/>
        <w:ind w:firstLine="482"/>
        <w:outlineLvl w:val="0"/>
        <w:rPr>
          <w:rFonts w:cs="宋体"/>
        </w:rPr>
      </w:pPr>
      <w:bookmarkStart w:id="189" w:name="_Toc1849127692_WPSOffice_Level1"/>
      <w:bookmarkStart w:id="190" w:name="_Toc1872749899_WPSOffice_Level1"/>
      <w:bookmarkStart w:id="191" w:name="_Toc746452639_WPSOffice_Level1"/>
      <w:r>
        <w:rPr>
          <w:rFonts w:hint="eastAsia" w:cs="宋体"/>
        </w:rPr>
        <w:t>一、有关项目填报说明</w:t>
      </w:r>
      <w:bookmarkEnd w:id="189"/>
      <w:bookmarkEnd w:id="190"/>
      <w:bookmarkEnd w:id="191"/>
    </w:p>
    <w:p>
      <w:pPr>
        <w:pStyle w:val="79"/>
        <w:outlineLvl w:val="1"/>
        <w:rPr>
          <w:rFonts w:ascii="宋体" w:hAnsi="宋体" w:eastAsia="宋体" w:cs="宋体"/>
        </w:rPr>
      </w:pPr>
      <w:r>
        <w:rPr>
          <w:rFonts w:hint="eastAsia" w:ascii="宋体" w:hAnsi="宋体" w:eastAsia="宋体" w:cs="宋体"/>
        </w:rPr>
        <w:t>（一）行次填报</w:t>
      </w:r>
    </w:p>
    <w:p>
      <w:pPr>
        <w:pStyle w:val="65"/>
      </w:pPr>
      <w:r>
        <w:rPr>
          <w:rFonts w:hint="eastAsia"/>
        </w:rPr>
        <w:t>1.第1行“一、债务重组”：填报企业发生债务重组业务的相关金额。</w:t>
      </w:r>
    </w:p>
    <w:p>
      <w:pPr>
        <w:pStyle w:val="65"/>
      </w:pPr>
      <w:r>
        <w:rPr>
          <w:rFonts w:hint="eastAsia"/>
        </w:rPr>
        <w:t>2.第2行“其中：以非货币性资产清偿债务”：填报企业发生以非货币性资产清偿债务的债务重组业务的相关金额。</w:t>
      </w:r>
    </w:p>
    <w:p>
      <w:pPr>
        <w:pStyle w:val="65"/>
      </w:pPr>
      <w:r>
        <w:rPr>
          <w:rFonts w:hint="eastAsia"/>
        </w:rPr>
        <w:t>3.第3行“债转股”：填报企业发生债权转股权的债务重组业务的相关金额。</w:t>
      </w:r>
    </w:p>
    <w:p>
      <w:pPr>
        <w:pStyle w:val="65"/>
      </w:pPr>
      <w:r>
        <w:rPr>
          <w:rFonts w:hint="eastAsia"/>
        </w:rPr>
        <w:t>4.第4行“二、股权收购”：填报企业发生股权收购重组业务的相关金额。</w:t>
      </w:r>
    </w:p>
    <w:p>
      <w:pPr>
        <w:pStyle w:val="65"/>
      </w:pPr>
      <w:r>
        <w:rPr>
          <w:rFonts w:hint="eastAsia"/>
        </w:rPr>
        <w:t>5.第5行“其中：涉及跨境重组的股权收购”：填报企业发生涉及中国境内与境外之间、内地与港澳之间、大陆与台湾地区之间的股权收购交易重组业务的相关金额。</w:t>
      </w:r>
    </w:p>
    <w:p>
      <w:pPr>
        <w:pStyle w:val="65"/>
      </w:pPr>
      <w:r>
        <w:rPr>
          <w:rFonts w:hint="eastAsia"/>
        </w:rPr>
        <w:t>6.第6行“三、资产收购”：填报企业发生资产收购重组业务的相关金额。</w:t>
      </w:r>
    </w:p>
    <w:p>
      <w:pPr>
        <w:pStyle w:val="65"/>
      </w:pPr>
      <w:r>
        <w:rPr>
          <w:rFonts w:hint="eastAsia"/>
        </w:rPr>
        <w:t>7.第7行“其中：涉及跨境重组的资产收购”：填报企业发生涉及中国境内与境外之间、内地与港澳之间、大陆与台湾地区之间的资产收购交易重组业务的相关金额。</w:t>
      </w:r>
    </w:p>
    <w:p>
      <w:pPr>
        <w:pStyle w:val="65"/>
      </w:pPr>
      <w:r>
        <w:rPr>
          <w:rFonts w:hint="eastAsia"/>
        </w:rPr>
        <w:t>8.第8行“四、企业合并”：填报第9行和第10行的合计金额。</w:t>
      </w:r>
    </w:p>
    <w:p>
      <w:pPr>
        <w:pStyle w:val="65"/>
      </w:pPr>
      <w:r>
        <w:rPr>
          <w:rFonts w:hint="eastAsia"/>
        </w:rPr>
        <w:t>9.第9行“（一）同一控制下企业合并”：填报企业发生同一控制下企业合并重组业务的相关金额。</w:t>
      </w:r>
    </w:p>
    <w:p>
      <w:pPr>
        <w:pStyle w:val="65"/>
      </w:pPr>
      <w:r>
        <w:rPr>
          <w:rFonts w:hint="eastAsia"/>
        </w:rPr>
        <w:t>10.第10行“（二）非同一控制下企业合并”：填报企业发生非同一控制下企业合并重组业务的相关金额。</w:t>
      </w:r>
    </w:p>
    <w:p>
      <w:pPr>
        <w:pStyle w:val="65"/>
      </w:pPr>
      <w:r>
        <w:rPr>
          <w:rFonts w:hint="eastAsia"/>
        </w:rPr>
        <w:t>11.第11行“五、企业分立”：填报企业发生非同一控制下企业分立重组业务的相关金额。</w:t>
      </w:r>
    </w:p>
    <w:p>
      <w:pPr>
        <w:pStyle w:val="65"/>
      </w:pPr>
      <w:r>
        <w:rPr>
          <w:rFonts w:hint="eastAsia"/>
        </w:rPr>
        <w:t>12.第12行“六、非货币性资产对外投资”：填报企业发生非货币性资产对外投资的相关金额，符合《财政部 国家税务总局关于非货币性资产投资企业所得税政策问题的通知》（财税〔2014〕116号）和《国家税务总局关于非货币性资产投资企业所得税有关征管问题的公告》（2015年第33号）规定执行递延纳税政策的填写“特殊性税务处理（递延纳税）”相关列次。</w:t>
      </w:r>
    </w:p>
    <w:p>
      <w:pPr>
        <w:pStyle w:val="65"/>
      </w:pPr>
      <w:r>
        <w:rPr>
          <w:rFonts w:hint="eastAsia"/>
        </w:rPr>
        <w:t>13.第13行“七、技术入股”：填报企业以技术成果投资入股到境内居民企业，被投资企业支付对价全部为股票（权）的技术入股业务的相关金额，符合《财政部 国家税务总局关于完善股权激励和技术入股有关所得税政策的通知》（财税〔2016〕101号）、《国家税务总局关于股权激励和技术入股所得税征管问题的公告》（2016年第62号）规定适用递延纳税政策的填写“特殊性税务处理（递延纳税）”相关列次。</w:t>
      </w:r>
    </w:p>
    <w:p>
      <w:pPr>
        <w:pStyle w:val="65"/>
      </w:pPr>
      <w:r>
        <w:rPr>
          <w:rFonts w:hint="eastAsia"/>
        </w:rPr>
        <w:t>14.第14行“八、股权划转、资产划转”：填报企业发生资产（股权）划转业务的相关金额。</w:t>
      </w:r>
    </w:p>
    <w:p>
      <w:pPr>
        <w:pStyle w:val="65"/>
        <w:rPr>
          <w:rFonts w:hint="eastAsia"/>
        </w:rPr>
      </w:pPr>
      <w:r>
        <w:rPr>
          <w:rFonts w:hint="eastAsia"/>
        </w:rPr>
        <w:t>15.第15行“</w:t>
      </w:r>
      <w:r>
        <w:rPr>
          <w:rFonts w:hint="eastAsia"/>
          <w:lang w:val="en"/>
        </w:rPr>
        <w:t>九、基础设施领域不动产投资信托基金</w:t>
      </w:r>
      <w:r>
        <w:rPr>
          <w:rFonts w:hint="eastAsia"/>
          <w:kern w:val="0"/>
          <w:lang w:val="en"/>
        </w:rPr>
        <w:t>（□原始权益人</w:t>
      </w:r>
      <w:r>
        <w:rPr>
          <w:rFonts w:hint="eastAsia"/>
          <w:kern w:val="0"/>
        </w:rPr>
        <w:t xml:space="preserve"> </w:t>
      </w:r>
      <w:r>
        <w:rPr>
          <w:rFonts w:hint="eastAsia"/>
          <w:kern w:val="0"/>
          <w:lang w:val="en"/>
        </w:rPr>
        <w:t>□项目公司）</w:t>
      </w:r>
      <w:r>
        <w:rPr>
          <w:rFonts w:hint="eastAsia"/>
        </w:rPr>
        <w:t>”：填报</w:t>
      </w:r>
      <w:r>
        <w:rPr>
          <w:rFonts w:hint="eastAsia"/>
          <w:kern w:val="0"/>
          <w:lang w:val="en"/>
        </w:rPr>
        <w:t>原始权益人</w:t>
      </w:r>
      <w:r>
        <w:rPr>
          <w:rFonts w:hint="eastAsia"/>
        </w:rPr>
        <w:t>、项目公司在设立基础设施REITs前、设立阶段发生的划转基础设施资产、转让项目公司股权等相关业务产生的损益金额及调整金额。本行填报第15.1行和第15.2行的合计金额。</w:t>
      </w:r>
    </w:p>
    <w:p>
      <w:pPr>
        <w:pStyle w:val="65"/>
        <w:rPr>
          <w:rFonts w:hint="eastAsia"/>
        </w:rPr>
      </w:pPr>
      <w:r>
        <w:rPr>
          <w:rFonts w:hint="eastAsia"/>
        </w:rPr>
        <w:t>纳税人填报本行时，根据实际情况填报企业类型。</w:t>
      </w:r>
    </w:p>
    <w:p>
      <w:pPr>
        <w:pStyle w:val="65"/>
        <w:rPr>
          <w:rFonts w:hint="eastAsia"/>
        </w:rPr>
      </w:pPr>
      <w:r>
        <w:rPr>
          <w:rFonts w:hint="eastAsia"/>
        </w:rPr>
        <w:t>第15.1行“（一）</w:t>
      </w:r>
      <w:r>
        <w:rPr>
          <w:rFonts w:hint="eastAsia"/>
          <w:lang w:val="en"/>
        </w:rPr>
        <w:t>设立</w:t>
      </w:r>
      <w:r>
        <w:rPr>
          <w:rFonts w:hint="eastAsia"/>
        </w:rPr>
        <w:t>基础设施</w:t>
      </w:r>
      <w:r>
        <w:rPr>
          <w:rFonts w:hint="eastAsia"/>
          <w:lang w:val="en"/>
        </w:rPr>
        <w:t>REITs前</w:t>
      </w:r>
      <w:r>
        <w:rPr>
          <w:rFonts w:hint="eastAsia"/>
        </w:rPr>
        <w:t>”:填报在设立基础设施REITs前，</w:t>
      </w:r>
      <w:r>
        <w:rPr>
          <w:rFonts w:hint="eastAsia"/>
          <w:kern w:val="0"/>
          <w:lang w:val="en"/>
        </w:rPr>
        <w:t>原始权益人</w:t>
      </w:r>
      <w:r>
        <w:rPr>
          <w:rFonts w:hint="eastAsia"/>
        </w:rPr>
        <w:t>与项目公司就其发生的划转基础设施资产业务产生的损益金额及调整金额。</w:t>
      </w:r>
    </w:p>
    <w:p>
      <w:pPr>
        <w:pStyle w:val="65"/>
        <w:rPr>
          <w:rFonts w:hint="eastAsia"/>
        </w:rPr>
      </w:pPr>
      <w:r>
        <w:rPr>
          <w:rFonts w:hint="eastAsia"/>
        </w:rPr>
        <w:t>第15.2行“（二）</w:t>
      </w:r>
      <w:r>
        <w:rPr>
          <w:rFonts w:hint="eastAsia"/>
          <w:lang w:val="en"/>
        </w:rPr>
        <w:t>设立</w:t>
      </w:r>
      <w:r>
        <w:rPr>
          <w:rFonts w:hint="eastAsia"/>
        </w:rPr>
        <w:t>基础设施</w:t>
      </w:r>
      <w:r>
        <w:rPr>
          <w:rFonts w:hint="eastAsia"/>
          <w:lang w:val="en"/>
        </w:rPr>
        <w:t>REITs</w:t>
      </w:r>
      <w:r>
        <w:rPr>
          <w:rFonts w:hint="eastAsia"/>
        </w:rPr>
        <w:t>阶段”：填报原始</w:t>
      </w:r>
      <w:r>
        <w:rPr>
          <w:rFonts w:hint="eastAsia"/>
          <w:kern w:val="0"/>
          <w:lang w:val="en"/>
        </w:rPr>
        <w:t>权益</w:t>
      </w:r>
      <w:r>
        <w:rPr>
          <w:rFonts w:hint="eastAsia"/>
        </w:rPr>
        <w:t>人在设立基础设施REITs阶段，针对向基础设施REITs转让项目公司股权实现的资产转让评估增值以及按照战略配售要求自持的基础设施REITs份额对应的资产转让评估增值等产生的损益金额及调整金额。</w:t>
      </w:r>
    </w:p>
    <w:p>
      <w:pPr>
        <w:pStyle w:val="65"/>
        <w:rPr>
          <w:rFonts w:hint="eastAsia"/>
        </w:rPr>
      </w:pPr>
      <w:r>
        <w:rPr>
          <w:rFonts w:hint="eastAsia"/>
        </w:rPr>
        <w:t>1</w:t>
      </w:r>
      <w:r>
        <w:t>6</w:t>
      </w:r>
      <w:r>
        <w:rPr>
          <w:rFonts w:hint="eastAsia"/>
        </w:rPr>
        <w:t>.第16行“十、其他”：填报企业发生的其他递延纳税事项的相关金额。</w:t>
      </w:r>
    </w:p>
    <w:p>
      <w:pPr>
        <w:pStyle w:val="79"/>
        <w:outlineLvl w:val="1"/>
        <w:rPr>
          <w:rFonts w:ascii="宋体" w:hAnsi="宋体" w:eastAsia="宋体" w:cs="宋体"/>
        </w:rPr>
      </w:pPr>
      <w:r>
        <w:rPr>
          <w:rFonts w:hint="eastAsia" w:ascii="宋体" w:hAnsi="宋体" w:eastAsia="宋体" w:cs="宋体"/>
        </w:rPr>
        <w:t>（二）列次填报</w:t>
      </w:r>
    </w:p>
    <w:p>
      <w:pPr>
        <w:pStyle w:val="65"/>
      </w:pPr>
      <w:r>
        <w:rPr>
          <w:rFonts w:hint="eastAsia"/>
        </w:rPr>
        <w:t>本表数据栏设置“一般性税务处理”“特殊性税务处理（递延纳税）”两大栏次，纳税人应根据企业重组所适用的税务处理办法，分别按照企业重组类型进行累计填报，损失以“-”号填列。</w:t>
      </w:r>
    </w:p>
    <w:p>
      <w:pPr>
        <w:pStyle w:val="65"/>
      </w:pPr>
      <w:r>
        <w:rPr>
          <w:rFonts w:hint="eastAsia"/>
        </w:rPr>
        <w:t>1.第1列“一般性税务处理-账载金额”：填报企业重组适用一般性税务处理或企业未发生递延纳税业务，会计核算确认的企业损益金额。</w:t>
      </w:r>
    </w:p>
    <w:p>
      <w:pPr>
        <w:pStyle w:val="65"/>
      </w:pPr>
      <w:r>
        <w:rPr>
          <w:rFonts w:hint="eastAsia"/>
        </w:rPr>
        <w:t>2.第2列“一般性税务处理-税收金额”：填报企业重组适用一般性税务处理或企业未发生递延纳税业务，按税收规定确认的所得（或损失）。</w:t>
      </w:r>
    </w:p>
    <w:p>
      <w:pPr>
        <w:pStyle w:val="65"/>
      </w:pPr>
      <w:r>
        <w:rPr>
          <w:rFonts w:hint="eastAsia"/>
        </w:rPr>
        <w:t>3.第3列“一般性税务处理-纳税调整金额”：填报企业重组适用一般性税务处理或企业未发生递延纳税业务，按税收规定确认的所得（或损失）与会计核算确认的损益金额的差额。本项填报第2-1列的余额。</w:t>
      </w:r>
    </w:p>
    <w:p>
      <w:pPr>
        <w:pStyle w:val="65"/>
      </w:pPr>
      <w:r>
        <w:rPr>
          <w:rFonts w:hint="eastAsia"/>
        </w:rPr>
        <w:t>4.第4列“特殊性税务处理（递延纳税）-账载金额”：填报企业重组适用特殊性税务处理或企业发生递延纳税业务，会计核算确认的损益金额。</w:t>
      </w:r>
    </w:p>
    <w:p>
      <w:pPr>
        <w:pStyle w:val="65"/>
      </w:pPr>
      <w:r>
        <w:rPr>
          <w:rFonts w:hint="eastAsia"/>
        </w:rPr>
        <w:t>5.第5列“特殊性税务处理（递延纳税）-税收金额”：填报企业重组适用特殊性税务处理或企业发生递延纳税业务，按税收规定确认的所得（或损失）。</w:t>
      </w:r>
    </w:p>
    <w:p>
      <w:pPr>
        <w:pStyle w:val="65"/>
      </w:pPr>
      <w:r>
        <w:rPr>
          <w:rFonts w:hint="eastAsia"/>
        </w:rPr>
        <w:t>6.第6列“特殊性税务处理（递延纳税）-纳税调整金额”：填报企业重组适用特殊性税务处理或企业发生递延纳税业务，按税收规定确认的所得（或损失）与会计核算确认的损益金额的差额。本项填报第5-4列的余额。</w:t>
      </w:r>
    </w:p>
    <w:p>
      <w:pPr>
        <w:pStyle w:val="65"/>
      </w:pPr>
      <w:r>
        <w:rPr>
          <w:rFonts w:hint="eastAsia"/>
        </w:rPr>
        <w:t>7.第7列“纳税调整金额”：填报第3+6列的合计金额。</w:t>
      </w:r>
    </w:p>
    <w:p>
      <w:pPr>
        <w:pStyle w:val="69"/>
        <w:ind w:firstLine="482"/>
        <w:outlineLvl w:val="0"/>
        <w:rPr>
          <w:rFonts w:cs="宋体"/>
        </w:rPr>
      </w:pPr>
      <w:bookmarkStart w:id="192" w:name="_Toc1181149639_WPSOffice_Level1"/>
      <w:bookmarkStart w:id="193" w:name="_Toc249341077_WPSOffice_Level1"/>
      <w:bookmarkStart w:id="194" w:name="_Toc1179643045_WPSOffice_Level1"/>
      <w:r>
        <w:rPr>
          <w:rFonts w:hint="eastAsia" w:cs="宋体"/>
        </w:rPr>
        <w:t>二、表内、表间关系</w:t>
      </w:r>
      <w:bookmarkEnd w:id="192"/>
      <w:bookmarkEnd w:id="193"/>
      <w:bookmarkEnd w:id="194"/>
    </w:p>
    <w:p>
      <w:pPr>
        <w:pStyle w:val="79"/>
        <w:outlineLvl w:val="1"/>
        <w:rPr>
          <w:rFonts w:ascii="宋体" w:hAnsi="宋体" w:eastAsia="宋体" w:cs="宋体"/>
        </w:rPr>
      </w:pPr>
      <w:r>
        <w:rPr>
          <w:rFonts w:hint="eastAsia" w:ascii="宋体" w:hAnsi="宋体" w:eastAsia="宋体" w:cs="宋体"/>
        </w:rPr>
        <w:t>（一）表内关系</w:t>
      </w:r>
    </w:p>
    <w:p>
      <w:pPr>
        <w:pStyle w:val="65"/>
        <w:rPr>
          <w:rFonts w:hint="eastAsia"/>
        </w:rPr>
      </w:pPr>
      <w:r>
        <w:rPr>
          <w:rFonts w:hint="eastAsia"/>
        </w:rPr>
        <w:t>1.第8行＝第9+10行。</w:t>
      </w:r>
    </w:p>
    <w:p>
      <w:pPr>
        <w:pStyle w:val="65"/>
        <w:rPr>
          <w:rFonts w:hint="eastAsia"/>
        </w:rPr>
      </w:pPr>
      <w:r>
        <w:rPr>
          <w:rFonts w:hint="eastAsia"/>
        </w:rPr>
        <w:t>2.第15行＝第15.1+15.2行。</w:t>
      </w:r>
    </w:p>
    <w:p>
      <w:pPr>
        <w:pStyle w:val="65"/>
      </w:pPr>
      <w:r>
        <w:rPr>
          <w:rFonts w:hint="eastAsia"/>
        </w:rPr>
        <w:t>3.第17行＝第1+4+6+8+11+12+13+14+15+16行。</w:t>
      </w:r>
    </w:p>
    <w:p>
      <w:pPr>
        <w:pStyle w:val="65"/>
      </w:pPr>
      <w:r>
        <w:rPr>
          <w:rFonts w:hint="eastAsia"/>
        </w:rPr>
        <w:t>4.第3列＝第2-1列。</w:t>
      </w:r>
    </w:p>
    <w:p>
      <w:pPr>
        <w:pStyle w:val="65"/>
      </w:pPr>
      <w:r>
        <w:rPr>
          <w:rFonts w:hint="eastAsia"/>
        </w:rPr>
        <w:t>5.第6列＝第5-4列。</w:t>
      </w:r>
    </w:p>
    <w:p>
      <w:pPr>
        <w:pStyle w:val="65"/>
      </w:pPr>
      <w:r>
        <w:rPr>
          <w:rFonts w:hint="eastAsia"/>
        </w:rPr>
        <w:t>6.第7列＝第3+6列。</w:t>
      </w:r>
    </w:p>
    <w:p>
      <w:pPr>
        <w:pStyle w:val="79"/>
        <w:outlineLvl w:val="1"/>
        <w:rPr>
          <w:rFonts w:ascii="宋体" w:hAnsi="宋体" w:eastAsia="宋体" w:cs="宋体"/>
        </w:rPr>
      </w:pPr>
      <w:r>
        <w:rPr>
          <w:rFonts w:hint="eastAsia" w:ascii="宋体" w:hAnsi="宋体" w:eastAsia="宋体" w:cs="宋体"/>
        </w:rPr>
        <w:t>（二）表间关系</w:t>
      </w:r>
    </w:p>
    <w:p>
      <w:pPr>
        <w:pStyle w:val="65"/>
      </w:pPr>
      <w:r>
        <w:rPr>
          <w:rFonts w:hint="eastAsia"/>
        </w:rPr>
        <w:t>1.第17行第1+4列＝表A105000第37行第1列。</w:t>
      </w:r>
    </w:p>
    <w:p>
      <w:pPr>
        <w:pStyle w:val="65"/>
      </w:pPr>
      <w:r>
        <w:rPr>
          <w:rFonts w:hint="eastAsia"/>
        </w:rPr>
        <w:t>2.第17行第2+5列＝表A105000第37行第2列。</w:t>
      </w:r>
    </w:p>
    <w:p>
      <w:pPr>
        <w:pStyle w:val="65"/>
      </w:pPr>
      <w:r>
        <w:rPr>
          <w:rFonts w:hint="eastAsia"/>
        </w:rPr>
        <w:t>3.若第17行第7列≥0，第17行第7列＝表A105000第37行第3列；若第17行第7列＜0，第17行第7列的绝对值＝表A105000第37行第4列。</w:t>
      </w:r>
    </w:p>
    <w:p>
      <w:pPr>
        <w:pStyle w:val="65"/>
        <w:sectPr>
          <w:pgSz w:w="11906" w:h="16838"/>
          <w:pgMar w:top="1985" w:right="1418" w:bottom="1928" w:left="1418" w:header="851" w:footer="992" w:gutter="113"/>
          <w:pgNumType w:fmt="decimal"/>
          <w:cols w:space="720" w:num="1"/>
          <w:titlePg/>
          <w:docGrid w:linePitch="312" w:charSpace="0"/>
        </w:sectPr>
      </w:pPr>
    </w:p>
    <w:p>
      <w:pPr>
        <w:pStyle w:val="66"/>
      </w:pPr>
      <w:bookmarkStart w:id="195" w:name="_Toc26838"/>
      <w:r>
        <w:rPr>
          <w:rFonts w:hint="eastAsia"/>
        </w:rPr>
        <w:t>A105110</w:t>
      </w:r>
      <w:r>
        <w:rPr>
          <w:rFonts w:hint="eastAsia"/>
        </w:rPr>
        <w:tab/>
      </w:r>
      <w:r>
        <w:rPr>
          <w:rFonts w:hint="eastAsia"/>
        </w:rPr>
        <w:t>政策性搬迁纳税调整明细表</w:t>
      </w:r>
      <w:bookmarkEnd w:id="195"/>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6592"/>
              </w:rPr>
              <w:t>项</w:t>
            </w:r>
            <w:r>
              <w:rPr>
                <w:rFonts w:hint="eastAsia" w:ascii="宋体" w:hAnsi="宋体" w:cs="宋体"/>
                <w:spacing w:val="0"/>
                <w:kern w:val="0"/>
                <w:sz w:val="20"/>
                <w:szCs w:val="20"/>
                <w:fitText w:val="1400" w:id="1540526592"/>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526593"/>
              </w:rPr>
              <w:t>金</w:t>
            </w:r>
            <w:r>
              <w:rPr>
                <w:rFonts w:hint="eastAsia" w:ascii="宋体" w:hAnsi="宋体" w:cs="宋体"/>
                <w:spacing w:val="0"/>
                <w:kern w:val="0"/>
                <w:sz w:val="20"/>
                <w:szCs w:val="20"/>
                <w:fitText w:val="1000" w:id="154052659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一、搬迁收入(2+8)</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（一）搬迁补偿收入（3+4+5+6+7）</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1.对被征用资产价值的补偿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2.因搬迁、安置而给予的补偿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3.对停产停业形成的损失而给予的补偿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4.资产搬迁过程中遭到毁损而取得的保险赔款</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5.其他补偿收入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二、搬迁支出(10+16)</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（一）搬迁费用支出(11+12+13+14+15)</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1.安置职工实际发生的费用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2.停工期间支付给职工的工资及福利费</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3.临时存放搬迁资产而发生的费用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4.各类资产搬迁安装费用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5.其他与搬迁相关的费用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（二）搬迁资产处置支出</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三、搬迁所得或损失（1-9）</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四、应计入本年应纳税所得额的搬迁所得或损失（19+20+21）</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其中：搬迁所得</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搬迁损失一次性扣除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搬迁损失分期扣除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五、计入当期损益的搬迁收益或损失</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六、以前年度搬迁损失当期扣除金额</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七、纳税调整金额（18-22-23）</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tabs>
          <w:tab w:val="left" w:pos="1350"/>
        </w:tabs>
      </w:pPr>
    </w:p>
    <w:p>
      <w:pPr>
        <w:tabs>
          <w:tab w:val="left" w:pos="1350"/>
        </w:tabs>
        <w:sectPr>
          <w:pgSz w:w="11906" w:h="16838"/>
          <w:pgMar w:top="1985" w:right="1418" w:bottom="1928" w:left="1418" w:header="851" w:footer="992" w:gutter="113"/>
          <w:pgNumType w:fmt="decimal"/>
          <w:cols w:space="720" w:num="1"/>
          <w:titlePg/>
          <w:docGrid w:linePitch="312" w:charSpace="0"/>
        </w:sectPr>
      </w:pPr>
      <w:r>
        <w:tab/>
      </w:r>
    </w:p>
    <w:p>
      <w:pPr>
        <w:pStyle w:val="88"/>
        <w:spacing w:before="240" w:after="360"/>
        <w:rPr>
          <w:rFonts w:ascii="宋体" w:eastAsia="宋体"/>
          <w:b/>
        </w:rPr>
      </w:pPr>
      <w:bookmarkStart w:id="196" w:name="_Toc15228"/>
      <w:r>
        <w:rPr>
          <w:rFonts w:hint="eastAsia" w:ascii="宋体" w:eastAsia="宋体"/>
          <w:b/>
        </w:rPr>
        <w:t>A105110</w:t>
      </w:r>
      <w:r>
        <w:rPr>
          <w:rFonts w:ascii="宋体" w:eastAsia="宋体"/>
          <w:b/>
        </w:rPr>
        <w:tab/>
      </w:r>
      <w:r>
        <w:rPr>
          <w:rFonts w:hint="eastAsia" w:ascii="宋体" w:eastAsia="宋体"/>
          <w:b/>
        </w:rPr>
        <w:t>《政策性搬迁纳税调整明细表》填报说明</w:t>
      </w:r>
      <w:bookmarkEnd w:id="196"/>
    </w:p>
    <w:p>
      <w:pPr>
        <w:pStyle w:val="65"/>
      </w:pPr>
      <w:r>
        <w:rPr>
          <w:rFonts w:hint="eastAsia"/>
        </w:rPr>
        <w:t>本表适用于发生政策性搬迁纳税调整项目的纳税人在完成搬迁年度及以后进行损失分期扣除的年度填报。纳税人根据税法、《国家税务总局关于发布〈企业政策性搬迁所得税管理办法〉的公告》（国家税务总局公告2012年第40号）、《国家税务总局关于企业政策性搬迁所得税有关问题的公告》（国家税务总局公告2013年第11号）等相关规定，以及国家统一企业会计制度，填报企业政策性搬迁项目的相关会计处理、税收规定及纳税调整情况。</w:t>
      </w:r>
    </w:p>
    <w:p>
      <w:pPr>
        <w:pStyle w:val="69"/>
        <w:ind w:firstLine="482"/>
        <w:outlineLvl w:val="0"/>
      </w:pPr>
      <w:r>
        <w:rPr>
          <w:rFonts w:hint="eastAsia"/>
        </w:rPr>
        <w:t>一、有关项目填报说明</w:t>
      </w:r>
    </w:p>
    <w:p>
      <w:pPr>
        <w:pStyle w:val="65"/>
      </w:pPr>
      <w:r>
        <w:rPr>
          <w:rFonts w:hint="eastAsia"/>
        </w:rPr>
        <w:t>本表第1行“一、搬迁收入”至第21行“搬迁损失分期扣除”的金额，按照税收规定确认的政策性搬迁清算累计数填报。</w:t>
      </w:r>
    </w:p>
    <w:p>
      <w:pPr>
        <w:pStyle w:val="65"/>
      </w:pPr>
      <w:r>
        <w:rPr>
          <w:rFonts w:hint="eastAsia"/>
        </w:rPr>
        <w:t>1.第1行“一、搬迁收入”：填报第2+8行的合计金额。</w:t>
      </w:r>
    </w:p>
    <w:p>
      <w:pPr>
        <w:pStyle w:val="65"/>
      </w:pPr>
      <w:r>
        <w:rPr>
          <w:rFonts w:hint="eastAsia"/>
        </w:rPr>
        <w:t>2.第2行“（一）搬迁补偿收入”：填报按税收规定确认的，纳税人从本企业以外取得的搬迁补偿收入金额，此行为第3行至第7行的合计金额。</w:t>
      </w:r>
    </w:p>
    <w:p>
      <w:pPr>
        <w:pStyle w:val="65"/>
      </w:pPr>
      <w:r>
        <w:rPr>
          <w:rFonts w:hint="eastAsia"/>
        </w:rPr>
        <w:t>3.第3行“1.对被征用资产价值的补偿”：填报按税收规定确认的，纳税人被征用资产价值补偿收入累计金额。</w:t>
      </w:r>
    </w:p>
    <w:p>
      <w:pPr>
        <w:pStyle w:val="65"/>
      </w:pPr>
      <w:r>
        <w:rPr>
          <w:rFonts w:hint="eastAsia"/>
        </w:rPr>
        <w:t>4.第4行“2.因搬迁、安置而给予的补偿”：填报按税收规定确认的，纳税人因搬迁、安置而取得的补偿收入累计金额。</w:t>
      </w:r>
    </w:p>
    <w:p>
      <w:pPr>
        <w:pStyle w:val="65"/>
      </w:pPr>
      <w:r>
        <w:rPr>
          <w:rFonts w:hint="eastAsia"/>
        </w:rPr>
        <w:t>5.第5行“3.对停产停业形成的损失而给予的补偿”：填报按税收规定确认的，纳税人停产停业形成损失而取得的补偿收入累计金额。</w:t>
      </w:r>
    </w:p>
    <w:p>
      <w:pPr>
        <w:pStyle w:val="65"/>
      </w:pPr>
      <w:r>
        <w:rPr>
          <w:rFonts w:hint="eastAsia"/>
        </w:rPr>
        <w:t>6.第6行“4.资产搬迁过程中遭到毁损而取得的保险赔款”：填报按税收规定确认，纳税人资产搬迁过程中遭到毁损而取得的保险赔款收入累计金额。</w:t>
      </w:r>
    </w:p>
    <w:p>
      <w:pPr>
        <w:pStyle w:val="65"/>
      </w:pPr>
      <w:r>
        <w:rPr>
          <w:rFonts w:hint="eastAsia"/>
        </w:rPr>
        <w:t>7.第7行“5.其他补偿收入”：填报按税收规定确认，纳税人其他补偿收入累计金额。</w:t>
      </w:r>
    </w:p>
    <w:p>
      <w:pPr>
        <w:pStyle w:val="65"/>
      </w:pPr>
      <w:r>
        <w:rPr>
          <w:rFonts w:hint="eastAsia"/>
        </w:rPr>
        <w:t>8.第8行“（二）搬迁资产处置收入”：填报按税收规定确认，纳税人由于搬迁而处置各类资产所取得的收入累计金额。</w:t>
      </w:r>
    </w:p>
    <w:p>
      <w:pPr>
        <w:pStyle w:val="65"/>
      </w:pPr>
      <w:r>
        <w:rPr>
          <w:rFonts w:hint="eastAsia"/>
        </w:rPr>
        <w:t>9.第9行“二、搬迁支出”：填报第10+16行的合计金额。</w:t>
      </w:r>
    </w:p>
    <w:p>
      <w:pPr>
        <w:pStyle w:val="65"/>
      </w:pPr>
      <w:r>
        <w:rPr>
          <w:rFonts w:hint="eastAsia"/>
        </w:rPr>
        <w:t>10.第10行“（一）搬迁费用支出”：填报按税收规定确认，纳税人搬迁过程中发生的费用支出累计金额，为第11行至第15行的合计金额。</w:t>
      </w:r>
    </w:p>
    <w:p>
      <w:pPr>
        <w:pStyle w:val="65"/>
      </w:pPr>
      <w:r>
        <w:rPr>
          <w:rFonts w:hint="eastAsia"/>
        </w:rPr>
        <w:t>11.第11行“1.安置职工实际发生的费用”：填报按税收规定确认，纳税人安置职工实际发生费用支出的累计金额。</w:t>
      </w:r>
    </w:p>
    <w:p>
      <w:pPr>
        <w:pStyle w:val="65"/>
      </w:pPr>
      <w:r>
        <w:rPr>
          <w:rFonts w:hint="eastAsia"/>
        </w:rPr>
        <w:t>12.第12行“2.停工期间支付给职工的工资及福利费”：填报按税收规定确认，纳税人因停工支付给职工的工资及福利费支出累计金额。</w:t>
      </w:r>
    </w:p>
    <w:p>
      <w:pPr>
        <w:pStyle w:val="65"/>
      </w:pPr>
      <w:r>
        <w:rPr>
          <w:rFonts w:hint="eastAsia"/>
        </w:rPr>
        <w:t>13.第13行“3.临时存放搬迁资产而发生的费用”：填报按税收规定确认，纳税人临时存放搬迁资产发生的费用支出累计金额。</w:t>
      </w:r>
    </w:p>
    <w:p>
      <w:pPr>
        <w:pStyle w:val="65"/>
      </w:pPr>
      <w:r>
        <w:rPr>
          <w:rFonts w:hint="eastAsia"/>
        </w:rPr>
        <w:t>14.第14行“4.各类资产搬迁安装费用”：填报按税收规定确认，纳税人各类资产搬迁安装费用支出累计金额。</w:t>
      </w:r>
    </w:p>
    <w:p>
      <w:pPr>
        <w:pStyle w:val="65"/>
      </w:pPr>
      <w:r>
        <w:rPr>
          <w:rFonts w:hint="eastAsia"/>
        </w:rPr>
        <w:t>15.第15行“5.其他与搬迁相关的费用”：填报按税收规定确认，纳税人其他与搬迁相关的费用支出累计金额。</w:t>
      </w:r>
    </w:p>
    <w:p>
      <w:pPr>
        <w:pStyle w:val="65"/>
      </w:pPr>
      <w:r>
        <w:rPr>
          <w:rFonts w:hint="eastAsia"/>
        </w:rPr>
        <w:t>16.第16行“（二）搬迁资产处置支出”：填报按税收规定确认的，纳税人搬迁资产处置支出累计金额。符合《国家税务总局关于企业政策性搬迁所得税有关问题的公告》（国家税务总局公告2013年第11号）规定的资产购置支出，填报在本行。</w:t>
      </w:r>
    </w:p>
    <w:p>
      <w:pPr>
        <w:pStyle w:val="65"/>
      </w:pPr>
      <w:r>
        <w:rPr>
          <w:rFonts w:hint="eastAsia"/>
        </w:rPr>
        <w:t>17.第17行“三、搬迁所得或损失”：填报政策性搬迁所得或损失，填报第1-9行的余额，</w:t>
      </w:r>
      <w:r>
        <w:rPr>
          <w:rFonts w:hint="eastAsia" w:cs="Arial"/>
        </w:rPr>
        <w:t>损失以“-”号填列</w:t>
      </w:r>
      <w:r>
        <w:rPr>
          <w:rFonts w:hint="eastAsia"/>
        </w:rPr>
        <w:t>。</w:t>
      </w:r>
    </w:p>
    <w:p>
      <w:pPr>
        <w:pStyle w:val="65"/>
      </w:pPr>
      <w:r>
        <w:rPr>
          <w:rFonts w:hint="eastAsia"/>
        </w:rPr>
        <w:t>18.第18行“四、应计入本年应纳税所得额的搬迁所得或损失”：填报政策性搬迁所得或损失按照税收规定计入本年应纳税所得额的金额，填报第19行至第21行的合计金额，</w:t>
      </w:r>
      <w:r>
        <w:rPr>
          <w:rFonts w:hint="eastAsia" w:cs="Arial"/>
        </w:rPr>
        <w:t>损失以“-”号填列</w:t>
      </w:r>
      <w:r>
        <w:rPr>
          <w:rFonts w:hint="eastAsia"/>
        </w:rPr>
        <w:t>。</w:t>
      </w:r>
    </w:p>
    <w:p>
      <w:pPr>
        <w:pStyle w:val="65"/>
      </w:pPr>
      <w:r>
        <w:rPr>
          <w:rFonts w:hint="eastAsia"/>
        </w:rPr>
        <w:t>19.第19行“其中：搬迁所得”：填报按税法相关规定，搬迁完成年度政策性搬迁所得的金额。</w:t>
      </w:r>
    </w:p>
    <w:p>
      <w:pPr>
        <w:pStyle w:val="65"/>
      </w:pPr>
      <w:r>
        <w:rPr>
          <w:rFonts w:hint="eastAsia"/>
        </w:rPr>
        <w:t>20.第20行“搬迁损失一次性扣除”：由选择一次性扣除搬迁损失的纳税人填报，填报搬迁完成年度按照税收规定计算的搬迁损失金额，</w:t>
      </w:r>
      <w:r>
        <w:rPr>
          <w:rFonts w:hint="eastAsia" w:cs="Arial"/>
        </w:rPr>
        <w:t>损失以“-”号填列</w:t>
      </w:r>
      <w:r>
        <w:rPr>
          <w:rFonts w:hint="eastAsia"/>
        </w:rPr>
        <w:t>。</w:t>
      </w:r>
    </w:p>
    <w:p>
      <w:pPr>
        <w:pStyle w:val="65"/>
      </w:pPr>
      <w:r>
        <w:rPr>
          <w:rFonts w:hint="eastAsia"/>
        </w:rPr>
        <w:t>21.第21行“搬迁损失分期扣除”：由选择分期扣除搬迁损失的纳税人填报，填报搬迁完成年度按照税收规定计算的搬迁损失在本年扣除的金额，</w:t>
      </w:r>
      <w:r>
        <w:rPr>
          <w:rFonts w:hint="eastAsia" w:cs="Arial"/>
        </w:rPr>
        <w:t>损失以“-”号填列</w:t>
      </w:r>
      <w:r>
        <w:rPr>
          <w:rFonts w:hint="eastAsia"/>
        </w:rPr>
        <w:t>。</w:t>
      </w:r>
    </w:p>
    <w:p>
      <w:pPr>
        <w:pStyle w:val="65"/>
      </w:pPr>
      <w:r>
        <w:rPr>
          <w:rFonts w:hint="eastAsia"/>
        </w:rPr>
        <w:t>22.第22行“五、计入当期损益的搬迁收益或损失”：填报政策性搬迁项目会计核算计入当期损益的金额，</w:t>
      </w:r>
      <w:r>
        <w:rPr>
          <w:rFonts w:hint="eastAsia" w:cs="Arial"/>
        </w:rPr>
        <w:t>损失以“-”号填列</w:t>
      </w:r>
      <w:r>
        <w:rPr>
          <w:rFonts w:hint="eastAsia"/>
        </w:rPr>
        <w:t>。</w:t>
      </w:r>
    </w:p>
    <w:p>
      <w:pPr>
        <w:pStyle w:val="65"/>
      </w:pPr>
      <w:r>
        <w:rPr>
          <w:rFonts w:hint="eastAsia"/>
        </w:rPr>
        <w:t>23.第23行“六、以前年度搬迁损失当期扣除金额”：以前年度完成搬迁形成的损失，按照税收规定在当期扣除的金额。</w:t>
      </w:r>
    </w:p>
    <w:p>
      <w:pPr>
        <w:pStyle w:val="65"/>
      </w:pPr>
      <w:r>
        <w:rPr>
          <w:rFonts w:hint="eastAsia"/>
        </w:rPr>
        <w:t>24.第24行“七、纳税调整金额”：填报第18-22-23行的余额。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1.第1行＝第2+8行。</w:t>
      </w:r>
    </w:p>
    <w:p>
      <w:pPr>
        <w:pStyle w:val="65"/>
      </w:pPr>
      <w:r>
        <w:rPr>
          <w:rFonts w:hint="eastAsia"/>
        </w:rPr>
        <w:t>2.第2行＝第3+4+</w:t>
      </w:r>
      <w:r>
        <w:t>…</w:t>
      </w:r>
      <w:r>
        <w:rPr>
          <w:rFonts w:hint="eastAsia"/>
        </w:rPr>
        <w:t>+7行。</w:t>
      </w:r>
    </w:p>
    <w:p>
      <w:pPr>
        <w:pStyle w:val="65"/>
      </w:pPr>
      <w:r>
        <w:rPr>
          <w:rFonts w:hint="eastAsia"/>
        </w:rPr>
        <w:t>3.第9行＝第10+16行。</w:t>
      </w:r>
    </w:p>
    <w:p>
      <w:pPr>
        <w:pStyle w:val="65"/>
      </w:pPr>
      <w:r>
        <w:rPr>
          <w:rFonts w:hint="eastAsia"/>
        </w:rPr>
        <w:t>4.第10行＝第11+12+</w:t>
      </w:r>
      <w:r>
        <w:t>…</w:t>
      </w:r>
      <w:r>
        <w:rPr>
          <w:rFonts w:hint="eastAsia"/>
        </w:rPr>
        <w:t>+15行。</w:t>
      </w:r>
    </w:p>
    <w:p>
      <w:pPr>
        <w:pStyle w:val="65"/>
      </w:pPr>
      <w:r>
        <w:rPr>
          <w:rFonts w:hint="eastAsia"/>
        </w:rPr>
        <w:t>5.第17行＝第1-9行。</w:t>
      </w:r>
    </w:p>
    <w:p>
      <w:pPr>
        <w:pStyle w:val="65"/>
      </w:pPr>
      <w:r>
        <w:rPr>
          <w:rFonts w:hint="eastAsia"/>
        </w:rPr>
        <w:t>6.第18行＝第19+20+21行。</w:t>
      </w:r>
    </w:p>
    <w:p>
      <w:pPr>
        <w:pStyle w:val="65"/>
      </w:pPr>
      <w:r>
        <w:rPr>
          <w:rFonts w:hint="eastAsia"/>
        </w:rPr>
        <w:t>7.第24行＝第18-22-23行。</w:t>
      </w:r>
    </w:p>
    <w:p>
      <w:pPr>
        <w:pStyle w:val="79"/>
        <w:outlineLvl w:val="1"/>
      </w:pPr>
      <w:r>
        <w:rPr>
          <w:rFonts w:hint="eastAsia"/>
        </w:rPr>
        <w:t>（二）表间关系</w:t>
      </w:r>
    </w:p>
    <w:p>
      <w:pPr>
        <w:pStyle w:val="65"/>
      </w:pPr>
      <w:r>
        <w:rPr>
          <w:rFonts w:hint="eastAsia"/>
        </w:rPr>
        <w:t>若第24行≥0，第24行＝表A105000第</w:t>
      </w:r>
      <w:r>
        <w:t>3</w:t>
      </w:r>
      <w:r>
        <w:rPr>
          <w:rFonts w:hint="eastAsia"/>
        </w:rPr>
        <w:t>8行第3列；若第24行＜0，第24行的绝对值＝表A105000第</w:t>
      </w:r>
      <w:r>
        <w:t>3</w:t>
      </w:r>
      <w:r>
        <w:rPr>
          <w:rFonts w:hint="eastAsia"/>
        </w:rPr>
        <w:t>8行第4列。</w:t>
      </w:r>
    </w:p>
    <w:p>
      <w:pPr>
        <w:pStyle w:val="65"/>
        <w:sectPr>
          <w:pgSz w:w="11906" w:h="16838"/>
          <w:pgMar w:top="1985" w:right="1418" w:bottom="1928" w:left="1418" w:header="851" w:footer="992" w:gutter="113"/>
          <w:pgNumType w:fmt="decimal"/>
          <w:cols w:space="720" w:num="1"/>
          <w:docGrid w:linePitch="312" w:charSpace="0"/>
        </w:sectPr>
      </w:pPr>
    </w:p>
    <w:p>
      <w:pPr>
        <w:pStyle w:val="66"/>
        <w:tabs>
          <w:tab w:val="center" w:pos="7780"/>
          <w:tab w:val="clear" w:pos="4678"/>
        </w:tabs>
        <w:ind w:firstLine="1265" w:firstLineChars="450"/>
        <w:rPr>
          <w:rFonts w:hint="eastAsia"/>
        </w:rPr>
      </w:pPr>
      <w:bookmarkStart w:id="197" w:name="_Toc54267934"/>
      <w:bookmarkStart w:id="198" w:name="_Toc19303"/>
      <w:r>
        <w:rPr>
          <w:rFonts w:hint="eastAsia"/>
        </w:rPr>
        <w:t>A105120</w:t>
      </w:r>
      <w:r>
        <w:rPr>
          <w:rFonts w:hint="eastAsia"/>
        </w:rPr>
        <w:tab/>
      </w:r>
      <w:r>
        <w:rPr>
          <w:rFonts w:hint="eastAsia"/>
        </w:rPr>
        <w:t>贷款损失准备金及纳税调整明细表</w:t>
      </w:r>
      <w:bookmarkEnd w:id="197"/>
      <w:bookmarkEnd w:id="198"/>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fixed"/>
        <w:tblCellMar>
          <w:top w:w="0" w:type="dxa"/>
          <w:left w:w="108" w:type="dxa"/>
          <w:bottom w:w="0" w:type="dxa"/>
          <w:right w:w="108" w:type="dxa"/>
        </w:tblCellMar>
      </w:tblPr>
      <w:tblGrid>
        <w:gridCol w:w="426"/>
        <w:gridCol w:w="3922"/>
        <w:gridCol w:w="638"/>
        <w:gridCol w:w="638"/>
        <w:gridCol w:w="850"/>
        <w:gridCol w:w="850"/>
        <w:gridCol w:w="1276"/>
        <w:gridCol w:w="1276"/>
        <w:gridCol w:w="622"/>
        <w:gridCol w:w="1646"/>
        <w:gridCol w:w="1417"/>
        <w:gridCol w:w="1134"/>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3922" w:type="dxa"/>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2976" w:type="dxa"/>
            <w:gridSpan w:val="4"/>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7371" w:type="dxa"/>
            <w:gridSpan w:val="6"/>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807"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上年末贷款资产余额</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本年末贷款资产余额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w:t>
            </w:r>
            <w:bookmarkStart w:id="199" w:name="_Hlk51878406"/>
            <w:r>
              <w:rPr>
                <w:rFonts w:hint="eastAsia" w:ascii="宋体" w:hAnsi="宋体" w:cs="宋体"/>
                <w:kern w:val="0"/>
                <w:sz w:val="20"/>
                <w:szCs w:val="20"/>
              </w:rPr>
              <w:t>贷款损失准备金</w:t>
            </w:r>
            <w:bookmarkEnd w:id="199"/>
            <w:r>
              <w:rPr>
                <w:rFonts w:hint="eastAsia" w:ascii="宋体" w:hAnsi="宋体" w:cs="宋体"/>
                <w:kern w:val="0"/>
                <w:sz w:val="20"/>
                <w:szCs w:val="20"/>
              </w:rPr>
              <w:t>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本年末贷款损失准备金余额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上年末准予提取贷款损失准备金的贷款资产余额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本年末准予提取贷款损失准备金的贷款资产余额</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计提</w:t>
            </w:r>
          </w:p>
          <w:p>
            <w:pPr>
              <w:widowControl/>
              <w:jc w:val="center"/>
              <w:rPr>
                <w:rFonts w:hint="eastAsia" w:ascii="宋体" w:hAnsi="宋体" w:cs="宋体"/>
                <w:kern w:val="0"/>
                <w:sz w:val="20"/>
                <w:szCs w:val="20"/>
              </w:rPr>
            </w:pPr>
            <w:r>
              <w:rPr>
                <w:rFonts w:hint="eastAsia" w:ascii="宋体" w:hAnsi="宋体" w:cs="宋体"/>
                <w:kern w:val="0"/>
                <w:sz w:val="20"/>
                <w:szCs w:val="20"/>
              </w:rPr>
              <w:t>比例</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按本年末准予提取贷款损失准备金的贷款资产余额与计提比例计算的准备金额</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截至上年末已在税前扣除的贷款损失准备金的余额</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准予当年税前扣除的贷款损失准备金</w:t>
            </w:r>
          </w:p>
        </w:tc>
        <w:tc>
          <w:tcPr>
            <w:tcW w:w="807" w:type="dxa"/>
            <w:vMerge w:val="continue"/>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8（6×7）</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10（4与8的孰小值-9）</w:t>
            </w:r>
          </w:p>
        </w:tc>
        <w:tc>
          <w:tcPr>
            <w:tcW w:w="80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11（4-3-10）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一、金融企业（2+3)</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（二）涉农和中小企业贷款损失准备金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22" w:type="dxa"/>
            <w:noWrap/>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其中：关注类贷款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次级类贷款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可疑类贷款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损失类贷款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二、小额贷款公司</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三、其他</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合计(1+8+9)</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bl>
    <w:p>
      <w:pPr>
        <w:pStyle w:val="65"/>
        <w:rPr>
          <w:rFonts w:hint="eastAsia" w:cs="宋体"/>
        </w:rPr>
      </w:pPr>
    </w:p>
    <w:p>
      <w:pPr>
        <w:pStyle w:val="65"/>
        <w:rPr>
          <w:rFonts w:hint="eastAsia" w:cs="宋体"/>
        </w:rPr>
        <w:sectPr>
          <w:headerReference r:id="rId20" w:type="first"/>
          <w:footerReference r:id="rId23" w:type="first"/>
          <w:headerReference r:id="rId18" w:type="default"/>
          <w:footerReference r:id="rId21" w:type="default"/>
          <w:headerReference r:id="rId19" w:type="even"/>
          <w:footerReference r:id="rId22" w:type="even"/>
          <w:pgSz w:w="16840" w:h="11907" w:orient="landscape"/>
          <w:pgMar w:top="1377" w:right="567" w:bottom="737" w:left="567" w:header="851" w:footer="992" w:gutter="113"/>
          <w:pgNumType w:fmt="decimal"/>
          <w:cols w:space="720" w:num="1"/>
          <w:titlePg/>
          <w:docGrid w:linePitch="312" w:charSpace="0"/>
        </w:sectPr>
      </w:pPr>
    </w:p>
    <w:p>
      <w:pPr>
        <w:pStyle w:val="66"/>
        <w:jc w:val="center"/>
        <w:rPr>
          <w:rFonts w:hint="eastAsia"/>
        </w:rPr>
      </w:pPr>
      <w:bookmarkStart w:id="200" w:name="_Toc54267935"/>
      <w:bookmarkStart w:id="201" w:name="_Toc11007"/>
      <w:r>
        <w:rPr>
          <w:rFonts w:hint="eastAsia"/>
        </w:rPr>
        <w:t>A105120《贷款损失准备金及纳税调整明细表》填报说明</w:t>
      </w:r>
      <w:bookmarkEnd w:id="200"/>
      <w:bookmarkEnd w:id="201"/>
    </w:p>
    <w:p>
      <w:pPr>
        <w:pStyle w:val="65"/>
        <w:rPr>
          <w:rFonts w:hint="eastAsia" w:cs="宋体"/>
        </w:rPr>
      </w:pPr>
      <w:r>
        <w:rPr>
          <w:rFonts w:hint="eastAsia" w:cs="宋体"/>
        </w:rPr>
        <w:t>本表适用于发生贷款损失准备金的金融企业、小额贷款公司纳税人填报。纳税人根据税法、《财政部 税务总局关于金融企业贷款损失准备金企业所得税税前扣除有关政策的公告》（2019年第86号）、</w:t>
      </w:r>
      <w:bookmarkStart w:id="202" w:name="_Hlk51701889"/>
      <w:r>
        <w:rPr>
          <w:rFonts w:hint="eastAsia" w:cs="宋体"/>
        </w:rPr>
        <w:t>《财政部 税务总局关于金融企业涉农贷款和中小企业贷款损失准备金税前扣除有关政策的公告》（2019年第85号）</w:t>
      </w:r>
      <w:bookmarkEnd w:id="202"/>
      <w:r>
        <w:rPr>
          <w:rFonts w:hint="eastAsia" w:cs="宋体"/>
        </w:rPr>
        <w:t>、《财政部 税务总局关于延续实施普惠金融有关税收优惠政策的公告》（2020年第22号）等相关规定，以及国家统一企业会计制度，填报贷款损失准备金会计处理、税收规定及纳税调整情况。只要会计上发生贷款损失准备金，不论是否纳税调整，均需填报。</w:t>
      </w:r>
    </w:p>
    <w:p>
      <w:pPr>
        <w:pStyle w:val="69"/>
        <w:ind w:firstLine="482"/>
        <w:outlineLvl w:val="0"/>
        <w:rPr>
          <w:rFonts w:hint="eastAsia" w:cs="宋体"/>
        </w:rPr>
      </w:pPr>
      <w:bookmarkStart w:id="203" w:name="_Toc54267936"/>
      <w:r>
        <w:rPr>
          <w:rFonts w:hint="eastAsia" w:cs="宋体"/>
        </w:rPr>
        <w:t>一、有关项目填报说明</w:t>
      </w:r>
      <w:bookmarkEnd w:id="203"/>
    </w:p>
    <w:p>
      <w:pPr>
        <w:pStyle w:val="69"/>
        <w:ind w:firstLine="482"/>
        <w:rPr>
          <w:rFonts w:hint="eastAsia" w:cs="宋体"/>
        </w:rPr>
      </w:pPr>
      <w:bookmarkStart w:id="204" w:name="_Toc54267937"/>
      <w:r>
        <w:rPr>
          <w:rFonts w:hint="eastAsia" w:cs="宋体"/>
        </w:rPr>
        <w:t>（一）列次填报</w:t>
      </w:r>
      <w:bookmarkEnd w:id="204"/>
    </w:p>
    <w:p>
      <w:pPr>
        <w:pStyle w:val="65"/>
        <w:rPr>
          <w:rFonts w:hint="eastAsia" w:cs="宋体"/>
        </w:rPr>
      </w:pPr>
      <w:r>
        <w:rPr>
          <w:rFonts w:hint="eastAsia" w:cs="宋体"/>
        </w:rPr>
        <w:t>1.第1列“上年末贷款资产余额”：填报纳税人会计核算的上年末贷款资产余额。</w:t>
      </w:r>
    </w:p>
    <w:p>
      <w:pPr>
        <w:pStyle w:val="65"/>
        <w:rPr>
          <w:rFonts w:hint="eastAsia" w:cs="宋体"/>
        </w:rPr>
      </w:pPr>
      <w:r>
        <w:rPr>
          <w:rFonts w:hint="eastAsia" w:cs="宋体"/>
        </w:rPr>
        <w:t>2.第2列“本年末贷款资产余额”：填报纳税人会计核算的本年末贷款资产余额。</w:t>
      </w:r>
    </w:p>
    <w:p>
      <w:pPr>
        <w:pStyle w:val="65"/>
        <w:rPr>
          <w:rFonts w:hint="eastAsia" w:cs="宋体"/>
        </w:rPr>
      </w:pPr>
      <w:r>
        <w:rPr>
          <w:rFonts w:hint="eastAsia" w:cs="宋体"/>
        </w:rPr>
        <w:t>3.第3列“</w:t>
      </w:r>
      <w:bookmarkStart w:id="205" w:name="_Hlk51878421"/>
      <w:r>
        <w:rPr>
          <w:rFonts w:hint="eastAsia" w:cs="宋体"/>
        </w:rPr>
        <w:t>上年末贷款损失准备金余额</w:t>
      </w:r>
      <w:bookmarkEnd w:id="205"/>
      <w:r>
        <w:rPr>
          <w:rFonts w:hint="eastAsia" w:cs="宋体"/>
        </w:rPr>
        <w:t>”：填报纳税人会计核算的上年末贷款损失准备金余额。</w:t>
      </w:r>
    </w:p>
    <w:p>
      <w:pPr>
        <w:pStyle w:val="65"/>
        <w:rPr>
          <w:rFonts w:hint="eastAsia" w:cs="宋体"/>
        </w:rPr>
      </w:pPr>
      <w:r>
        <w:rPr>
          <w:rFonts w:hint="eastAsia" w:cs="宋体"/>
        </w:rPr>
        <w:t>4.第4列“本年末贷款损失准备金余额”：填报纳税人会计核算的本年末贷款损失准备金余额。</w:t>
      </w:r>
    </w:p>
    <w:p>
      <w:pPr>
        <w:pStyle w:val="65"/>
        <w:rPr>
          <w:rFonts w:hint="eastAsia" w:cs="宋体"/>
        </w:rPr>
      </w:pPr>
      <w:r>
        <w:rPr>
          <w:rFonts w:hint="eastAsia" w:cs="宋体"/>
        </w:rPr>
        <w:t>5.第5列“上年末准予提取贷款损失准备金的贷款资产余额”：填报纳税人按照税收规定上年末准予提取贷款损失准备金的贷款资产余额。</w:t>
      </w:r>
    </w:p>
    <w:p>
      <w:pPr>
        <w:pStyle w:val="65"/>
        <w:rPr>
          <w:rFonts w:hint="eastAsia" w:cs="宋体"/>
        </w:rPr>
      </w:pPr>
      <w:r>
        <w:rPr>
          <w:rFonts w:hint="eastAsia" w:cs="宋体"/>
        </w:rPr>
        <w:t>6.第6列“本年末准予提取贷款损失准备金的贷款资产余额”：填报纳税人按照税收规定本年末准予提取贷款损失准备金的贷款资产余额。</w:t>
      </w:r>
    </w:p>
    <w:p>
      <w:pPr>
        <w:pStyle w:val="65"/>
        <w:rPr>
          <w:rFonts w:hint="eastAsia" w:cs="宋体"/>
        </w:rPr>
      </w:pPr>
      <w:r>
        <w:rPr>
          <w:rFonts w:hint="eastAsia" w:cs="宋体"/>
        </w:rPr>
        <w:t>7.第7列“计提比例”：填报纳税人对应贷款按照税收规定准予计提贷款损失准备金的比例。</w:t>
      </w:r>
    </w:p>
    <w:p>
      <w:pPr>
        <w:pStyle w:val="65"/>
        <w:rPr>
          <w:rFonts w:hint="eastAsia" w:cs="宋体"/>
        </w:rPr>
      </w:pPr>
      <w:r>
        <w:rPr>
          <w:rFonts w:hint="eastAsia" w:cs="宋体"/>
        </w:rPr>
        <w:t>8.第8列“按本年末准予提取贷款损失准备金的贷款资产余额与计提比例计算的准备金额”：填报纳税人按照税收规定根据按本年末准予提取贷款损失准备金的贷款资产余额与计提比例计算的准备金额。</w:t>
      </w:r>
    </w:p>
    <w:p>
      <w:pPr>
        <w:pStyle w:val="65"/>
        <w:rPr>
          <w:rFonts w:hint="eastAsia" w:cs="宋体"/>
        </w:rPr>
      </w:pPr>
      <w:r>
        <w:rPr>
          <w:rFonts w:hint="eastAsia" w:cs="宋体"/>
        </w:rPr>
        <w:t>9.第9列“截至上年末已在税前扣除的贷款损失准备金的余额”：填报纳税人按照税收规定截至上年末已在税前扣除的贷款损失准备金的余额。</w:t>
      </w:r>
    </w:p>
    <w:p>
      <w:pPr>
        <w:pStyle w:val="65"/>
        <w:rPr>
          <w:rFonts w:hint="eastAsia" w:cs="宋体"/>
        </w:rPr>
      </w:pPr>
      <w:r>
        <w:rPr>
          <w:rFonts w:hint="eastAsia" w:cs="宋体"/>
        </w:rPr>
        <w:t>10.第10列“准予当年税前扣除的贷款损失准备金”：填报第4列与第8列的孰小值-第9列金额</w:t>
      </w:r>
    </w:p>
    <w:p>
      <w:pPr>
        <w:pStyle w:val="65"/>
        <w:rPr>
          <w:rFonts w:hint="eastAsia" w:cs="宋体"/>
        </w:rPr>
      </w:pPr>
      <w:r>
        <w:rPr>
          <w:rFonts w:hint="eastAsia" w:cs="宋体"/>
        </w:rPr>
        <w:t>11.第11列：“纳税调整金额”：填报第4-3-10列金额。</w:t>
      </w:r>
    </w:p>
    <w:p>
      <w:pPr>
        <w:pStyle w:val="69"/>
        <w:ind w:firstLine="482"/>
        <w:rPr>
          <w:rFonts w:hint="eastAsia" w:cs="宋体"/>
        </w:rPr>
      </w:pPr>
      <w:bookmarkStart w:id="206" w:name="_Toc54267938"/>
      <w:r>
        <w:rPr>
          <w:rFonts w:hint="eastAsia" w:cs="宋体"/>
        </w:rPr>
        <w:t>（二）行次填报</w:t>
      </w:r>
      <w:bookmarkEnd w:id="206"/>
    </w:p>
    <w:p>
      <w:pPr>
        <w:pStyle w:val="65"/>
        <w:rPr>
          <w:rFonts w:hint="eastAsia" w:cs="宋体"/>
        </w:rPr>
      </w:pPr>
      <w:r>
        <w:rPr>
          <w:rFonts w:hint="eastAsia" w:cs="宋体"/>
        </w:rPr>
        <w:t>1.第1行“一、金融企业”：填报金融企业贷款损失准备金的纳税调整情况。</w:t>
      </w:r>
    </w:p>
    <w:p>
      <w:pPr>
        <w:pStyle w:val="65"/>
        <w:rPr>
          <w:rFonts w:hint="eastAsia" w:cs="宋体"/>
        </w:rPr>
      </w:pPr>
      <w:r>
        <w:rPr>
          <w:rFonts w:hint="eastAsia" w:cs="宋体"/>
        </w:rPr>
        <w:t>2.第2行“（一）贷款损失准备金”：填报金融企业执行《财政部 税务总局关于金融企业贷款损失准备金企业所得税税前扣除有关政策的公告》（2019年第86号）规定的贷款资产的情况。</w:t>
      </w:r>
    </w:p>
    <w:p>
      <w:pPr>
        <w:pStyle w:val="65"/>
        <w:rPr>
          <w:rFonts w:hint="eastAsia" w:cs="宋体"/>
        </w:rPr>
      </w:pPr>
      <w:r>
        <w:rPr>
          <w:rFonts w:hint="eastAsia" w:cs="宋体"/>
        </w:rPr>
        <w:t>3.第3行“（二）涉农和中小企业贷款损失准备金”：填报金融企业执行《财政部 税务总局关于金融企业涉农贷款和中小企业贷款损失准备金税前扣除有关政策的公告》（2019年第85号）规定的涉农和中小企业贷款资产的情况。</w:t>
      </w:r>
    </w:p>
    <w:p>
      <w:pPr>
        <w:pStyle w:val="65"/>
        <w:rPr>
          <w:rFonts w:hint="eastAsia" w:cs="宋体"/>
        </w:rPr>
      </w:pPr>
      <w:r>
        <w:rPr>
          <w:rFonts w:hint="eastAsia" w:cs="宋体"/>
        </w:rPr>
        <w:t>4.第4行“其中：关注类贷款”：填报涉农和中小企业贷款中关注类贷款资产的情况。</w:t>
      </w:r>
    </w:p>
    <w:p>
      <w:pPr>
        <w:pStyle w:val="65"/>
        <w:rPr>
          <w:rFonts w:hint="eastAsia" w:cs="宋体"/>
        </w:rPr>
      </w:pPr>
      <w:r>
        <w:rPr>
          <w:rFonts w:hint="eastAsia" w:cs="宋体"/>
        </w:rPr>
        <w:t>5.第5行“次级类贷款”：填报涉农和中小企业贷款中次级类贷款资产的情况。</w:t>
      </w:r>
    </w:p>
    <w:p>
      <w:pPr>
        <w:pStyle w:val="65"/>
        <w:rPr>
          <w:rFonts w:hint="eastAsia" w:cs="宋体"/>
        </w:rPr>
      </w:pPr>
      <w:r>
        <w:rPr>
          <w:rFonts w:hint="eastAsia" w:cs="宋体"/>
        </w:rPr>
        <w:t>6.第6行“可疑类贷款”：填报涉农和中小企业贷款中可疑类贷款资产的情况。</w:t>
      </w:r>
    </w:p>
    <w:p>
      <w:pPr>
        <w:pStyle w:val="65"/>
        <w:rPr>
          <w:rFonts w:hint="eastAsia" w:cs="宋体"/>
        </w:rPr>
      </w:pPr>
      <w:r>
        <w:rPr>
          <w:rFonts w:hint="eastAsia" w:cs="宋体"/>
        </w:rPr>
        <w:t>7.第7行“损失类贷款”：填报涉农和中小企业贷款中损失类贷款资产的情况。</w:t>
      </w:r>
    </w:p>
    <w:p>
      <w:pPr>
        <w:pStyle w:val="65"/>
        <w:rPr>
          <w:rFonts w:hint="eastAsia" w:cs="宋体"/>
        </w:rPr>
      </w:pPr>
      <w:r>
        <w:rPr>
          <w:rFonts w:hint="eastAsia" w:cs="宋体"/>
        </w:rPr>
        <w:t>8.第8行“二、小额贷款公司”：填报经省级金融管理部门批准成立的小额贷款公司贷款损失准备金的纳税调整情况。</w:t>
      </w:r>
    </w:p>
    <w:p>
      <w:pPr>
        <w:pStyle w:val="65"/>
        <w:rPr>
          <w:rFonts w:hint="eastAsia" w:cs="宋体"/>
        </w:rPr>
      </w:pPr>
      <w:r>
        <w:rPr>
          <w:rFonts w:hint="eastAsia" w:cs="宋体"/>
        </w:rPr>
        <w:t>9.第9行“三、其他”：填报除上述列举情形外的贷款损失准备金的纳税调整情况。</w:t>
      </w:r>
    </w:p>
    <w:p>
      <w:pPr>
        <w:pStyle w:val="65"/>
        <w:rPr>
          <w:rFonts w:hint="eastAsia" w:cs="宋体"/>
        </w:rPr>
      </w:pPr>
      <w:r>
        <w:rPr>
          <w:rFonts w:hint="eastAsia" w:cs="宋体"/>
        </w:rPr>
        <w:t>10.第10行“合计”：填报第1+8+9行的合计金额。</w:t>
      </w:r>
    </w:p>
    <w:p>
      <w:pPr>
        <w:pStyle w:val="69"/>
        <w:ind w:firstLine="482"/>
        <w:outlineLvl w:val="0"/>
        <w:rPr>
          <w:rFonts w:hint="eastAsia" w:cs="宋体"/>
        </w:rPr>
      </w:pPr>
      <w:bookmarkStart w:id="207" w:name="_Toc54267939"/>
      <w:r>
        <w:rPr>
          <w:rFonts w:hint="eastAsia" w:cs="宋体"/>
        </w:rPr>
        <w:t>二、表内、表间关系</w:t>
      </w:r>
      <w:bookmarkEnd w:id="207"/>
    </w:p>
    <w:p>
      <w:pPr>
        <w:pStyle w:val="79"/>
        <w:outlineLvl w:val="1"/>
        <w:rPr>
          <w:rFonts w:hint="eastAsia" w:ascii="宋体" w:hAnsi="宋体" w:eastAsia="宋体" w:cs="宋体"/>
        </w:rPr>
      </w:pPr>
      <w:bookmarkStart w:id="208" w:name="_Toc54267940"/>
      <w:r>
        <w:rPr>
          <w:rFonts w:hint="eastAsia" w:ascii="宋体" w:hAnsi="宋体" w:eastAsia="宋体" w:cs="宋体"/>
        </w:rPr>
        <w:t>（一）表内关系</w:t>
      </w:r>
      <w:bookmarkEnd w:id="208"/>
    </w:p>
    <w:p>
      <w:pPr>
        <w:pStyle w:val="65"/>
        <w:rPr>
          <w:rFonts w:hint="eastAsia" w:cs="宋体"/>
        </w:rPr>
      </w:pPr>
      <w:r>
        <w:rPr>
          <w:rFonts w:hint="eastAsia" w:cs="宋体"/>
        </w:rPr>
        <w:t>1.第8列＝第6×7列。</w:t>
      </w:r>
    </w:p>
    <w:p>
      <w:pPr>
        <w:pStyle w:val="65"/>
        <w:rPr>
          <w:rFonts w:hint="eastAsia" w:cs="宋体"/>
        </w:rPr>
      </w:pPr>
      <w:r>
        <w:rPr>
          <w:rFonts w:hint="eastAsia" w:cs="宋体"/>
        </w:rPr>
        <w:t>2.第10列＝第4列与第8列的孰小值-第9列。</w:t>
      </w:r>
    </w:p>
    <w:p>
      <w:pPr>
        <w:pStyle w:val="65"/>
        <w:rPr>
          <w:rFonts w:hint="eastAsia" w:cs="宋体"/>
        </w:rPr>
      </w:pPr>
      <w:r>
        <w:rPr>
          <w:rFonts w:hint="eastAsia" w:cs="宋体"/>
        </w:rPr>
        <w:t>3.第11列＝第4-3-10列。</w:t>
      </w:r>
    </w:p>
    <w:p>
      <w:pPr>
        <w:pStyle w:val="65"/>
        <w:rPr>
          <w:rFonts w:hint="eastAsia" w:cs="宋体"/>
        </w:rPr>
      </w:pPr>
      <w:r>
        <w:rPr>
          <w:rFonts w:hint="eastAsia" w:cs="宋体"/>
        </w:rPr>
        <w:t>4.第1行＝第2+3行（仅第1、2、5、6、8列）。</w:t>
      </w:r>
    </w:p>
    <w:p>
      <w:pPr>
        <w:pStyle w:val="65"/>
        <w:rPr>
          <w:rFonts w:hint="eastAsia" w:cs="宋体"/>
        </w:rPr>
      </w:pPr>
      <w:r>
        <w:rPr>
          <w:rFonts w:hint="eastAsia" w:cs="宋体"/>
        </w:rPr>
        <w:t>5.第10行＝第1+8+9行。</w:t>
      </w:r>
    </w:p>
    <w:p>
      <w:pPr>
        <w:pStyle w:val="79"/>
        <w:outlineLvl w:val="1"/>
        <w:rPr>
          <w:rFonts w:hint="eastAsia" w:ascii="宋体" w:hAnsi="宋体" w:eastAsia="宋体" w:cs="宋体"/>
        </w:rPr>
      </w:pPr>
      <w:bookmarkStart w:id="209" w:name="_Toc54267941"/>
      <w:r>
        <w:rPr>
          <w:rFonts w:hint="eastAsia" w:ascii="宋体" w:hAnsi="宋体" w:eastAsia="宋体" w:cs="宋体"/>
        </w:rPr>
        <w:t>（二）表间关系</w:t>
      </w:r>
      <w:bookmarkEnd w:id="209"/>
    </w:p>
    <w:p>
      <w:pPr>
        <w:pStyle w:val="65"/>
        <w:sectPr>
          <w:pgSz w:w="11906" w:h="16838"/>
          <w:pgMar w:top="1985" w:right="1418" w:bottom="1928" w:left="1418" w:header="851" w:footer="992" w:gutter="113"/>
          <w:pgNumType w:fmt="decimal"/>
          <w:cols w:space="720" w:num="1"/>
          <w:docGrid w:linePitch="312" w:charSpace="0"/>
        </w:sectPr>
      </w:pPr>
      <w:r>
        <w:rPr>
          <w:rFonts w:hint="eastAsia" w:cs="宋体"/>
        </w:rPr>
        <w:t>若第10行第11列≥0，第10行第11列＝表A105000第39.7行第3列；若第10行第11列＜0，第10行第11列的绝对值＝表A105000第39.7行第4列。</w:t>
      </w:r>
    </w:p>
    <w:p>
      <w:pPr>
        <w:pStyle w:val="66"/>
        <w:tabs>
          <w:tab w:val="center" w:pos="6520"/>
          <w:tab w:val="clear" w:pos="4678"/>
        </w:tabs>
        <w:rPr>
          <w:rFonts w:hint="eastAsia"/>
        </w:rPr>
      </w:pPr>
      <w:bookmarkStart w:id="210" w:name="_Toc54267942"/>
      <w:bookmarkStart w:id="211" w:name="_Toc10588"/>
      <w:bookmarkStart w:id="212" w:name="_Toc527722746"/>
      <w:r>
        <w:rPr>
          <w:rFonts w:hint="eastAsia"/>
        </w:rPr>
        <w:t>A106000</w:t>
      </w:r>
      <w:r>
        <w:rPr>
          <w:rFonts w:hint="eastAsia"/>
        </w:rPr>
        <w:tab/>
      </w:r>
      <w:r>
        <w:rPr>
          <w:rFonts w:hint="eastAsia"/>
        </w:rPr>
        <w:t>企业所得税弥补亏损明细表</w:t>
      </w:r>
      <w:bookmarkEnd w:id="210"/>
      <w:bookmarkEnd w:id="211"/>
    </w:p>
    <w:tbl>
      <w:tblPr>
        <w:tblStyle w:val="25"/>
        <w:tblW w:w="1398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1071"/>
        <w:gridCol w:w="616"/>
        <w:gridCol w:w="833"/>
        <w:gridCol w:w="1123"/>
        <w:gridCol w:w="1114"/>
        <w:gridCol w:w="1134"/>
        <w:gridCol w:w="1134"/>
        <w:gridCol w:w="898"/>
        <w:gridCol w:w="899"/>
        <w:gridCol w:w="896"/>
        <w:gridCol w:w="1134"/>
        <w:gridCol w:w="1202"/>
        <w:gridCol w:w="12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071"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61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w:t>
            </w:r>
          </w:p>
        </w:tc>
        <w:tc>
          <w:tcPr>
            <w:tcW w:w="83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当年境内所得额</w:t>
            </w:r>
          </w:p>
        </w:tc>
        <w:tc>
          <w:tcPr>
            <w:tcW w:w="112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分立转出的亏损额</w:t>
            </w:r>
          </w:p>
        </w:tc>
        <w:tc>
          <w:tcPr>
            <w:tcW w:w="3382" w:type="dxa"/>
            <w:gridSpan w:val="3"/>
          </w:tcPr>
          <w:p>
            <w:pPr>
              <w:widowControl/>
              <w:jc w:val="center"/>
              <w:rPr>
                <w:rFonts w:hint="eastAsia" w:ascii="宋体" w:hAnsi="宋体" w:cs="宋体"/>
                <w:kern w:val="0"/>
                <w:sz w:val="20"/>
                <w:szCs w:val="20"/>
              </w:rPr>
            </w:pPr>
            <w:r>
              <w:rPr>
                <w:rFonts w:hint="eastAsia" w:ascii="宋体" w:hAnsi="宋体" w:cs="宋体"/>
                <w:kern w:val="0"/>
                <w:sz w:val="20"/>
                <w:szCs w:val="20"/>
              </w:rPr>
              <w:t>合并、分立转入</w:t>
            </w:r>
          </w:p>
          <w:p>
            <w:pPr>
              <w:widowControl/>
              <w:jc w:val="center"/>
              <w:rPr>
                <w:rFonts w:hint="eastAsia" w:ascii="宋体" w:hAnsi="宋体" w:cs="宋体"/>
                <w:kern w:val="0"/>
                <w:sz w:val="20"/>
                <w:szCs w:val="20"/>
              </w:rPr>
            </w:pPr>
            <w:r>
              <w:rPr>
                <w:rFonts w:hint="eastAsia" w:ascii="宋体" w:hAnsi="宋体" w:cs="宋体"/>
                <w:kern w:val="0"/>
                <w:sz w:val="20"/>
                <w:szCs w:val="20"/>
              </w:rPr>
              <w:t>的亏损额</w:t>
            </w:r>
          </w:p>
        </w:tc>
        <w:tc>
          <w:tcPr>
            <w:tcW w:w="898"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弥补亏损企业类型</w:t>
            </w:r>
          </w:p>
        </w:tc>
        <w:tc>
          <w:tcPr>
            <w:tcW w:w="8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当年亏损额</w:t>
            </w:r>
          </w:p>
        </w:tc>
        <w:tc>
          <w:tcPr>
            <w:tcW w:w="89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当年待弥补的亏损额</w:t>
            </w:r>
          </w:p>
        </w:tc>
        <w:tc>
          <w:tcPr>
            <w:tcW w:w="2336" w:type="dxa"/>
            <w:gridSpan w:val="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用本年度所得额弥补的以前年度亏损额</w:t>
            </w:r>
          </w:p>
        </w:tc>
        <w:tc>
          <w:tcPr>
            <w:tcW w:w="12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Merge w:val="continue"/>
            <w:vAlign w:val="center"/>
          </w:tcPr>
          <w:p>
            <w:pPr>
              <w:widowControl/>
              <w:jc w:val="left"/>
              <w:rPr>
                <w:rFonts w:hint="eastAsia" w:ascii="宋体" w:hAnsi="宋体" w:cs="宋体"/>
                <w:kern w:val="0"/>
                <w:sz w:val="20"/>
                <w:szCs w:val="20"/>
              </w:rPr>
            </w:pPr>
          </w:p>
        </w:tc>
        <w:tc>
          <w:tcPr>
            <w:tcW w:w="833" w:type="dxa"/>
            <w:vMerge w:val="continue"/>
            <w:vAlign w:val="center"/>
          </w:tcPr>
          <w:p>
            <w:pPr>
              <w:widowControl/>
              <w:jc w:val="left"/>
              <w:rPr>
                <w:rFonts w:hint="eastAsia" w:ascii="宋体" w:hAnsi="宋体" w:cs="宋体"/>
                <w:kern w:val="0"/>
                <w:sz w:val="20"/>
                <w:szCs w:val="20"/>
              </w:rPr>
            </w:pPr>
          </w:p>
        </w:tc>
        <w:tc>
          <w:tcPr>
            <w:tcW w:w="1123" w:type="dxa"/>
            <w:vMerge w:val="continue"/>
            <w:vAlign w:val="center"/>
          </w:tcPr>
          <w:p>
            <w:pPr>
              <w:widowControl/>
              <w:jc w:val="left"/>
              <w:rPr>
                <w:rFonts w:hint="eastAsia" w:ascii="宋体" w:hAnsi="宋体" w:cs="宋体"/>
                <w:kern w:val="0"/>
                <w:sz w:val="20"/>
                <w:szCs w:val="20"/>
              </w:rPr>
            </w:pP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可弥补年限5年</w:t>
            </w:r>
          </w:p>
        </w:tc>
        <w:tc>
          <w:tcPr>
            <w:tcW w:w="1134" w:type="dxa"/>
          </w:tcPr>
          <w:p>
            <w:pPr>
              <w:widowControl/>
              <w:jc w:val="center"/>
              <w:rPr>
                <w:rFonts w:hint="eastAsia" w:ascii="宋体" w:hAnsi="宋体" w:cs="宋体"/>
                <w:kern w:val="0"/>
                <w:sz w:val="20"/>
                <w:szCs w:val="20"/>
              </w:rPr>
            </w:pPr>
            <w:r>
              <w:rPr>
                <w:rFonts w:hint="eastAsia" w:ascii="宋体" w:hAnsi="宋体" w:cs="宋体"/>
                <w:kern w:val="0"/>
                <w:sz w:val="20"/>
                <w:szCs w:val="20"/>
              </w:rPr>
              <w:t>可弥补年限8年</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可弥补年限10年</w:t>
            </w:r>
          </w:p>
        </w:tc>
        <w:tc>
          <w:tcPr>
            <w:tcW w:w="898" w:type="dxa"/>
            <w:vMerge w:val="continue"/>
            <w:vAlign w:val="center"/>
          </w:tcPr>
          <w:p>
            <w:pPr>
              <w:widowControl/>
              <w:jc w:val="left"/>
              <w:rPr>
                <w:rFonts w:hint="eastAsia" w:ascii="宋体" w:hAnsi="宋体" w:cs="宋体"/>
                <w:kern w:val="0"/>
                <w:sz w:val="20"/>
                <w:szCs w:val="20"/>
              </w:rPr>
            </w:pPr>
          </w:p>
        </w:tc>
        <w:tc>
          <w:tcPr>
            <w:tcW w:w="899" w:type="dxa"/>
            <w:vMerge w:val="continue"/>
            <w:vAlign w:val="center"/>
          </w:tcPr>
          <w:p>
            <w:pPr>
              <w:widowControl/>
              <w:jc w:val="left"/>
              <w:rPr>
                <w:rFonts w:hint="eastAsia" w:ascii="宋体" w:hAnsi="宋体" w:cs="宋体"/>
                <w:kern w:val="0"/>
                <w:sz w:val="20"/>
                <w:szCs w:val="20"/>
              </w:rPr>
            </w:pPr>
          </w:p>
        </w:tc>
        <w:tc>
          <w:tcPr>
            <w:tcW w:w="896" w:type="dxa"/>
            <w:vMerge w:val="continue"/>
            <w:vAlign w:val="center"/>
          </w:tcPr>
          <w:p>
            <w:pPr>
              <w:widowControl/>
              <w:jc w:val="left"/>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使用境内所得弥补</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使用境外所得弥补</w:t>
            </w:r>
          </w:p>
        </w:tc>
        <w:tc>
          <w:tcPr>
            <w:tcW w:w="1299" w:type="dxa"/>
            <w:vMerge w:val="continue"/>
            <w:vAlign w:val="center"/>
          </w:tcPr>
          <w:p>
            <w:pPr>
              <w:widowControl/>
              <w:jc w:val="lef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3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2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89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8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8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2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前十年度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前九年度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前八年度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前七年度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前六年度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前五年度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前四年度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前三年度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前二年度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前一年度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2054" w:type="dxa"/>
            <w:gridSpan w:val="12"/>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可结转以后年度弥补的亏损额合计</w:t>
            </w:r>
          </w:p>
        </w:tc>
        <w:tc>
          <w:tcPr>
            <w:tcW w:w="1299" w:type="dxa"/>
            <w:vAlign w:val="center"/>
          </w:tcPr>
          <w:p>
            <w:pPr>
              <w:widowControl/>
              <w:jc w:val="left"/>
              <w:rPr>
                <w:rFonts w:hint="eastAsia" w:ascii="宋体" w:hAnsi="宋体" w:cs="宋体"/>
                <w:kern w:val="0"/>
                <w:sz w:val="20"/>
                <w:szCs w:val="20"/>
              </w:rPr>
            </w:pPr>
          </w:p>
        </w:tc>
      </w:tr>
    </w:tbl>
    <w:p>
      <w:pPr>
        <w:pStyle w:val="65"/>
        <w:rPr>
          <w:rFonts w:hint="eastAsia" w:cs="宋体"/>
        </w:rPr>
      </w:pPr>
    </w:p>
    <w:p>
      <w:pPr>
        <w:pStyle w:val="65"/>
        <w:rPr>
          <w:rFonts w:hint="eastAsia" w:cs="宋体"/>
        </w:rPr>
        <w:sectPr>
          <w:pgSz w:w="16838" w:h="11906" w:orient="landscape"/>
          <w:pgMar w:top="1418" w:right="1985" w:bottom="1418" w:left="1928" w:header="851" w:footer="992" w:gutter="113"/>
          <w:pgNumType w:fmt="decimal"/>
          <w:cols w:space="720" w:num="1"/>
          <w:docGrid w:linePitch="312" w:charSpace="0"/>
        </w:sectPr>
      </w:pPr>
    </w:p>
    <w:p>
      <w:pPr>
        <w:pStyle w:val="66"/>
        <w:jc w:val="center"/>
        <w:rPr>
          <w:rFonts w:hint="eastAsia"/>
        </w:rPr>
      </w:pPr>
      <w:bookmarkStart w:id="213" w:name="_Toc13638"/>
      <w:bookmarkStart w:id="214" w:name="_Toc54267943"/>
      <w:r>
        <w:rPr>
          <w:rFonts w:hint="eastAsia"/>
        </w:rPr>
        <w:t>A106000《企业所得税弥补亏损明细表》填报说明</w:t>
      </w:r>
      <w:bookmarkEnd w:id="213"/>
      <w:bookmarkEnd w:id="214"/>
    </w:p>
    <w:p>
      <w:pPr>
        <w:spacing w:line="360" w:lineRule="auto"/>
        <w:ind w:firstLine="480" w:firstLineChars="200"/>
        <w:rPr>
          <w:rFonts w:hint="eastAsia" w:ascii="宋体" w:hAnsi="宋体" w:cs="宋体"/>
          <w:sz w:val="24"/>
        </w:rPr>
      </w:pPr>
      <w:r>
        <w:rPr>
          <w:rFonts w:hint="eastAsia" w:ascii="宋体" w:hAnsi="宋体" w:cs="宋体"/>
          <w:sz w:val="24"/>
        </w:rPr>
        <w:t>本表适用于发生弥补亏损、亏损结转等事项的纳税人填报。纳税人应当根据税法、《财政部 税务总局关于延长高新技术企业和科技型中小企业亏损结转年限的通知》（财税〔2018〕76号）、《国家税务总局关于延长高新技术企业和科技型中小企业亏损结转弥补年限有关企业所得税处理问题的公告》（2018年第45号）、《财政部 国家税务总局关于支持新型冠状病毒感染的肺炎疫情防控有关税收政策的公告》（2020年第8号）、《财政部 税务总局关于电影等行业税费支持政策的公告》（2020年第25号）、</w:t>
      </w:r>
      <w:r>
        <w:rPr>
          <w:rFonts w:hint="eastAsia" w:ascii="宋体" w:hAnsi="宋体" w:cs="宋体"/>
          <w:kern w:val="0"/>
          <w:sz w:val="24"/>
        </w:rPr>
        <w:t>《财政部 税务总局 发展改革委 工业和信息化部关于促进集成电路和软件产业高质量发展企业所得税政策的公告》（2020年第45号）</w:t>
      </w:r>
      <w:r>
        <w:rPr>
          <w:rFonts w:hint="eastAsia" w:ascii="宋体" w:hAnsi="宋体" w:cs="宋体"/>
          <w:sz w:val="24"/>
        </w:rPr>
        <w:t>等相关规定，填报本表。</w:t>
      </w:r>
    </w:p>
    <w:p>
      <w:pPr>
        <w:spacing w:line="360" w:lineRule="auto"/>
        <w:ind w:firstLine="482" w:firstLineChars="200"/>
        <w:jc w:val="left"/>
        <w:outlineLvl w:val="0"/>
        <w:rPr>
          <w:rFonts w:hint="eastAsia" w:ascii="宋体" w:hAnsi="宋体" w:cs="宋体"/>
          <w:b/>
          <w:sz w:val="24"/>
        </w:rPr>
      </w:pPr>
      <w:bookmarkStart w:id="215" w:name="_Toc54267944"/>
      <w:r>
        <w:rPr>
          <w:rFonts w:hint="eastAsia" w:ascii="宋体" w:hAnsi="宋体" w:cs="宋体"/>
          <w:b/>
          <w:sz w:val="24"/>
        </w:rPr>
        <w:t>一、有关项目填报说明</w:t>
      </w:r>
      <w:bookmarkEnd w:id="215"/>
    </w:p>
    <w:p>
      <w:pPr>
        <w:spacing w:line="360" w:lineRule="auto"/>
        <w:ind w:firstLine="480" w:firstLineChars="200"/>
        <w:rPr>
          <w:rFonts w:hint="eastAsia" w:ascii="宋体" w:hAnsi="宋体" w:cs="宋体"/>
          <w:sz w:val="24"/>
        </w:rPr>
      </w:pPr>
      <w:r>
        <w:rPr>
          <w:rFonts w:hint="eastAsia" w:ascii="宋体" w:hAnsi="宋体" w:cs="宋体"/>
          <w:sz w:val="24"/>
        </w:rPr>
        <w:t>纳税人弥补以前年度亏损时，应按照“先到期亏损先弥补、同时到期亏损先发生的先弥补”的原则处理。</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1列“年度”：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2列“当年境内所得额”：第11行填报表A100000第19-20行金额。第1行至第10行填报以前年度主表第23行（2013年及以前纳税年度）、以前年度表A106000第6行第2列（2014至2017纳税年度）、以前年度表A106000第11行第2列的金额（亏损以负数表示）。发生查补以前年度应纳税所得额、追补以前年度未能税前扣除的实际资产损失等情况的，按照相应调整后的金额填报。</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第3列“分立转出的亏损额”： 填报本年度企业分立按照企业重组特殊性税务处理规定转出的符合条件的亏损额。分立转出的亏损额按亏损所属年度填报，转出亏损的亏损额以正数表示。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5列“合并、分立转入的亏损额-可弥补年限8年”：填报企业符合企业重组特殊性税务处理规定，因合并或分立本年度转入的不超过8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6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第7列“弥补亏损企业类型”：纳税人根据不同年度情况从《弥补亏损企业类型代码表》中选择相应的代码填入本项。不同类型纳税人的亏损结转年限不同，纳税人选择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2018年第45号）等文件规定，亏损结转年限为10年的纳税人；“线宽小于130纳米（含）的集成电路生产企业”是指符合</w:t>
      </w:r>
      <w:r>
        <w:rPr>
          <w:rFonts w:hint="eastAsia" w:ascii="宋体" w:hAnsi="宋体" w:cs="宋体"/>
          <w:kern w:val="0"/>
          <w:sz w:val="24"/>
        </w:rPr>
        <w:t>《财政部 税务总局 发展改革委 工业和信息化部关于促进集成电路和软件产业高质量发展企业所得税政策的公告》（2020年第45号）等文件规定，</w:t>
      </w:r>
      <w:r>
        <w:rPr>
          <w:rFonts w:hint="eastAsia" w:ascii="宋体" w:hAnsi="宋体" w:cs="宋体"/>
          <w:sz w:val="24"/>
        </w:rPr>
        <w:t>亏损结转年限为10年的纳税人；“受疫情影响困难行业企业”是指符合《财政部 税务总局关于支持新型冠状病毒感染的肺炎疫情防控有关税收政策的公告》（2020年第8号）等文件规定的受疫情影响较大的困难行业企业2020年度发生的亏损，最长结转年限由5年延长至8年的纳税人；“电影行业企业”是指《财政部 税务总局关于电影等行业税费支持政策的公告》（2020年第25号）规定的电影行业企业2020年度发生的亏损，最长结转年限由5年延长至8年的纳税人。</w:t>
      </w:r>
    </w:p>
    <w:p>
      <w:pPr>
        <w:spacing w:line="360" w:lineRule="auto"/>
        <w:jc w:val="center"/>
        <w:rPr>
          <w:rFonts w:hint="eastAsia" w:ascii="宋体" w:hAnsi="宋体" w:cs="宋体"/>
          <w:b/>
          <w:bCs/>
          <w:sz w:val="24"/>
        </w:rPr>
      </w:pPr>
      <w:r>
        <w:rPr>
          <w:rFonts w:hint="eastAsia" w:ascii="宋体" w:hAnsi="宋体" w:cs="宋体"/>
          <w:b/>
          <w:bCs/>
          <w:sz w:val="24"/>
        </w:rPr>
        <w:t>弥补亏损企业类型代码表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5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835" w:type="dxa"/>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符合条件的科技型中小企业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线宽小于130纳米(含)的集成电路生产企业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受疫情影响困难行业企业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电影行业企业</w:t>
            </w:r>
          </w:p>
        </w:tc>
      </w:tr>
    </w:tbl>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第8列“当年亏损额”：填报纳税人各年度可弥补亏损额的合计金额。</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第9列“当年待弥补的亏损额”：填报在用本年度（申报所属期年度）所得额弥补亏损前，当年度尚未被弥补的亏损额。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10列“用本年度所得额弥补的以前年度亏损额-使用境内所得弥补”：第1行至第10行，当第11行第2列本年度（申报所属期年度）的“当年境内所得额”＞0时，填报各年度被本年度（申报所属期年度）境内所得依次弥补的亏损额，弥补的顺序是按照亏损到期的年限优先弥补到期时间近的亏损额，亏损到期年限相同则先弥补更早发生的亏损额，弥补的亏损额以正数表示。本列第11行，填报本列第1行至第10行的合计金额，表A100000第21行填报本项金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11列“用本年度所得额弥补的以前年度亏损额-使用境外所得弥补”：第1行至第10行，当纳税人选择用境外所得弥补境内以前年度亏损的，填报各年度被本年度（申报所属期年度）境外所得依次弥补的亏损额，弥补的顺序是按照亏损到期的年限优先弥补到期时间近的亏损额，亏损到期年限相同则先弥补更早发生的亏损额，弥补的亏损额以正数表示。本列第11行，填报本列第1行至第10行的合计金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12列“当年可结转以后年度弥补的亏损额”：第1行至第11行，填报各年度尚未弥补完的且准予结转以后年度弥补的亏损额，结转以后年度弥补的亏损额以正数表示。本列第12行，填报本列第1行至第11行的合计金额。</w:t>
      </w:r>
    </w:p>
    <w:p>
      <w:pPr>
        <w:spacing w:line="360" w:lineRule="auto"/>
        <w:ind w:firstLine="482" w:firstLineChars="200"/>
        <w:jc w:val="left"/>
        <w:outlineLvl w:val="0"/>
        <w:rPr>
          <w:rFonts w:hint="eastAsia" w:ascii="宋体" w:hAnsi="宋体" w:cs="宋体"/>
          <w:b/>
          <w:sz w:val="24"/>
        </w:rPr>
      </w:pPr>
      <w:bookmarkStart w:id="216" w:name="_Toc54267945"/>
      <w:r>
        <w:rPr>
          <w:rFonts w:hint="eastAsia" w:ascii="宋体" w:hAnsi="宋体" w:cs="宋体"/>
          <w:b/>
          <w:sz w:val="24"/>
        </w:rPr>
        <w:t>二、表内、表间关系</w:t>
      </w:r>
      <w:bookmarkEnd w:id="216"/>
    </w:p>
    <w:p>
      <w:pPr>
        <w:spacing w:line="360" w:lineRule="auto"/>
        <w:ind w:firstLine="480" w:firstLineChars="200"/>
        <w:outlineLvl w:val="1"/>
        <w:rPr>
          <w:rFonts w:hint="eastAsia" w:ascii="宋体" w:hAnsi="宋体" w:cs="宋体"/>
          <w:sz w:val="24"/>
        </w:rPr>
      </w:pPr>
      <w:bookmarkStart w:id="217" w:name="_Toc54267946"/>
      <w:r>
        <w:rPr>
          <w:rFonts w:hint="eastAsia" w:ascii="宋体" w:hAnsi="宋体" w:cs="宋体"/>
          <w:sz w:val="24"/>
        </w:rPr>
        <w:t>（一）表内关系</w:t>
      </w:r>
      <w:bookmarkEnd w:id="217"/>
    </w:p>
    <w:p>
      <w:pPr>
        <w:spacing w:line="360" w:lineRule="auto"/>
        <w:ind w:firstLine="480" w:firstLineChars="200"/>
        <w:rPr>
          <w:rFonts w:hint="eastAsia" w:ascii="宋体" w:hAnsi="宋体" w:cs="宋体"/>
          <w:sz w:val="24"/>
        </w:rPr>
      </w:pPr>
      <w:r>
        <w:rPr>
          <w:rFonts w:hint="eastAsia" w:ascii="宋体" w:hAnsi="宋体" w:cs="宋体"/>
          <w:sz w:val="24"/>
        </w:rPr>
        <w:t>1.当第2列＜0且第3列＞0时，第3列＜第2列的绝对值；当第2列≥0时，则第3列＝0。</w:t>
      </w:r>
    </w:p>
    <w:p>
      <w:pPr>
        <w:spacing w:line="360" w:lineRule="auto"/>
        <w:ind w:firstLine="480" w:firstLineChars="200"/>
        <w:rPr>
          <w:rFonts w:hint="eastAsia" w:ascii="宋体" w:hAnsi="宋体" w:cs="宋体"/>
          <w:sz w:val="24"/>
        </w:rPr>
      </w:pPr>
      <w:r>
        <w:rPr>
          <w:rFonts w:hint="eastAsia" w:ascii="宋体" w:hAnsi="宋体" w:cs="宋体"/>
          <w:sz w:val="24"/>
        </w:rPr>
        <w:t>2.第10列第11行＝第10列第1+2+3+4+5+6+7+8+9+10行；当第2列第11行≤0时，第10列第1行至第11行＝0；当第2列第11行＞0时，第10列第11行≤第2列第11行。</w:t>
      </w:r>
    </w:p>
    <w:p>
      <w:pPr>
        <w:spacing w:line="360" w:lineRule="auto"/>
        <w:ind w:firstLine="480" w:firstLineChars="200"/>
        <w:rPr>
          <w:rFonts w:hint="eastAsia" w:ascii="宋体" w:hAnsi="宋体" w:cs="宋体"/>
          <w:sz w:val="24"/>
        </w:rPr>
      </w:pPr>
      <w:r>
        <w:rPr>
          <w:rFonts w:hint="eastAsia" w:ascii="宋体" w:hAnsi="宋体" w:cs="宋体"/>
          <w:sz w:val="24"/>
        </w:rPr>
        <w:t>3.第11列第11行＝第11列第1+2+3+4+5+6+7+8+9+10行。</w:t>
      </w:r>
    </w:p>
    <w:p>
      <w:pPr>
        <w:spacing w:line="360" w:lineRule="auto"/>
        <w:ind w:firstLine="480" w:firstLineChars="200"/>
        <w:rPr>
          <w:rFonts w:hint="eastAsia" w:ascii="宋体" w:hAnsi="宋体" w:cs="宋体"/>
          <w:sz w:val="24"/>
        </w:rPr>
      </w:pPr>
      <w:r>
        <w:rPr>
          <w:rFonts w:hint="eastAsia" w:ascii="宋体" w:hAnsi="宋体" w:cs="宋体"/>
          <w:sz w:val="24"/>
        </w:rPr>
        <w:t>4.第12列第12行＝第12列第1+2+3+4+5+6+7+8+9+10+11行。</w:t>
      </w:r>
    </w:p>
    <w:p>
      <w:pPr>
        <w:spacing w:line="360" w:lineRule="auto"/>
        <w:ind w:firstLine="480" w:firstLineChars="200"/>
        <w:rPr>
          <w:rFonts w:hint="eastAsia" w:ascii="宋体" w:hAnsi="宋体" w:cs="宋体"/>
          <w:sz w:val="24"/>
        </w:rPr>
      </w:pPr>
      <w:r>
        <w:rPr>
          <w:rFonts w:hint="eastAsia" w:ascii="宋体" w:hAnsi="宋体" w:cs="宋体"/>
          <w:sz w:val="24"/>
        </w:rPr>
        <w:t>5.第1行第12列＝0；第2至10行第12列＝第9列的绝对值-第10列-第11列；第11行第12列＝第9列的绝对值。</w:t>
      </w:r>
    </w:p>
    <w:p>
      <w:pPr>
        <w:spacing w:line="360" w:lineRule="auto"/>
        <w:ind w:firstLine="480" w:firstLineChars="200"/>
        <w:outlineLvl w:val="1"/>
        <w:rPr>
          <w:rFonts w:hint="eastAsia" w:ascii="宋体" w:hAnsi="宋体" w:cs="宋体"/>
          <w:sz w:val="24"/>
        </w:rPr>
      </w:pPr>
      <w:bookmarkStart w:id="218" w:name="_Toc54267947"/>
      <w:r>
        <w:rPr>
          <w:rFonts w:hint="eastAsia" w:ascii="宋体" w:hAnsi="宋体" w:cs="宋体"/>
          <w:sz w:val="24"/>
        </w:rPr>
        <w:t>（二）表间关系</w:t>
      </w:r>
      <w:bookmarkEnd w:id="218"/>
    </w:p>
    <w:p>
      <w:pPr>
        <w:spacing w:line="360" w:lineRule="auto"/>
        <w:ind w:firstLine="480" w:firstLineChars="200"/>
        <w:rPr>
          <w:rFonts w:hint="eastAsia" w:ascii="宋体" w:hAnsi="宋体" w:cs="宋体"/>
          <w:sz w:val="24"/>
        </w:rPr>
      </w:pPr>
      <w:r>
        <w:rPr>
          <w:rFonts w:hint="eastAsia" w:ascii="宋体" w:hAnsi="宋体" w:cs="宋体"/>
          <w:sz w:val="24"/>
        </w:rPr>
        <w:t>1.第11行第2列＝表A100000第19-20行。</w:t>
      </w:r>
    </w:p>
    <w:p>
      <w:pPr>
        <w:spacing w:line="360" w:lineRule="auto"/>
        <w:ind w:firstLine="480" w:firstLineChars="200"/>
        <w:rPr>
          <w:rFonts w:hint="eastAsia" w:ascii="宋体" w:hAnsi="宋体" w:cs="宋体"/>
          <w:sz w:val="24"/>
        </w:rPr>
      </w:pPr>
      <w:r>
        <w:rPr>
          <w:rFonts w:hint="eastAsia" w:ascii="宋体" w:hAnsi="宋体" w:cs="宋体"/>
          <w:sz w:val="24"/>
        </w:rPr>
        <w:t>2.第11行第10列＝表A100000第21行。</w:t>
      </w:r>
    </w:p>
    <w:p>
      <w:pPr>
        <w:spacing w:line="360" w:lineRule="auto"/>
        <w:ind w:firstLine="480" w:firstLineChars="200"/>
        <w:rPr>
          <w:rFonts w:hint="eastAsia" w:ascii="宋体" w:hAnsi="宋体" w:cs="宋体"/>
          <w:sz w:val="24"/>
        </w:rPr>
        <w:sectPr>
          <w:pgSz w:w="11906" w:h="16838"/>
          <w:pgMar w:top="1928" w:right="1418" w:bottom="1985" w:left="1418" w:header="851" w:footer="992" w:gutter="0"/>
          <w:pgNumType w:fmt="decimal"/>
          <w:cols w:space="720" w:num="1"/>
          <w:docGrid w:linePitch="312" w:charSpace="0"/>
        </w:sectPr>
      </w:pPr>
      <w:r>
        <w:rPr>
          <w:rFonts w:hint="eastAsia" w:ascii="宋体" w:hAnsi="宋体" w:cs="宋体"/>
          <w:sz w:val="24"/>
        </w:rPr>
        <w:t>3.第11行第11列＝表A108000第10行第6列-表A100000第18行。</w:t>
      </w:r>
    </w:p>
    <w:bookmarkEnd w:id="93"/>
    <w:bookmarkEnd w:id="212"/>
    <w:p>
      <w:pPr>
        <w:pStyle w:val="92"/>
        <w:spacing w:before="120" w:after="120"/>
        <w:rPr>
          <w:rFonts w:hint="eastAsia" w:ascii="宋体" w:hAnsi="宋体" w:eastAsia="宋体" w:cs="宋体"/>
        </w:rPr>
      </w:pPr>
      <w:bookmarkStart w:id="219" w:name="_Toc24965051"/>
      <w:bookmarkStart w:id="220" w:name="_Toc1653344660_WPSOffice_Level1"/>
      <w:bookmarkStart w:id="221" w:name="_Toc1967971712_WPSOffice_Level1"/>
      <w:bookmarkStart w:id="222" w:name="_Toc8500"/>
      <w:bookmarkStart w:id="223" w:name="_Toc393480298"/>
      <w:bookmarkStart w:id="224" w:name="_Toc527722747"/>
      <w:r>
        <w:rPr>
          <w:rFonts w:hint="eastAsia" w:ascii="宋体" w:hAnsi="宋体" w:eastAsia="宋体" w:cs="宋体"/>
        </w:rPr>
        <w:t>A107010</w:t>
      </w:r>
      <w:r>
        <w:rPr>
          <w:rFonts w:hint="eastAsia" w:ascii="宋体" w:hAnsi="宋体" w:eastAsia="宋体" w:cs="宋体"/>
        </w:rPr>
        <w:tab/>
      </w:r>
      <w:r>
        <w:rPr>
          <w:rFonts w:hint="eastAsia" w:ascii="宋体" w:hAnsi="宋体" w:eastAsia="宋体" w:cs="宋体"/>
        </w:rPr>
        <w:t>免税、减计收入及加计扣除优惠明细表</w:t>
      </w:r>
      <w:bookmarkEnd w:id="219"/>
      <w:bookmarkEnd w:id="220"/>
      <w:bookmarkEnd w:id="221"/>
      <w:bookmarkEnd w:id="222"/>
    </w:p>
    <w:p>
      <w:pPr>
        <w:rPr>
          <w:rFonts w:hint="eastAsia" w:ascii="宋体" w:hAnsi="宋体" w:cs="宋体"/>
        </w:rPr>
      </w:pPr>
    </w:p>
    <w:tbl>
      <w:tblPr>
        <w:tblStyle w:val="25"/>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8079"/>
        <w:gridCol w:w="10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823"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079"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052"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一、免税收入（2+3+9+…+16）</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（一）国债利息收入免征企业所得税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（二）符合条件的居民企业之间的股息、红利等权益性投资收益免征企业所得税（4+5+6+7+8）</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1411" w:leftChars="211" w:hanging="968" w:hangingChars="484"/>
              <w:jc w:val="left"/>
              <w:rPr>
                <w:rFonts w:ascii="宋体" w:hAnsi="宋体" w:cs="宋体"/>
                <w:kern w:val="0"/>
                <w:sz w:val="20"/>
                <w:szCs w:val="20"/>
              </w:rPr>
            </w:pPr>
            <w:r>
              <w:rPr>
                <w:rFonts w:hint="eastAsia" w:ascii="宋体" w:hAnsi="宋体" w:cs="宋体"/>
                <w:kern w:val="0"/>
                <w:sz w:val="20"/>
                <w:szCs w:val="20"/>
              </w:rPr>
              <w:t xml:space="preserve">    1.一般股息红利等权益性投资收益免征企业所得税（填写A107011）</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009" w:leftChars="210" w:hanging="568" w:hangingChars="284"/>
              <w:jc w:val="left"/>
              <w:rPr>
                <w:rFonts w:ascii="宋体" w:hAnsi="宋体" w:cs="宋体"/>
                <w:kern w:val="0"/>
                <w:sz w:val="20"/>
                <w:szCs w:val="20"/>
              </w:rPr>
            </w:pPr>
            <w:r>
              <w:rPr>
                <w:rFonts w:hint="eastAsia" w:ascii="宋体" w:hAnsi="宋体" w:cs="宋体"/>
                <w:kern w:val="0"/>
                <w:sz w:val="20"/>
                <w:szCs w:val="20"/>
              </w:rPr>
              <w:t xml:space="preserve">    2.内地居民企业通过沪港通投资且连续持有H股满12个月取得的股息红利所得免征企业所得税（填写A107011）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009" w:leftChars="210" w:hanging="568" w:hangingChars="284"/>
              <w:jc w:val="left"/>
              <w:rPr>
                <w:rFonts w:ascii="宋体" w:hAnsi="宋体" w:cs="宋体"/>
                <w:kern w:val="0"/>
                <w:sz w:val="20"/>
                <w:szCs w:val="20"/>
              </w:rPr>
            </w:pPr>
            <w:r>
              <w:rPr>
                <w:rFonts w:hint="eastAsia" w:ascii="宋体" w:hAnsi="宋体" w:cs="宋体"/>
                <w:kern w:val="0"/>
                <w:sz w:val="20"/>
                <w:szCs w:val="20"/>
              </w:rPr>
              <w:t xml:space="preserve">    3.内地居民企业通过深港通投资且连续持有H股满12个月取得的股息红利所得免征企业所得税（填写A107011）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151" w:leftChars="210" w:hanging="710" w:hangingChars="355"/>
              <w:jc w:val="left"/>
              <w:rPr>
                <w:rFonts w:ascii="宋体" w:hAnsi="宋体" w:cs="宋体"/>
                <w:kern w:val="0"/>
                <w:sz w:val="20"/>
                <w:szCs w:val="20"/>
              </w:rPr>
            </w:pPr>
            <w:r>
              <w:rPr>
                <w:rFonts w:hint="eastAsia" w:ascii="宋体" w:hAnsi="宋体" w:cs="宋体"/>
                <w:kern w:val="0"/>
                <w:sz w:val="20"/>
                <w:szCs w:val="20"/>
              </w:rPr>
              <w:t xml:space="preserve">    4.居民企业持有创新企业CDR取得的股息红利所得免征企业所得税（填写A107011）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411" w:leftChars="211" w:hanging="968" w:hangingChars="484"/>
              <w:jc w:val="left"/>
              <w:rPr>
                <w:rFonts w:ascii="宋体" w:hAnsi="宋体" w:cs="宋体"/>
                <w:kern w:val="0"/>
                <w:sz w:val="20"/>
                <w:szCs w:val="20"/>
              </w:rPr>
            </w:pPr>
            <w:r>
              <w:rPr>
                <w:rFonts w:hint="eastAsia" w:ascii="宋体" w:hAnsi="宋体" w:cs="宋体"/>
                <w:kern w:val="0"/>
                <w:sz w:val="20"/>
                <w:szCs w:val="20"/>
              </w:rPr>
              <w:t xml:space="preserve">    5.符合条件的永续债利息收入免征企业所得税（填写A107011）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（三）符合条件的非营利组织的收入免征企业所得税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（四）中国清洁发展机制基金取得的收入免征企业所得税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（五）投资者从证券投资基金分配中取得的收入免征企业所得税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（六）取得的地方政府债券利息收入免征企业所得税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（七）中国保险保障基金有限责任公司取得的保险保障基金等收入免征企业所得税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（八）中国奥委会取得北京冬奥组委支付的收入免征企业所得税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（九）中国残奥委会取得北京冬奥组委分期支付的收入免征企业所得税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（十）其他（16.1+16.2）</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16.1</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1.取得的基础研究资金收入免征企业所得税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16.2</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2.其他</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二、减计收入（18+19+23+24）</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（一）综合利用资源生产产品取得的收入在计算应纳税所得额时减计收入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（二）金融、保险等机构取得的涉农利息、保费减计收入（20+21+22）</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1.金融机构取得的涉农贷款利息收入在计算应纳税所得额时减计收入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2.保险机构取得的涉农保费收入在计算应纳税所得额时减计收入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3.小额贷款公司取得的农户小额贷款利息收入在计算应纳税所得额时减计收入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（三）取得铁路债券利息收入减半征收企业所得税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（四）其他（24.1+24.2）</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1.取得的社区家庭服务收入在计算应纳税所得额时减计收入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2.其他</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三、加计扣除（26+27+28+29+30）</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（一）开发新技术、新产品、新工艺发生的研究开发费用加计扣除（填写A107012）</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（二）科技型中小企业开发新技术、新产品、新工艺发生的研究开发费用加计扣除（填写A107012）</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lang w:val="en"/>
              </w:rPr>
            </w:pPr>
            <w:r>
              <w:rPr>
                <w:rFonts w:hint="eastAsia" w:ascii="宋体" w:hAnsi="宋体" w:cs="宋体"/>
                <w:kern w:val="0"/>
                <w:sz w:val="20"/>
                <w:szCs w:val="20"/>
              </w:rPr>
              <w:t>（三）企业为获得创新性、创意性、突破性的产品进行创意设计活动而发生的相关费用加计扣除（加计扣除比例及计算方法：</w:t>
            </w:r>
            <w:r>
              <w:rPr>
                <w:rFonts w:ascii="宋体" w:hAnsi="宋体" w:cs="宋体"/>
                <w:kern w:val="0"/>
                <w:sz w:val="20"/>
                <w:szCs w:val="20"/>
                <w:lang w:val="en"/>
              </w:rPr>
              <w:t>_____</w:t>
            </w:r>
            <w:r>
              <w:rPr>
                <w:rFonts w:hint="eastAsia" w:ascii="宋体" w:hAnsi="宋体" w:cs="宋体"/>
                <w:kern w:val="0"/>
                <w:sz w:val="20"/>
                <w:szCs w:val="20"/>
              </w:rPr>
              <w:t>）</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其中：第四季度相关费用加计扣除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1400" w:firstLineChars="700"/>
              <w:jc w:val="left"/>
              <w:rPr>
                <w:rFonts w:ascii="宋体" w:hAnsi="宋体" w:cs="宋体"/>
                <w:kern w:val="0"/>
                <w:sz w:val="20"/>
                <w:szCs w:val="20"/>
              </w:rPr>
            </w:pPr>
            <w:r>
              <w:rPr>
                <w:rFonts w:hint="eastAsia" w:ascii="宋体" w:hAnsi="宋体" w:cs="宋体"/>
                <w:kern w:val="0"/>
                <w:sz w:val="20"/>
                <w:szCs w:val="20"/>
              </w:rPr>
              <w:t>前三季度相关费用加计扣除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（四）安置残疾人员所支付的工资加计扣除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（五）其他（30.1+30.2+30.3）</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1.企业投入基础研究支出加计扣除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2.高新技术企业设备器具加计扣除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30.3</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3.其他</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23"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8079" w:type="dxa"/>
            <w:tcBorders>
              <w:top w:val="single" w:color="auto" w:sz="6" w:space="0"/>
              <w:left w:val="single" w:color="auto" w:sz="6" w:space="0"/>
              <w:bottom w:val="single" w:color="auto" w:sz="12"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合计（1+17+25）</w:t>
            </w:r>
          </w:p>
        </w:tc>
        <w:tc>
          <w:tcPr>
            <w:tcW w:w="1052" w:type="dxa"/>
            <w:tcBorders>
              <w:top w:val="single" w:color="auto" w:sz="6"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20"/>
                <w:szCs w:val="20"/>
              </w:rPr>
            </w:pPr>
          </w:p>
        </w:tc>
      </w:tr>
    </w:tbl>
    <w:p>
      <w:pPr>
        <w:pStyle w:val="2"/>
        <w:rPr>
          <w:rFonts w:hint="eastAsia"/>
        </w:rPr>
        <w:sectPr>
          <w:pgSz w:w="11906" w:h="16838"/>
          <w:pgMar w:top="1134" w:right="1418" w:bottom="1134" w:left="1418" w:header="851" w:footer="992" w:gutter="0"/>
          <w:pgNumType w:fmt="decimal"/>
          <w:cols w:space="720" w:num="1"/>
          <w:docGrid w:linePitch="312" w:charSpace="0"/>
        </w:sectPr>
      </w:pPr>
    </w:p>
    <w:p>
      <w:pPr>
        <w:pStyle w:val="93"/>
        <w:spacing w:before="156" w:after="156"/>
        <w:rPr>
          <w:rFonts w:hint="eastAsia" w:ascii="宋体" w:hAnsi="宋体" w:eastAsia="宋体" w:cs="宋体"/>
          <w:lang w:val="zh-CN"/>
        </w:rPr>
      </w:pPr>
      <w:bookmarkStart w:id="225" w:name="_Toc991818635_WPSOffice_Level1"/>
      <w:bookmarkStart w:id="226" w:name="_Toc1691326268_WPSOffice_Level1"/>
      <w:bookmarkStart w:id="227" w:name="_Toc24965052"/>
      <w:bookmarkStart w:id="228" w:name="_Toc88"/>
      <w:r>
        <w:rPr>
          <w:rFonts w:hint="eastAsia" w:ascii="宋体" w:hAnsi="宋体" w:eastAsia="宋体" w:cs="宋体"/>
          <w:lang w:val="zh-CN"/>
        </w:rPr>
        <w:t>A107010</w:t>
      </w:r>
      <w:r>
        <w:rPr>
          <w:rFonts w:hint="eastAsia" w:ascii="宋体" w:hAnsi="宋体" w:eastAsia="宋体" w:cs="宋体"/>
          <w:lang w:val="zh-CN"/>
        </w:rPr>
        <w:tab/>
      </w:r>
      <w:r>
        <w:rPr>
          <w:rFonts w:hint="eastAsia" w:ascii="宋体" w:hAnsi="宋体" w:eastAsia="宋体" w:cs="宋体"/>
          <w:lang w:val="zh-CN"/>
        </w:rPr>
        <w:t>《免税、减计收入及加计扣除优惠明细表》填报说明</w:t>
      </w:r>
      <w:bookmarkEnd w:id="225"/>
      <w:bookmarkEnd w:id="226"/>
      <w:bookmarkEnd w:id="227"/>
      <w:bookmarkEnd w:id="228"/>
    </w:p>
    <w:p>
      <w:pPr>
        <w:pStyle w:val="94"/>
        <w:spacing w:line="360" w:lineRule="auto"/>
        <w:ind w:firstLine="480"/>
        <w:rPr>
          <w:rFonts w:ascii="宋体" w:hAnsi="宋体" w:eastAsia="宋体" w:cs="宋体"/>
        </w:rPr>
      </w:pPr>
      <w:r>
        <w:rPr>
          <w:rFonts w:hint="eastAsia" w:ascii="宋体" w:hAnsi="宋体" w:eastAsia="宋体" w:cs="宋体"/>
        </w:rPr>
        <w:t>本表适用于享受免税收入、减计收入和加计扣除优惠的纳税人填报。纳税人根据税法及相关税收政策规定，填报本年发生的免税收入、减计收入和加计扣除优惠情况。</w:t>
      </w:r>
    </w:p>
    <w:p>
      <w:pPr>
        <w:pStyle w:val="94"/>
        <w:spacing w:line="360" w:lineRule="auto"/>
        <w:ind w:firstLine="482"/>
        <w:outlineLvl w:val="0"/>
        <w:rPr>
          <w:rFonts w:hint="eastAsia" w:ascii="宋体" w:hAnsi="宋体" w:eastAsia="宋体" w:cs="宋体"/>
          <w:b/>
          <w:bCs/>
        </w:rPr>
      </w:pPr>
      <w:bookmarkStart w:id="229" w:name="_Toc427309958_WPSOffice_Level1"/>
      <w:bookmarkStart w:id="230" w:name="_Toc1395572106_WPSOffice_Level1"/>
      <w:r>
        <w:rPr>
          <w:rFonts w:hint="eastAsia" w:ascii="宋体" w:hAnsi="宋体" w:eastAsia="宋体" w:cs="宋体"/>
          <w:b/>
          <w:bCs/>
        </w:rPr>
        <w:t>一、有关项目填报说明</w:t>
      </w:r>
      <w:bookmarkEnd w:id="229"/>
      <w:bookmarkEnd w:id="230"/>
    </w:p>
    <w:p>
      <w:pPr>
        <w:pStyle w:val="94"/>
        <w:spacing w:line="360" w:lineRule="auto"/>
        <w:ind w:firstLine="480"/>
        <w:rPr>
          <w:rFonts w:hint="eastAsia" w:ascii="宋体" w:hAnsi="宋体" w:eastAsia="宋体" w:cs="宋体"/>
        </w:rPr>
      </w:pPr>
      <w:r>
        <w:rPr>
          <w:rFonts w:hint="eastAsia" w:ascii="宋体" w:hAnsi="宋体" w:eastAsia="宋体" w:cs="宋体"/>
        </w:rPr>
        <w:t>1.第1行“一、免税收入”：填报第2+3+9+10+11+12+13+14+15+16行金额。</w:t>
      </w:r>
    </w:p>
    <w:p>
      <w:pPr>
        <w:pStyle w:val="94"/>
        <w:spacing w:line="360" w:lineRule="auto"/>
        <w:ind w:firstLine="480"/>
        <w:rPr>
          <w:rFonts w:hint="eastAsia" w:ascii="宋体" w:hAnsi="宋体" w:eastAsia="宋体" w:cs="宋体"/>
        </w:rPr>
      </w:pPr>
      <w:r>
        <w:rPr>
          <w:rFonts w:hint="eastAsia" w:ascii="宋体" w:hAnsi="宋体" w:eastAsia="宋体" w:cs="宋体"/>
        </w:rPr>
        <w:t>2.第2行“（一）国债利息收入免征企业所得税”：填报纳税人根据《国家税务总局关于企业国债投资业务企业所得税处理问题的公告》（2011年第36号）等相关税收政策规定，持有国务院财政部门发行的国债取得的利息收入。</w:t>
      </w:r>
    </w:p>
    <w:p>
      <w:pPr>
        <w:pStyle w:val="94"/>
        <w:spacing w:line="360" w:lineRule="auto"/>
        <w:ind w:firstLine="480"/>
        <w:rPr>
          <w:rFonts w:hint="eastAsia" w:ascii="宋体" w:hAnsi="宋体" w:eastAsia="宋体" w:cs="宋体"/>
        </w:rPr>
      </w:pPr>
      <w:r>
        <w:rPr>
          <w:rFonts w:hint="eastAsia" w:ascii="宋体" w:hAnsi="宋体" w:eastAsia="宋体" w:cs="宋体"/>
        </w:rPr>
        <w:t>3.第3行“（二）符合条件的居民企业之间的股息、红利等权益性投资收益免征企业所得税”：填报《符合条件的居民企业之间的股息、红利等权益性投资收益优惠明细表》（A107011）第8行第17列金额。</w:t>
      </w:r>
    </w:p>
    <w:p>
      <w:pPr>
        <w:pStyle w:val="94"/>
        <w:spacing w:line="360" w:lineRule="auto"/>
        <w:ind w:firstLine="480"/>
        <w:rPr>
          <w:rFonts w:hint="eastAsia" w:ascii="宋体" w:hAnsi="宋体" w:eastAsia="宋体" w:cs="宋体"/>
        </w:rPr>
      </w:pPr>
      <w:r>
        <w:rPr>
          <w:rFonts w:hint="eastAsia" w:ascii="宋体" w:hAnsi="宋体" w:eastAsia="宋体" w:cs="宋体"/>
        </w:rPr>
        <w:t>4.第4行“1.一般股息红利等权益性投资收益免征企业所得税”：填报《中华人民共和国企业所得税法实施条例》第八十三条规定的投资收益，不含持有H股、创新企业CDR、永续债取得的投资收益，按表A107011第9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5.第5行“2.内地居民企业通过沪港通投资且连续持有H股满12个月取得的股息红利所得免征企业所得税”：填报根据《财政部 国家税务总局 证监会关于沪港股票市场交易互联互通机制试点有关税收政策的通知》（财税〔2014〕81号）等相关税收政策规定，内地居民企业连续持有H股满12个月取得的股息红利所得，按表A107011第10行第17列金额填报。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6.第6行“3.内地居民企业通过深港通投资且连续持有H股满12个月取得的股息红利所得免征企业所得税”：填报根据《财政部 国家税务总局 证监会关于深港股票市场交易互联互通机制试点有关税收政策的通知》（财税〔2016〕127号）等相关税收政策规定，内地居民企业连续持有H股满12个月取得的股息红利所得，按表A107011第11行第17列金额填报。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7.第7行“居民企业持有创新企业CDR取得的股息红利所得免征企业所得税”：填报根据《财政部 税务总局 证监会关于创新企业境内发行存托凭证试点阶段有关税收政策的公告》（2019年第52号）等相关税收政策规定，居民企业持有创新企业CDR取得的股息红利所得，按表A107011第12行第17列金额填报。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8.第8行“符合条件的永续债利息收入免征企业所得税”：填报根据《财政部 税务总局关于永续债企业所得税政策问题的公告》（2019年第64号）等相关税收政策规定，居民企业取得的可以适用企业所得税法规定的居民企业之间的股息、红利等权益性投资收益免征企业所得税规定的永续债利息收入，按表A107011第13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9.第9行“（三）符合条件的非营利组织的收入免征企业所得税”：填报根据税法、《财政部 国家税务总局关于非营利组织企业所得税免税收入问题的通知》（财税〔2009〕122号）、《财政部 税务总局关于非营利组织免税资格认定管理有关问题的通知》（财税〔2018〕13号）等相关税收政策规定，认定的符合条件的非营利组织，取得的捐赠收入等免税收入，但不包括从事营利性活动所取得的收入。当表A000000“207非营利组织”选择“是”时，本行可以填报，否则不得填报。</w:t>
      </w:r>
    </w:p>
    <w:p>
      <w:pPr>
        <w:pStyle w:val="94"/>
        <w:spacing w:line="360" w:lineRule="auto"/>
        <w:ind w:firstLine="480"/>
        <w:rPr>
          <w:rFonts w:hint="eastAsia" w:ascii="宋体" w:hAnsi="宋体" w:eastAsia="宋体" w:cs="宋体"/>
        </w:rPr>
      </w:pPr>
      <w:r>
        <w:rPr>
          <w:rFonts w:hint="eastAsia" w:ascii="宋体" w:hAnsi="宋体" w:eastAsia="宋体" w:cs="宋体"/>
        </w:rPr>
        <w:t>10.第10行“（四）中国清洁发展机制基金取得的收入免征企业所得税”：填报根据《财政部 国家税务总局关于中国清洁发展机制基金及清洁发展机制项目实施企业有关企业所得税政策问题的通知》（财税〔2009〕30号）等相关税收政策规定，中国清洁发展机制基金取得的CDM项目温室气体减排量转让收入上缴国家的部分，国际金融组织赠款收入，基金资金的存款利息收入，购买国债的利息收入，国内外机构、组织和个人的捐赠收入。</w:t>
      </w:r>
    </w:p>
    <w:p>
      <w:pPr>
        <w:pStyle w:val="94"/>
        <w:spacing w:line="360" w:lineRule="auto"/>
        <w:ind w:firstLine="480"/>
        <w:rPr>
          <w:rFonts w:hint="eastAsia" w:ascii="宋体" w:hAnsi="宋体" w:eastAsia="宋体" w:cs="宋体"/>
        </w:rPr>
      </w:pPr>
      <w:r>
        <w:rPr>
          <w:rFonts w:hint="eastAsia" w:ascii="宋体" w:hAnsi="宋体" w:eastAsia="宋体" w:cs="宋体"/>
        </w:rPr>
        <w:t>11.第11行“（五）投资者从证券投资基金分配中取得的收入免征企业所得税”：填报根据《财政部 国家税务总局关于企业所得税若干优惠政策的通知》（财税〔2008〕1号）第二条第（二）项等相关税收政策规定，投资者从证券投资基金分配中取得的收入。</w:t>
      </w:r>
    </w:p>
    <w:p>
      <w:pPr>
        <w:pStyle w:val="94"/>
        <w:spacing w:line="360" w:lineRule="auto"/>
        <w:ind w:firstLine="480"/>
        <w:rPr>
          <w:rFonts w:hint="eastAsia" w:ascii="宋体" w:hAnsi="宋体" w:eastAsia="宋体" w:cs="宋体"/>
        </w:rPr>
      </w:pPr>
      <w:r>
        <w:rPr>
          <w:rFonts w:hint="eastAsia" w:ascii="宋体" w:hAnsi="宋体" w:eastAsia="宋体" w:cs="宋体"/>
        </w:rPr>
        <w:t>12.第12行“（六）取得的地方政府债券利息收入免征企业所得税”：填报纳税人根据《财政部 国家税务总局关于地方政府债券利息所得免征所得税问题的通知》（财税〔2011〕76号）、《财政部 国家税务总局关于地方政府债券利息免征所得税问题的通知》（财税〔2013〕5号）等相关税收政策规定，取得的2009年、2010年和2011年发行的地方政府债券利息所得，2012年及以后年度发行的地方政府债券利息收入。</w:t>
      </w:r>
    </w:p>
    <w:p>
      <w:pPr>
        <w:pStyle w:val="94"/>
        <w:spacing w:line="360" w:lineRule="auto"/>
        <w:ind w:firstLine="480"/>
        <w:rPr>
          <w:rFonts w:hint="eastAsia" w:ascii="宋体" w:hAnsi="宋体" w:eastAsia="宋体" w:cs="宋体"/>
        </w:rPr>
      </w:pPr>
      <w:r>
        <w:rPr>
          <w:rFonts w:hint="eastAsia" w:ascii="宋体" w:hAnsi="宋体" w:eastAsia="宋体" w:cs="宋体"/>
        </w:rPr>
        <w:t>13.第13行“（七）中国保险保障基金有限责任公司取得的保险保障基金等收入免征企业所得税”：填报中国保险保障基金有限责任公司根据《财政部 税务总局关于保险保障基金有关税收政策问题的通知》（财税〔2018〕41号）等相关税收政策规定，按《保险保障基金管理办法》规定取得的境内保险公司依法缴纳的保险保障基金；依法从撤销或破产保险公司清算财产中获得的受偿收入和向有关责任方追偿所得，以及依法从保险公司风险处置中获得的财产转让所得；捐赠所得；银行存款利息收入；购买政府债券、中央银行、中央企业和中央级金融机构发行债券的利息收入；国务院批准的其他资金运用取得的收入。</w:t>
      </w:r>
    </w:p>
    <w:p>
      <w:pPr>
        <w:pStyle w:val="94"/>
        <w:spacing w:line="360" w:lineRule="auto"/>
        <w:ind w:firstLine="480"/>
        <w:rPr>
          <w:rFonts w:hint="eastAsia" w:ascii="宋体" w:hAnsi="宋体" w:eastAsia="宋体" w:cs="宋体"/>
        </w:rPr>
      </w:pPr>
      <w:r>
        <w:rPr>
          <w:rFonts w:hint="eastAsia" w:ascii="宋体" w:hAnsi="宋体" w:eastAsia="宋体" w:cs="宋体"/>
        </w:rPr>
        <w:t>14.第14行“（八）中国奥委会取得北京冬奥组委支付的收入免征企业所得税”：填报根据《财政部 税务总局 海关总署关于北京2022年冬奥会和冬残奥会税收政策的通知》（财税〔2017〕60号）等相关税收政策规定，中国奥委会按中国奥委会、主办城市签订的《联合市场开发计划协议》和中国奥委会、主办城市、国际奥委会签订的《主办城市合同》取得的由北京冬奥组委分期支付的收入、按比例支付的盈余分成收入。</w:t>
      </w:r>
    </w:p>
    <w:p>
      <w:pPr>
        <w:pStyle w:val="94"/>
        <w:spacing w:line="360" w:lineRule="auto"/>
        <w:ind w:firstLine="480"/>
        <w:rPr>
          <w:rFonts w:hint="eastAsia" w:ascii="宋体" w:hAnsi="宋体" w:eastAsia="宋体" w:cs="宋体"/>
        </w:rPr>
      </w:pPr>
      <w:r>
        <w:rPr>
          <w:rFonts w:hint="eastAsia" w:ascii="宋体" w:hAnsi="宋体" w:eastAsia="宋体" w:cs="宋体"/>
        </w:rPr>
        <w:t>15.第15行“（九）中国残奥委会取得北京冬奥组委分期支付的收入免征企业所得税”：填报根据财税〔2017〕60号等相关税收政策规定，中国残奥委会按照《联合市场开发计划协议》取得的由北京冬奥组委分期支付的收入。</w:t>
      </w:r>
    </w:p>
    <w:p>
      <w:pPr>
        <w:pStyle w:val="94"/>
        <w:spacing w:line="360" w:lineRule="auto"/>
        <w:ind w:firstLine="480"/>
        <w:rPr>
          <w:rFonts w:ascii="宋体" w:hAnsi="宋体" w:eastAsia="宋体" w:cs="宋体"/>
        </w:rPr>
      </w:pPr>
      <w:r>
        <w:rPr>
          <w:rFonts w:hint="eastAsia" w:ascii="宋体" w:hAnsi="宋体" w:eastAsia="宋体" w:cs="宋体"/>
        </w:rPr>
        <w:t>16.第16行“（十）其他”：根据相关行次计算结果填报。本行=第16.1+16.2行。各行按照以下要求填报：</w:t>
      </w:r>
    </w:p>
    <w:p>
      <w:pPr>
        <w:pStyle w:val="94"/>
        <w:spacing w:line="360" w:lineRule="auto"/>
        <w:ind w:firstLine="480"/>
        <w:rPr>
          <w:rFonts w:ascii="宋体" w:hAnsi="宋体" w:eastAsia="宋体" w:cs="宋体"/>
        </w:rPr>
      </w:pPr>
      <w:r>
        <w:rPr>
          <w:rFonts w:hint="eastAsia" w:ascii="宋体" w:hAnsi="宋体" w:eastAsia="宋体" w:cs="宋体"/>
        </w:rPr>
        <w:t>第16.1行“1.取得的基础研究资金收入免征企业所得税”：非营利性研究开发机构、高等学校填报根据《财政部 税务总局关于企业投入基础研究有关税收优惠政策的公告》（2022年第32号）等相关税收政策规定取得的基础研究资金收入。</w:t>
      </w:r>
    </w:p>
    <w:p>
      <w:pPr>
        <w:pStyle w:val="94"/>
        <w:spacing w:line="360" w:lineRule="auto"/>
        <w:ind w:firstLine="480"/>
        <w:rPr>
          <w:rFonts w:ascii="宋体" w:hAnsi="宋体" w:eastAsia="宋体" w:cs="宋体"/>
        </w:rPr>
      </w:pPr>
      <w:r>
        <w:rPr>
          <w:rFonts w:hint="eastAsia" w:ascii="宋体" w:hAnsi="宋体" w:eastAsia="宋体" w:cs="宋体"/>
        </w:rPr>
        <w:t>第16.2行“2.其他”：填报纳税人享受的本表未列明的其他免税收入税收优惠事项名称、减免税代码及免税收入金额。</w:t>
      </w:r>
    </w:p>
    <w:p>
      <w:pPr>
        <w:pStyle w:val="94"/>
        <w:spacing w:line="360" w:lineRule="auto"/>
        <w:ind w:firstLine="480"/>
        <w:rPr>
          <w:rFonts w:ascii="宋体" w:hAnsi="宋体" w:eastAsia="宋体" w:cs="宋体"/>
        </w:rPr>
      </w:pPr>
      <w:r>
        <w:rPr>
          <w:rFonts w:hint="eastAsia" w:ascii="宋体" w:hAnsi="宋体" w:eastAsia="宋体" w:cs="宋体"/>
        </w:rPr>
        <w:t>17.第17行“二、减计收入”：填报第18+19+23+24行金额。</w:t>
      </w:r>
    </w:p>
    <w:p>
      <w:pPr>
        <w:pStyle w:val="94"/>
        <w:spacing w:line="360" w:lineRule="auto"/>
        <w:ind w:firstLine="480"/>
        <w:rPr>
          <w:rFonts w:ascii="宋体" w:hAnsi="宋体" w:eastAsia="宋体" w:cs="宋体"/>
        </w:rPr>
      </w:pPr>
      <w:r>
        <w:rPr>
          <w:rFonts w:hint="eastAsia" w:ascii="宋体" w:hAnsi="宋体" w:eastAsia="宋体" w:cs="宋体"/>
        </w:rPr>
        <w:t>18.第18行“（一）综合利用资源生产产品取得的收入在计算应纳税所得额时减计收入”：填报纳税人综合利用资源生产产品取得的收入总额乘以10%的金额。</w:t>
      </w:r>
    </w:p>
    <w:p>
      <w:pPr>
        <w:pStyle w:val="94"/>
        <w:spacing w:line="360" w:lineRule="auto"/>
        <w:ind w:firstLine="480"/>
        <w:rPr>
          <w:rFonts w:ascii="宋体" w:hAnsi="宋体" w:eastAsia="宋体" w:cs="宋体"/>
        </w:rPr>
      </w:pPr>
      <w:r>
        <w:rPr>
          <w:rFonts w:hint="eastAsia" w:ascii="宋体" w:hAnsi="宋体" w:eastAsia="宋体" w:cs="宋体"/>
        </w:rPr>
        <w:t>19.第19行“（二）金融、保险等机构取得的涉农利息、保费减计收入”：填报金融、保险等机构取得的涉农利息、保费收入减计收入的金额，按第20+21+22行金额填报。</w:t>
      </w:r>
    </w:p>
    <w:p>
      <w:pPr>
        <w:pStyle w:val="94"/>
        <w:spacing w:line="360" w:lineRule="auto"/>
        <w:ind w:firstLine="480"/>
        <w:rPr>
          <w:rFonts w:ascii="宋体" w:hAnsi="宋体" w:eastAsia="宋体" w:cs="宋体"/>
        </w:rPr>
      </w:pPr>
      <w:r>
        <w:rPr>
          <w:rFonts w:hint="eastAsia" w:ascii="宋体" w:hAnsi="宋体" w:eastAsia="宋体" w:cs="宋体"/>
        </w:rPr>
        <w:t>20.第20行“1.金融机构取得的涉农贷款利息收入在计算应纳税所得额时减计收入”：填报金融机构取得</w:t>
      </w:r>
      <w:r>
        <w:rPr>
          <w:rFonts w:hint="eastAsia" w:ascii="宋体" w:hAnsi="宋体" w:eastAsia="宋体" w:cs="宋体"/>
          <w:lang w:eastAsia="zh-CN"/>
        </w:rPr>
        <w:t>的</w:t>
      </w:r>
      <w:r>
        <w:rPr>
          <w:rFonts w:hint="eastAsia" w:ascii="宋体" w:hAnsi="宋体" w:eastAsia="宋体" w:cs="宋体"/>
        </w:rPr>
        <w:t>农户小额贷款利息收入总额乘以10%的金额。</w:t>
      </w:r>
    </w:p>
    <w:p>
      <w:pPr>
        <w:pStyle w:val="94"/>
        <w:spacing w:line="360" w:lineRule="auto"/>
        <w:ind w:firstLine="480"/>
        <w:rPr>
          <w:rFonts w:ascii="宋体" w:hAnsi="宋体" w:eastAsia="宋体" w:cs="宋体"/>
        </w:rPr>
      </w:pPr>
      <w:r>
        <w:rPr>
          <w:rFonts w:hint="eastAsia" w:ascii="宋体" w:hAnsi="宋体" w:eastAsia="宋体" w:cs="宋体"/>
        </w:rPr>
        <w:t>21.第21行“2.保险机构取得的涉农保费收入在计算应纳税所得额时减计收入”：填报保险公司为种植业、养殖业提供保险业务取得的保费收入总额乘以10%的金额。其中保费收入总额＝原保费收入+分保费收入-分出保费。</w:t>
      </w:r>
    </w:p>
    <w:p>
      <w:pPr>
        <w:pStyle w:val="94"/>
        <w:spacing w:line="360" w:lineRule="auto"/>
        <w:ind w:firstLine="480"/>
        <w:rPr>
          <w:rFonts w:ascii="宋体" w:hAnsi="宋体" w:eastAsia="宋体" w:cs="宋体"/>
        </w:rPr>
      </w:pPr>
      <w:r>
        <w:rPr>
          <w:rFonts w:hint="eastAsia" w:ascii="宋体" w:hAnsi="宋体" w:eastAsia="宋体" w:cs="宋体"/>
        </w:rPr>
        <w:t>22.第22行“3.小额贷款公司取得的农户小额贷款利息收入在计算应纳税所得额时减计收入”：填报经省级金融管理部门(金融办、局等)批准成立的小额贷款公司取得的农户小额贷款利息收入乘以10%的金额。</w:t>
      </w:r>
    </w:p>
    <w:p>
      <w:pPr>
        <w:pStyle w:val="94"/>
        <w:spacing w:line="360" w:lineRule="auto"/>
        <w:ind w:firstLine="480"/>
        <w:rPr>
          <w:rFonts w:ascii="宋体" w:hAnsi="宋体" w:eastAsia="宋体" w:cs="宋体"/>
        </w:rPr>
      </w:pPr>
      <w:r>
        <w:rPr>
          <w:rFonts w:hint="eastAsia" w:ascii="宋体" w:hAnsi="宋体" w:eastAsia="宋体" w:cs="宋体"/>
        </w:rPr>
        <w:t>23.第23行“（三）取得铁路债券利息收入减半征收企业所得税”：填报纳税人根据《财政部 国家税务总局关于铁路建设债券利息收入企业所得税政策的通知》（财税〔2011〕99号）、《财政部 国家税务总局关于2014 2015年铁路建设债券利息收入企业所得税政策的通知》（财税〔2014〕2号）及《财政部 国家税务总局关于铁路债券利息收入所得税政策问题的通知》(财税〔2016〕30号)、《财政部 税务总局关于铁路债券利息收入所得税政策的公告》（2019年第57号）等相关税收政策规定，持有中国铁路建设铁路债券等企业债券取得的利息收入乘以50%的金额。</w:t>
      </w:r>
    </w:p>
    <w:p>
      <w:pPr>
        <w:pStyle w:val="94"/>
        <w:spacing w:line="360" w:lineRule="auto"/>
        <w:ind w:firstLine="480"/>
        <w:rPr>
          <w:rFonts w:ascii="宋体" w:hAnsi="宋体" w:eastAsia="宋体" w:cs="宋体"/>
        </w:rPr>
      </w:pPr>
      <w:r>
        <w:rPr>
          <w:rFonts w:hint="eastAsia" w:ascii="宋体" w:hAnsi="宋体" w:eastAsia="宋体" w:cs="宋体"/>
        </w:rPr>
        <w:t>24.第24行“（四）其他”：根据相关行次计算结果填报。本行=第24.1+24.2行。第24.1行和第24.2行按照以下要求填报：</w:t>
      </w:r>
    </w:p>
    <w:p>
      <w:pPr>
        <w:pStyle w:val="94"/>
        <w:spacing w:line="360" w:lineRule="auto"/>
        <w:ind w:firstLine="480"/>
        <w:rPr>
          <w:rFonts w:ascii="宋体" w:hAnsi="宋体" w:eastAsia="宋体" w:cs="宋体"/>
        </w:rPr>
      </w:pPr>
      <w:r>
        <w:rPr>
          <w:rFonts w:hint="eastAsia" w:ascii="宋体" w:hAnsi="宋体" w:eastAsia="宋体" w:cs="宋体"/>
        </w:rPr>
        <w:t>第24.1行“1.取得的社区家庭服务收入在计算应纳税所得额时减计收入”：填报纳税人根据《财政部 税务总局 发展改革委 民政部 商务部 卫生健康委关于养老、托育、家政等社区家庭服务业税费优惠政策的公告》（2019年第76号）等相关税收政策规定，社区养老、托育、家政相关服务的收入乘以10%的金额。</w:t>
      </w:r>
    </w:p>
    <w:p>
      <w:pPr>
        <w:pStyle w:val="94"/>
        <w:spacing w:line="360" w:lineRule="auto"/>
        <w:ind w:firstLine="480"/>
        <w:rPr>
          <w:rFonts w:ascii="宋体" w:hAnsi="宋体" w:eastAsia="宋体" w:cs="宋体"/>
        </w:rPr>
      </w:pPr>
      <w:r>
        <w:rPr>
          <w:rFonts w:hint="eastAsia" w:ascii="宋体" w:hAnsi="宋体" w:eastAsia="宋体" w:cs="宋体"/>
        </w:rPr>
        <w:t>第24.2行“2.其他”：填报纳税人享受的本表未列明的其他减计收入的税收优惠事项名称、减免税代码及减计收入金额。</w:t>
      </w:r>
    </w:p>
    <w:p>
      <w:pPr>
        <w:pStyle w:val="94"/>
        <w:spacing w:line="360" w:lineRule="auto"/>
        <w:ind w:firstLine="480"/>
        <w:rPr>
          <w:rFonts w:ascii="宋体" w:hAnsi="宋体" w:eastAsia="宋体" w:cs="宋体"/>
        </w:rPr>
      </w:pPr>
      <w:r>
        <w:rPr>
          <w:rFonts w:hint="eastAsia" w:ascii="宋体" w:hAnsi="宋体" w:eastAsia="宋体" w:cs="宋体"/>
        </w:rPr>
        <w:t>25.第25行“三、加计扣除”：填报第26+27+28+29+30行的合计金额。</w:t>
      </w:r>
    </w:p>
    <w:p>
      <w:pPr>
        <w:pStyle w:val="94"/>
        <w:spacing w:line="360" w:lineRule="auto"/>
        <w:ind w:firstLine="480"/>
        <w:rPr>
          <w:rFonts w:ascii="宋体" w:hAnsi="宋体" w:eastAsia="宋体" w:cs="宋体"/>
        </w:rPr>
      </w:pPr>
      <w:r>
        <w:rPr>
          <w:rFonts w:hint="eastAsia" w:ascii="宋体" w:hAnsi="宋体" w:eastAsia="宋体" w:cs="宋体"/>
        </w:rPr>
        <w:t>26.第26行“（一）开发新技术、新产品、新工艺发生的研究开发费用加计扣除”：当表A000000“210-3”项目未填有入库编号时，填报表A107012第51行金额。本行与第27行不可同时填报。</w:t>
      </w:r>
    </w:p>
    <w:p>
      <w:pPr>
        <w:pStyle w:val="94"/>
        <w:spacing w:line="360" w:lineRule="auto"/>
        <w:ind w:firstLine="480"/>
        <w:rPr>
          <w:rFonts w:ascii="宋体" w:hAnsi="宋体" w:eastAsia="宋体" w:cs="宋体"/>
        </w:rPr>
      </w:pPr>
      <w:r>
        <w:rPr>
          <w:rFonts w:hint="eastAsia" w:ascii="宋体" w:hAnsi="宋体" w:eastAsia="宋体" w:cs="宋体"/>
        </w:rPr>
        <w:t>27.第27行“（二）科技型中小企业开发新技术、新产品、新工艺发生的研究开发费用加计扣除”：当表A000000“210-3”项目填有入库编号时，填报表A107012第51行金额。本行与第26行不可同时填报。</w:t>
      </w:r>
    </w:p>
    <w:p>
      <w:pPr>
        <w:pStyle w:val="94"/>
        <w:spacing w:line="360" w:lineRule="auto"/>
        <w:ind w:firstLine="480"/>
        <w:rPr>
          <w:rFonts w:hint="eastAsia" w:ascii="宋体" w:hAnsi="宋体" w:eastAsia="宋体" w:cs="宋体"/>
        </w:rPr>
      </w:pPr>
      <w:r>
        <w:rPr>
          <w:rFonts w:hint="eastAsia" w:ascii="宋体" w:hAnsi="宋体" w:eastAsia="宋体" w:cs="宋体"/>
        </w:rPr>
        <w:t>28.第28行“（三）企业为获得创新性、创意性、突破性的产品进行创意设计活动而发生的相关费用加计扣除”：填报纳税人根据《财政部 国家税务总局 科技部关于完善研究开发费用税前加计扣除政策的通知》（财税〔2015〕119号）第二条第四款规定，为获得创新性、创意性、突破性的产品进行创意设计活动而发生的相关费用按照规定进行税前加计扣除的金额。纳税人填报本行时，根据有关政策规定填报加计扣除比例及计算方法。纳税人根据实际情况从《创意设计活动加计扣除比例及计算方法代码表》选择相应代码填入本项。“加计扣除比例及计算方法”选择“121”或“122”的，第28行填报第28.1行和第28.2行的合计金额。</w:t>
      </w:r>
    </w:p>
    <w:p>
      <w:pPr>
        <w:pStyle w:val="94"/>
        <w:spacing w:line="360" w:lineRule="auto"/>
        <w:ind w:firstLine="0" w:firstLineChars="0"/>
        <w:jc w:val="center"/>
        <w:rPr>
          <w:rFonts w:ascii="宋体" w:hAnsi="宋体" w:eastAsia="宋体" w:cs="宋体"/>
        </w:rPr>
      </w:pPr>
      <w:r>
        <w:rPr>
          <w:rFonts w:hint="eastAsia" w:ascii="宋体" w:hAnsi="宋体" w:eastAsia="宋体" w:cs="宋体"/>
        </w:rPr>
        <w:t>创意设计活动加计扣除比例及计算方法代码表</w:t>
      </w:r>
    </w:p>
    <w:tbl>
      <w:tblPr>
        <w:tblStyle w:val="25"/>
        <w:tblW w:w="7744" w:type="dxa"/>
        <w:jc w:val="center"/>
        <w:tblLayout w:type="autofit"/>
        <w:tblCellMar>
          <w:top w:w="0" w:type="dxa"/>
          <w:left w:w="108" w:type="dxa"/>
          <w:bottom w:w="0" w:type="dxa"/>
          <w:right w:w="108" w:type="dxa"/>
        </w:tblCellMar>
      </w:tblPr>
      <w:tblGrid>
        <w:gridCol w:w="1506"/>
        <w:gridCol w:w="3152"/>
        <w:gridCol w:w="3086"/>
      </w:tblGrid>
      <w:tr>
        <w:tblPrEx>
          <w:tblCellMar>
            <w:top w:w="0" w:type="dxa"/>
            <w:left w:w="108" w:type="dxa"/>
            <w:bottom w:w="0" w:type="dxa"/>
            <w:right w:w="108" w:type="dxa"/>
          </w:tblCellMar>
        </w:tblPrEx>
        <w:trPr>
          <w:trHeight w:val="308" w:hRule="atLeast"/>
          <w:jc w:val="center"/>
        </w:trPr>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代码</w:t>
            </w:r>
          </w:p>
        </w:tc>
        <w:tc>
          <w:tcPr>
            <w:tcW w:w="6238" w:type="dxa"/>
            <w:gridSpan w:val="2"/>
            <w:tcBorders>
              <w:top w:val="single" w:color="auto" w:sz="4" w:space="0"/>
              <w:left w:val="nil"/>
              <w:bottom w:val="single" w:color="auto" w:sz="4" w:space="0"/>
              <w:right w:val="single" w:color="auto" w:sz="4" w:space="0"/>
            </w:tcBorders>
            <w:noWrap/>
            <w:vAlign w:val="bottom"/>
          </w:tcPr>
          <w:p>
            <w:pPr>
              <w:widowControl/>
              <w:spacing w:line="240" w:lineRule="auto"/>
              <w:jc w:val="center"/>
              <w:rPr>
                <w:rFonts w:ascii="宋体" w:hAnsi="宋体" w:cs="宋体"/>
                <w:kern w:val="0"/>
                <w:sz w:val="22"/>
              </w:rPr>
            </w:pPr>
            <w:r>
              <w:rPr>
                <w:rFonts w:hint="eastAsia" w:ascii="宋体" w:hAnsi="宋体" w:cs="宋体"/>
                <w:kern w:val="0"/>
                <w:sz w:val="22"/>
              </w:rPr>
              <w:t>类型</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110</w:t>
            </w:r>
          </w:p>
        </w:tc>
        <w:tc>
          <w:tcPr>
            <w:tcW w:w="6238" w:type="dxa"/>
            <w:gridSpan w:val="2"/>
            <w:tcBorders>
              <w:top w:val="single" w:color="auto" w:sz="4" w:space="0"/>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全年100%（制造业企业、科技型中小企业）</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121</w:t>
            </w:r>
          </w:p>
        </w:tc>
        <w:tc>
          <w:tcPr>
            <w:tcW w:w="3152" w:type="dxa"/>
            <w:vMerge w:val="restart"/>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前三季度75%且第四季度100%（其他企业）</w:t>
            </w:r>
          </w:p>
        </w:tc>
        <w:tc>
          <w:tcPr>
            <w:tcW w:w="3086" w:type="dxa"/>
            <w:tcBorders>
              <w:top w:val="nil"/>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按比例计算</w:t>
            </w:r>
          </w:p>
        </w:tc>
      </w:tr>
      <w:tr>
        <w:tblPrEx>
          <w:tblCellMar>
            <w:top w:w="0" w:type="dxa"/>
            <w:left w:w="108" w:type="dxa"/>
            <w:bottom w:w="0" w:type="dxa"/>
            <w:right w:w="108" w:type="dxa"/>
          </w:tblCellMar>
        </w:tblPrEx>
        <w:trPr>
          <w:trHeight w:val="399"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122</w:t>
            </w:r>
          </w:p>
        </w:tc>
        <w:tc>
          <w:tcPr>
            <w:tcW w:w="3152" w:type="dxa"/>
            <w:vMerge w:val="continue"/>
            <w:tcBorders>
              <w:top w:val="nil"/>
              <w:left w:val="single" w:color="auto" w:sz="4" w:space="0"/>
              <w:bottom w:val="single" w:color="auto" w:sz="4" w:space="0"/>
              <w:right w:val="single" w:color="auto" w:sz="4" w:space="0"/>
            </w:tcBorders>
            <w:noWrap/>
            <w:vAlign w:val="center"/>
          </w:tcPr>
          <w:p>
            <w:pPr>
              <w:widowControl/>
              <w:spacing w:line="240" w:lineRule="auto"/>
              <w:jc w:val="left"/>
              <w:rPr>
                <w:rFonts w:ascii="宋体" w:hAnsi="宋体" w:cs="宋体"/>
                <w:kern w:val="0"/>
                <w:sz w:val="22"/>
              </w:rPr>
            </w:pPr>
          </w:p>
        </w:tc>
        <w:tc>
          <w:tcPr>
            <w:tcW w:w="3086" w:type="dxa"/>
            <w:tcBorders>
              <w:top w:val="nil"/>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按实际发生金额计算</w:t>
            </w:r>
          </w:p>
        </w:tc>
      </w:tr>
    </w:tbl>
    <w:p>
      <w:pPr>
        <w:pStyle w:val="94"/>
        <w:spacing w:line="360" w:lineRule="auto"/>
        <w:ind w:firstLine="480"/>
        <w:rPr>
          <w:rFonts w:hint="eastAsia" w:ascii="宋体" w:hAnsi="宋体" w:eastAsia="宋体" w:cs="宋体"/>
        </w:rPr>
      </w:pPr>
      <w:r>
        <w:rPr>
          <w:rFonts w:hint="eastAsia" w:ascii="宋体" w:hAnsi="宋体" w:eastAsia="宋体" w:cs="宋体"/>
        </w:rPr>
        <w:t>第28.1行“其中：第四季度相关费用加计扣除”：当“创意设计活动加计扣除比例及分配方法”选择“121”或“122”的，填报根据选定的第四季度相关费用计算方法计算的第四季度进行税前加计扣除的金额。当“研发费用加计扣除比例及计算方法”选择“110”时，本行无需填报。</w:t>
      </w:r>
    </w:p>
    <w:p>
      <w:pPr>
        <w:pStyle w:val="94"/>
        <w:spacing w:line="360" w:lineRule="auto"/>
        <w:ind w:firstLine="480"/>
        <w:rPr>
          <w:rFonts w:hint="eastAsia" w:ascii="宋体" w:hAnsi="宋体" w:eastAsia="宋体" w:cs="宋体"/>
        </w:rPr>
      </w:pPr>
      <w:r>
        <w:rPr>
          <w:rFonts w:hint="eastAsia" w:ascii="宋体" w:hAnsi="宋体" w:eastAsia="宋体" w:cs="宋体"/>
        </w:rPr>
        <w:t>第28.2行“前三季度相关费用加计扣除”：当纳税人“创意设计活动加计扣除比例及分配方法”选择“121”或“122”的，填报根据选定的第四季度相关费用计算方法计算的前三季度进行税前加计扣除的金额。当“研发费用加计扣除比例及计算方法”选择“110”时，本行无需填报。</w:t>
      </w:r>
    </w:p>
    <w:p>
      <w:pPr>
        <w:pStyle w:val="94"/>
        <w:spacing w:line="360" w:lineRule="auto"/>
        <w:ind w:firstLine="480"/>
        <w:rPr>
          <w:rFonts w:ascii="宋体" w:hAnsi="宋体" w:eastAsia="宋体" w:cs="宋体"/>
        </w:rPr>
      </w:pPr>
      <w:r>
        <w:rPr>
          <w:rFonts w:hint="eastAsia" w:ascii="宋体" w:hAnsi="宋体" w:eastAsia="宋体" w:cs="宋体"/>
        </w:rPr>
        <w:t>29.第29行“（四）安置残疾人员所支付的工资加计扣除”：填报纳税人根据《财政部 国家税务总局关于安置残疾人员就业有关企业所得税优惠政策问题的通知》（财税〔2009〕70号）等相关税收政策规定安置残疾人员的，按照支付给残疾职工工资的100%加计扣除的金额。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30.第30行“（五）其他”：根据相关行次计算结果填报。本行=第30.1+30.2+30.3行。各行按照以下要求填报：</w:t>
      </w:r>
    </w:p>
    <w:p>
      <w:pPr>
        <w:pStyle w:val="94"/>
        <w:spacing w:line="360" w:lineRule="auto"/>
        <w:ind w:firstLine="480"/>
        <w:rPr>
          <w:rFonts w:hint="eastAsia" w:ascii="宋体" w:hAnsi="宋体" w:eastAsia="宋体" w:cs="宋体"/>
        </w:rPr>
      </w:pPr>
      <w:r>
        <w:rPr>
          <w:rFonts w:hint="eastAsia" w:ascii="宋体" w:hAnsi="宋体" w:eastAsia="宋体" w:cs="宋体"/>
        </w:rPr>
        <w:t>第30.1行“1.企业投入基础研究支出加计扣除”：填报纳税人根据《财政部 税务总局关于企业投入基础研究有关税收优惠政策的公告》（2022年第32号）等相关税收政策规定，出资给非营利性科学技术研究开发机构、高等学校和政府性自然科学基金用于基础研究的支出按照100%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第30.2行“2.高新技术企业设备器具加计扣除”：填报高新技术企业根据《财政部</w:t>
      </w:r>
      <w:r>
        <w:rPr>
          <w:rFonts w:ascii="宋体" w:hAnsi="宋体" w:eastAsia="宋体" w:cs="宋体"/>
        </w:rPr>
        <w:t xml:space="preserve"> </w:t>
      </w:r>
      <w:r>
        <w:rPr>
          <w:rFonts w:hint="eastAsia" w:ascii="宋体" w:hAnsi="宋体" w:eastAsia="宋体" w:cs="宋体"/>
        </w:rPr>
        <w:t>税务总局</w:t>
      </w:r>
      <w:r>
        <w:rPr>
          <w:rFonts w:ascii="宋体" w:hAnsi="宋体" w:eastAsia="宋体" w:cs="宋体"/>
        </w:rPr>
        <w:t xml:space="preserve"> </w:t>
      </w:r>
      <w:r>
        <w:rPr>
          <w:rFonts w:hint="eastAsia" w:ascii="宋体" w:hAnsi="宋体" w:eastAsia="宋体" w:cs="宋体"/>
        </w:rPr>
        <w:t>科技部关于加大支持科技创新税前扣除力度的公告》（</w:t>
      </w:r>
      <w:r>
        <w:rPr>
          <w:rFonts w:ascii="宋体" w:hAnsi="宋体" w:eastAsia="宋体" w:cs="宋体"/>
        </w:rPr>
        <w:t>2022年第28号</w:t>
      </w:r>
      <w:r>
        <w:rPr>
          <w:rFonts w:hint="eastAsia" w:ascii="宋体" w:hAnsi="宋体" w:eastAsia="宋体" w:cs="宋体"/>
        </w:rPr>
        <w:t>）等相关税收政策规定，2022年10月1日至2022年12月31日期间新购置的设备器具加计扣除的金额。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第30.3行“3.其他”：填报纳税人享受的本表未列明的其他加计扣除的税收优惠事项名称、减免税代码及加计扣除的金额。</w:t>
      </w:r>
    </w:p>
    <w:p>
      <w:pPr>
        <w:pStyle w:val="94"/>
        <w:spacing w:line="360" w:lineRule="auto"/>
        <w:ind w:firstLine="480"/>
        <w:rPr>
          <w:rFonts w:ascii="宋体" w:hAnsi="宋体" w:eastAsia="宋体" w:cs="宋体"/>
        </w:rPr>
      </w:pPr>
      <w:r>
        <w:rPr>
          <w:rFonts w:hint="eastAsia" w:ascii="宋体" w:hAnsi="宋体" w:eastAsia="宋体" w:cs="宋体"/>
        </w:rPr>
        <w:t>31.第31行“合计”：填报第1+17+25行金额。</w:t>
      </w:r>
    </w:p>
    <w:p>
      <w:pPr>
        <w:pStyle w:val="94"/>
        <w:spacing w:line="360" w:lineRule="auto"/>
        <w:ind w:firstLine="482"/>
        <w:outlineLvl w:val="0"/>
        <w:rPr>
          <w:rFonts w:ascii="宋体" w:hAnsi="宋体" w:eastAsia="宋体" w:cs="宋体"/>
          <w:b/>
          <w:bCs/>
        </w:rPr>
      </w:pPr>
      <w:bookmarkStart w:id="231" w:name="_Toc266818056_WPSOffice_Level1"/>
      <w:bookmarkStart w:id="232" w:name="_Toc530936457_WPSOffice_Level1"/>
      <w:r>
        <w:rPr>
          <w:rFonts w:hint="eastAsia" w:ascii="宋体" w:hAnsi="宋体" w:eastAsia="宋体" w:cs="宋体"/>
          <w:b/>
          <w:bCs/>
        </w:rPr>
        <w:t>二、表内、表间关系</w:t>
      </w:r>
      <w:bookmarkEnd w:id="231"/>
      <w:bookmarkEnd w:id="232"/>
    </w:p>
    <w:p>
      <w:pPr>
        <w:pStyle w:val="94"/>
        <w:spacing w:line="360" w:lineRule="auto"/>
        <w:ind w:firstLine="480"/>
        <w:outlineLvl w:val="1"/>
        <w:rPr>
          <w:rFonts w:ascii="宋体" w:hAnsi="宋体" w:eastAsia="宋体" w:cs="宋体"/>
        </w:rPr>
      </w:pPr>
      <w:r>
        <w:rPr>
          <w:rFonts w:hint="eastAsia" w:ascii="宋体" w:hAnsi="宋体" w:eastAsia="宋体" w:cs="宋体"/>
        </w:rPr>
        <w:t>（一）表内关系</w:t>
      </w:r>
    </w:p>
    <w:p>
      <w:pPr>
        <w:suppressAutoHyphens/>
        <w:spacing w:line="360" w:lineRule="auto"/>
        <w:ind w:firstLine="480" w:firstLineChars="200"/>
        <w:rPr>
          <w:rFonts w:ascii="宋体" w:hAnsi="宋体" w:cs="宋体"/>
          <w:sz w:val="24"/>
        </w:rPr>
      </w:pPr>
      <w:bookmarkStart w:id="233" w:name="_Toc108476143_WPSOffice_Level3"/>
      <w:bookmarkStart w:id="234" w:name="_Toc226188232_WPSOffice_Level3"/>
      <w:r>
        <w:rPr>
          <w:rFonts w:hint="eastAsia" w:ascii="宋体" w:hAnsi="宋体" w:cs="宋体"/>
          <w:sz w:val="24"/>
        </w:rPr>
        <w:t>1.第1行＝第2+3+9+10+…+16行。</w:t>
      </w:r>
      <w:bookmarkEnd w:id="233"/>
      <w:bookmarkEnd w:id="234"/>
    </w:p>
    <w:p>
      <w:pPr>
        <w:suppressAutoHyphens/>
        <w:spacing w:line="360" w:lineRule="auto"/>
        <w:ind w:firstLine="480" w:firstLineChars="200"/>
        <w:rPr>
          <w:rFonts w:ascii="宋体" w:hAnsi="宋体" w:cs="宋体"/>
          <w:sz w:val="24"/>
        </w:rPr>
      </w:pPr>
      <w:bookmarkStart w:id="235" w:name="_Toc443630325_WPSOffice_Level3"/>
      <w:bookmarkStart w:id="236" w:name="_Toc420637086_WPSOffice_Level3"/>
      <w:r>
        <w:rPr>
          <w:rFonts w:hint="eastAsia" w:ascii="宋体" w:hAnsi="宋体" w:cs="宋体"/>
          <w:sz w:val="24"/>
        </w:rPr>
        <w:t>2.第3行＝第4+5+6+7+8行。</w:t>
      </w:r>
      <w:bookmarkEnd w:id="235"/>
      <w:bookmarkEnd w:id="236"/>
    </w:p>
    <w:p>
      <w:pPr>
        <w:suppressAutoHyphens/>
        <w:spacing w:line="360" w:lineRule="auto"/>
        <w:ind w:firstLine="480" w:firstLineChars="200"/>
        <w:rPr>
          <w:rFonts w:ascii="宋体" w:hAnsi="宋体" w:cs="宋体"/>
          <w:sz w:val="24"/>
        </w:rPr>
      </w:pPr>
      <w:r>
        <w:rPr>
          <w:rFonts w:hint="eastAsia" w:ascii="宋体" w:hAnsi="宋体" w:cs="宋体"/>
          <w:sz w:val="24"/>
        </w:rPr>
        <w:t>3.第16行＝第16.1+16.2行。</w:t>
      </w:r>
    </w:p>
    <w:p>
      <w:pPr>
        <w:suppressAutoHyphens/>
        <w:spacing w:line="360" w:lineRule="auto"/>
        <w:ind w:firstLine="480" w:firstLineChars="200"/>
        <w:rPr>
          <w:rFonts w:ascii="宋体" w:hAnsi="宋体" w:cs="宋体"/>
          <w:sz w:val="24"/>
        </w:rPr>
      </w:pPr>
      <w:bookmarkStart w:id="237" w:name="_Toc1089190929_WPSOffice_Level3"/>
      <w:bookmarkStart w:id="238" w:name="_Toc1503551945_WPSOffice_Level3"/>
      <w:r>
        <w:rPr>
          <w:rFonts w:hint="eastAsia" w:ascii="宋体" w:hAnsi="宋体" w:cs="宋体"/>
          <w:sz w:val="24"/>
        </w:rPr>
        <w:t>4.第17行＝第18+19+23+24行。</w:t>
      </w:r>
      <w:bookmarkEnd w:id="237"/>
      <w:bookmarkEnd w:id="238"/>
    </w:p>
    <w:p>
      <w:pPr>
        <w:suppressAutoHyphens/>
        <w:spacing w:line="360" w:lineRule="auto"/>
        <w:ind w:firstLine="480" w:firstLineChars="200"/>
        <w:rPr>
          <w:rFonts w:ascii="宋体" w:hAnsi="宋体" w:cs="宋体"/>
          <w:sz w:val="24"/>
        </w:rPr>
      </w:pPr>
      <w:bookmarkStart w:id="239" w:name="_Toc768319126_WPSOffice_Level3"/>
      <w:bookmarkStart w:id="240" w:name="_Toc987223608_WPSOffice_Level3"/>
      <w:r>
        <w:rPr>
          <w:rFonts w:hint="eastAsia" w:ascii="宋体" w:hAnsi="宋体" w:cs="宋体"/>
          <w:sz w:val="24"/>
        </w:rPr>
        <w:t>5.第19行＝第20+21+22行。</w:t>
      </w:r>
      <w:bookmarkEnd w:id="239"/>
      <w:bookmarkEnd w:id="240"/>
    </w:p>
    <w:p>
      <w:pPr>
        <w:suppressAutoHyphens/>
        <w:spacing w:line="360" w:lineRule="auto"/>
        <w:ind w:firstLine="480" w:firstLineChars="200"/>
        <w:rPr>
          <w:rFonts w:ascii="宋体" w:hAnsi="宋体" w:cs="宋体"/>
          <w:sz w:val="24"/>
        </w:rPr>
      </w:pPr>
      <w:bookmarkStart w:id="241" w:name="_Toc2023087427_WPSOffice_Level3"/>
      <w:bookmarkStart w:id="242" w:name="_Toc354427734_WPSOffice_Level3"/>
      <w:r>
        <w:rPr>
          <w:rFonts w:hint="eastAsia" w:ascii="宋体" w:hAnsi="宋体" w:cs="宋体"/>
          <w:sz w:val="24"/>
        </w:rPr>
        <w:t>6.第24行＝第24.1+24.2行。</w:t>
      </w:r>
      <w:bookmarkEnd w:id="241"/>
      <w:bookmarkEnd w:id="242"/>
    </w:p>
    <w:p>
      <w:pPr>
        <w:suppressAutoHyphens/>
        <w:spacing w:line="360" w:lineRule="auto"/>
        <w:ind w:firstLine="480" w:firstLineChars="200"/>
        <w:rPr>
          <w:rFonts w:ascii="宋体" w:hAnsi="宋体" w:cs="宋体"/>
          <w:sz w:val="24"/>
        </w:rPr>
      </w:pPr>
      <w:bookmarkStart w:id="243" w:name="_Toc1002928478_WPSOffice_Level3"/>
      <w:bookmarkStart w:id="244" w:name="_Toc1756830786_WPSOffice_Level3"/>
      <w:r>
        <w:rPr>
          <w:rFonts w:hint="eastAsia" w:ascii="宋体" w:hAnsi="宋体" w:cs="宋体"/>
          <w:sz w:val="24"/>
        </w:rPr>
        <w:t>7.第25行＝第26+27+28+29+30行。</w:t>
      </w:r>
      <w:bookmarkEnd w:id="243"/>
      <w:bookmarkEnd w:id="244"/>
    </w:p>
    <w:p>
      <w:pPr>
        <w:suppressAutoHyphens/>
        <w:spacing w:line="360" w:lineRule="auto"/>
        <w:ind w:firstLine="480" w:firstLineChars="200"/>
        <w:rPr>
          <w:rFonts w:ascii="宋体" w:hAnsi="宋体" w:cs="宋体"/>
          <w:sz w:val="24"/>
        </w:rPr>
      </w:pPr>
      <w:bookmarkStart w:id="245" w:name="_Toc2135708345_WPSOffice_Level3"/>
      <w:bookmarkStart w:id="246" w:name="_Toc1607899698_WPSOffice_Level3"/>
      <w:r>
        <w:rPr>
          <w:rFonts w:hint="eastAsia" w:ascii="宋体" w:hAnsi="宋体" w:cs="宋体"/>
          <w:sz w:val="24"/>
        </w:rPr>
        <w:t>8.第26行和第27行不可同时填报。</w:t>
      </w:r>
      <w:bookmarkEnd w:id="245"/>
      <w:bookmarkEnd w:id="246"/>
    </w:p>
    <w:p>
      <w:pPr>
        <w:pStyle w:val="94"/>
        <w:spacing w:line="360" w:lineRule="auto"/>
        <w:ind w:firstLine="480"/>
        <w:rPr>
          <w:rFonts w:ascii="宋体" w:hAnsi="宋体" w:eastAsia="宋体" w:cs="宋体"/>
        </w:rPr>
      </w:pPr>
      <w:r>
        <w:rPr>
          <w:rFonts w:hint="eastAsia" w:ascii="宋体" w:hAnsi="宋体" w:eastAsia="宋体" w:cs="宋体"/>
        </w:rPr>
        <w:t>9.第28行＝第28.1+28.2行。</w:t>
      </w:r>
    </w:p>
    <w:p>
      <w:pPr>
        <w:pStyle w:val="94"/>
        <w:spacing w:line="360" w:lineRule="auto"/>
        <w:ind w:firstLine="480"/>
        <w:rPr>
          <w:rFonts w:ascii="宋体" w:hAnsi="宋体" w:eastAsia="宋体" w:cs="宋体"/>
        </w:rPr>
      </w:pPr>
      <w:r>
        <w:rPr>
          <w:rFonts w:hint="eastAsia" w:ascii="宋体" w:hAnsi="宋体" w:eastAsia="宋体" w:cs="宋体"/>
        </w:rPr>
        <w:t>10.第30行＝第30.1+30.2+30.3行。</w:t>
      </w:r>
    </w:p>
    <w:p>
      <w:pPr>
        <w:suppressAutoHyphens/>
        <w:spacing w:line="360" w:lineRule="auto"/>
        <w:ind w:firstLine="480" w:firstLineChars="200"/>
        <w:rPr>
          <w:rFonts w:ascii="宋体" w:hAnsi="宋体" w:cs="宋体"/>
          <w:sz w:val="24"/>
        </w:rPr>
      </w:pPr>
      <w:bookmarkStart w:id="247" w:name="_Toc144220333_WPSOffice_Level3"/>
      <w:bookmarkStart w:id="248" w:name="_Toc434599318_WPSOffice_Level3"/>
      <w:r>
        <w:rPr>
          <w:rFonts w:hint="eastAsia" w:ascii="宋体" w:hAnsi="宋体" w:cs="宋体"/>
          <w:sz w:val="24"/>
        </w:rPr>
        <w:t>11.第31行＝第1+17+25行。</w:t>
      </w:r>
      <w:bookmarkEnd w:id="247"/>
      <w:bookmarkEnd w:id="248"/>
    </w:p>
    <w:p>
      <w:pPr>
        <w:pStyle w:val="94"/>
        <w:spacing w:line="360" w:lineRule="auto"/>
        <w:ind w:firstLine="480"/>
        <w:outlineLvl w:val="1"/>
        <w:rPr>
          <w:rFonts w:ascii="宋体" w:hAnsi="宋体" w:eastAsia="宋体" w:cs="宋体"/>
        </w:rPr>
      </w:pPr>
      <w:r>
        <w:rPr>
          <w:rFonts w:hint="eastAsia" w:ascii="宋体" w:hAnsi="宋体" w:eastAsia="宋体" w:cs="宋体"/>
        </w:rPr>
        <w:t>（二）表间关系</w:t>
      </w:r>
    </w:p>
    <w:p>
      <w:pPr>
        <w:pStyle w:val="94"/>
        <w:spacing w:line="360" w:lineRule="auto"/>
        <w:ind w:firstLine="480"/>
        <w:rPr>
          <w:rFonts w:ascii="宋体" w:hAnsi="宋体" w:eastAsia="宋体" w:cs="宋体"/>
        </w:rPr>
      </w:pPr>
      <w:r>
        <w:rPr>
          <w:rFonts w:hint="eastAsia" w:ascii="宋体" w:hAnsi="宋体" w:eastAsia="宋体" w:cs="宋体"/>
        </w:rPr>
        <w:t>1.第3行＝表A107011第8行（合计行）第17列。</w:t>
      </w:r>
    </w:p>
    <w:p>
      <w:pPr>
        <w:pStyle w:val="94"/>
        <w:spacing w:line="360" w:lineRule="auto"/>
        <w:ind w:firstLine="480"/>
        <w:rPr>
          <w:rFonts w:ascii="宋体" w:hAnsi="宋体" w:eastAsia="宋体" w:cs="宋体"/>
        </w:rPr>
      </w:pPr>
      <w:r>
        <w:rPr>
          <w:rFonts w:hint="eastAsia" w:ascii="宋体" w:hAnsi="宋体" w:eastAsia="宋体" w:cs="宋体"/>
        </w:rPr>
        <w:t>2.第4行＝表A107011第9行第17列。</w:t>
      </w:r>
    </w:p>
    <w:p>
      <w:pPr>
        <w:pStyle w:val="94"/>
        <w:spacing w:line="360" w:lineRule="auto"/>
        <w:ind w:firstLine="480"/>
        <w:rPr>
          <w:rFonts w:ascii="宋体" w:hAnsi="宋体" w:eastAsia="宋体" w:cs="宋体"/>
        </w:rPr>
      </w:pPr>
      <w:r>
        <w:rPr>
          <w:rFonts w:hint="eastAsia" w:ascii="宋体" w:hAnsi="宋体" w:eastAsia="宋体" w:cs="宋体"/>
        </w:rPr>
        <w:t>3.第5行＝表A107011第10行第17列。</w:t>
      </w:r>
    </w:p>
    <w:p>
      <w:pPr>
        <w:pStyle w:val="94"/>
        <w:spacing w:line="360" w:lineRule="auto"/>
        <w:ind w:firstLine="480"/>
        <w:rPr>
          <w:rFonts w:ascii="宋体" w:hAnsi="宋体" w:eastAsia="宋体" w:cs="宋体"/>
        </w:rPr>
      </w:pPr>
      <w:r>
        <w:rPr>
          <w:rFonts w:hint="eastAsia" w:ascii="宋体" w:hAnsi="宋体" w:eastAsia="宋体" w:cs="宋体"/>
        </w:rPr>
        <w:t>4.第6行＝表A107011第11行第17列。</w:t>
      </w:r>
    </w:p>
    <w:p>
      <w:pPr>
        <w:pStyle w:val="94"/>
        <w:spacing w:line="360" w:lineRule="auto"/>
        <w:ind w:firstLine="480"/>
        <w:rPr>
          <w:rFonts w:ascii="宋体" w:hAnsi="宋体" w:eastAsia="宋体" w:cs="宋体"/>
        </w:rPr>
      </w:pPr>
      <w:r>
        <w:rPr>
          <w:rFonts w:hint="eastAsia" w:ascii="宋体" w:hAnsi="宋体" w:eastAsia="宋体" w:cs="宋体"/>
        </w:rPr>
        <w:t>5.第7行＝表A107011第12行第17列。</w:t>
      </w:r>
    </w:p>
    <w:p>
      <w:pPr>
        <w:pStyle w:val="94"/>
        <w:spacing w:line="360" w:lineRule="auto"/>
        <w:ind w:firstLine="480"/>
        <w:rPr>
          <w:rFonts w:ascii="宋体" w:hAnsi="宋体" w:eastAsia="宋体" w:cs="宋体"/>
        </w:rPr>
      </w:pPr>
      <w:r>
        <w:rPr>
          <w:rFonts w:hint="eastAsia" w:ascii="宋体" w:hAnsi="宋体" w:eastAsia="宋体" w:cs="宋体"/>
        </w:rPr>
        <w:t>6.第8行＝表A107011第13行第17列。</w:t>
      </w:r>
    </w:p>
    <w:p>
      <w:pPr>
        <w:pStyle w:val="94"/>
        <w:spacing w:line="360" w:lineRule="auto"/>
        <w:ind w:firstLine="480"/>
        <w:rPr>
          <w:rFonts w:ascii="宋体" w:hAnsi="宋体" w:eastAsia="宋体" w:cs="宋体"/>
        </w:rPr>
      </w:pPr>
      <w:r>
        <w:rPr>
          <w:rFonts w:hint="eastAsia" w:ascii="宋体" w:hAnsi="宋体" w:eastAsia="宋体" w:cs="宋体"/>
        </w:rPr>
        <w:t>7.当表A000000“210-3”项目未填有入库编号时，第26行＝表A107012第51行。</w:t>
      </w:r>
    </w:p>
    <w:p>
      <w:pPr>
        <w:pStyle w:val="94"/>
        <w:spacing w:line="360" w:lineRule="auto"/>
        <w:ind w:firstLine="480"/>
        <w:rPr>
          <w:rFonts w:ascii="宋体" w:hAnsi="宋体" w:eastAsia="宋体" w:cs="宋体"/>
        </w:rPr>
      </w:pPr>
      <w:r>
        <w:rPr>
          <w:rFonts w:hint="eastAsia" w:ascii="宋体" w:hAnsi="宋体" w:eastAsia="宋体" w:cs="宋体"/>
        </w:rPr>
        <w:t>8.当表A000000“210-3”项目填有入库编号时，第27行＝表A107012第51行。</w:t>
      </w:r>
    </w:p>
    <w:p>
      <w:pPr>
        <w:pStyle w:val="94"/>
        <w:ind w:firstLine="480"/>
        <w:rPr>
          <w:rFonts w:hint="eastAsia" w:ascii="宋体" w:hAnsi="宋体" w:eastAsia="宋体"/>
          <w:sz w:val="24"/>
          <w:lang w:eastAsia="zh-CN"/>
        </w:rPr>
        <w:sectPr>
          <w:pgSz w:w="11906" w:h="16838"/>
          <w:pgMar w:top="1928" w:right="1418" w:bottom="1985" w:left="1418" w:header="851" w:footer="992" w:gutter="0"/>
          <w:pgNumType w:fmt="decimal"/>
          <w:cols w:space="720" w:num="1"/>
          <w:docGrid w:linePitch="312" w:charSpace="0"/>
        </w:sectPr>
      </w:pPr>
      <w:r>
        <w:rPr>
          <w:rFonts w:hint="eastAsia" w:ascii="宋体" w:hAnsi="宋体" w:eastAsia="宋体" w:cs="宋体"/>
        </w:rPr>
        <w:t>9.第31行＝表A100000第17行</w:t>
      </w:r>
      <w:r>
        <w:rPr>
          <w:rFonts w:hint="eastAsia" w:ascii="宋体" w:hAnsi="宋体" w:eastAsia="宋体" w:cs="宋体"/>
          <w:lang w:eastAsia="zh-CN"/>
        </w:rPr>
        <w:t>。</w:t>
      </w:r>
    </w:p>
    <w:p>
      <w:pPr>
        <w:tabs>
          <w:tab w:val="center" w:pos="6946"/>
        </w:tabs>
        <w:spacing w:line="360" w:lineRule="auto"/>
        <w:jc w:val="left"/>
        <w:outlineLvl w:val="0"/>
        <w:rPr>
          <w:rFonts w:ascii="宋体" w:hAnsi="宋体" w:cs="宋体"/>
          <w:b/>
          <w:bCs/>
          <w:kern w:val="0"/>
          <w:sz w:val="28"/>
          <w:szCs w:val="28"/>
        </w:rPr>
      </w:pPr>
      <w:bookmarkStart w:id="249" w:name="_Toc24965057"/>
      <w:bookmarkStart w:id="250" w:name="_Toc17492"/>
      <w:r>
        <w:rPr>
          <w:rFonts w:ascii="宋体" w:hAnsi="宋体" w:cs="宋体"/>
          <w:b/>
          <w:bCs/>
          <w:kern w:val="0"/>
          <w:sz w:val="28"/>
          <w:szCs w:val="28"/>
        </w:rPr>
        <w:t>A107011</w:t>
      </w:r>
      <w:r>
        <w:rPr>
          <w:rFonts w:hint="eastAsia" w:ascii="宋体" w:hAnsi="宋体" w:cs="宋体"/>
          <w:b/>
          <w:bCs/>
          <w:kern w:val="0"/>
          <w:sz w:val="28"/>
          <w:szCs w:val="28"/>
        </w:rPr>
        <w:tab/>
      </w:r>
      <w:r>
        <w:rPr>
          <w:rFonts w:hint="eastAsia" w:ascii="宋体" w:hAnsi="宋体" w:cs="宋体"/>
          <w:b/>
          <w:bCs/>
          <w:kern w:val="0"/>
          <w:sz w:val="28"/>
          <w:szCs w:val="28"/>
        </w:rPr>
        <w:t>符合条件的居民企业之间的股息、红利等权益性投资收益优惠明细表</w:t>
      </w:r>
      <w:bookmarkEnd w:id="249"/>
      <w:bookmarkEnd w:id="250"/>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3"/>
        <w:gridCol w:w="866"/>
        <w:gridCol w:w="627"/>
        <w:gridCol w:w="666"/>
        <w:gridCol w:w="627"/>
        <w:gridCol w:w="835"/>
        <w:gridCol w:w="1059"/>
        <w:gridCol w:w="11"/>
        <w:gridCol w:w="771"/>
        <w:gridCol w:w="1043"/>
        <w:gridCol w:w="863"/>
        <w:gridCol w:w="860"/>
        <w:gridCol w:w="666"/>
        <w:gridCol w:w="866"/>
        <w:gridCol w:w="1116"/>
        <w:gridCol w:w="1283"/>
        <w:gridCol w:w="741"/>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16"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703"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w:t>
            </w:r>
          </w:p>
        </w:tc>
        <w:tc>
          <w:tcPr>
            <w:tcW w:w="8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被投资企业统一社会信用代码（纳税人识别号）</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投资性质</w:t>
            </w:r>
          </w:p>
        </w:tc>
        <w:tc>
          <w:tcPr>
            <w:tcW w:w="6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投资成本</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投资比例</w:t>
            </w:r>
          </w:p>
        </w:tc>
        <w:tc>
          <w:tcPr>
            <w:tcW w:w="1905"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被投资企业利润分配确认金额</w:t>
            </w:r>
          </w:p>
        </w:tc>
        <w:tc>
          <w:tcPr>
            <w:tcW w:w="2677"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被投资企业清算确认金额</w:t>
            </w:r>
          </w:p>
        </w:tc>
        <w:tc>
          <w:tcPr>
            <w:tcW w:w="5532" w:type="dxa"/>
            <w:gridSpan w:val="6"/>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撤回或减少投资确认金额</w:t>
            </w:r>
          </w:p>
        </w:tc>
        <w:tc>
          <w:tcPr>
            <w:tcW w:w="708" w:type="dxa"/>
            <w:vMerge w:val="restart"/>
            <w:tcBorders>
              <w:top w:val="single" w:color="auto" w:sz="12"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被投资企业做出利润分配或转股决定时间</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依决定归属于本公司的股息、红利等权益性投资收益金额</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分得的被投资企业清算剩余资产</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被清算企业累计未分配利润和累计盈余公积应享有部分</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从被投资企业撤回或减少投资取得的资产</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减少投资比例</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收回初始投资成本</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取得资产中超过收回初始投资成本部分</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撤回或减少投资应享有被投资企业累计未分配利润和累计盈余公积</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708" w:type="dxa"/>
            <w:vMerge w:val="continue"/>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lef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2</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3</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4</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5</w:t>
            </w: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6</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7</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8</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9</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hAnsi="宋体" w:cs="宋体"/>
                <w:kern w:val="0"/>
                <w:sz w:val="20"/>
                <w:szCs w:val="20"/>
              </w:rPr>
            </w:pPr>
            <w:r>
              <w:rPr>
                <w:rFonts w:ascii="宋体" w:hAnsi="宋体" w:cs="宋体"/>
                <w:kern w:val="0"/>
                <w:sz w:val="20"/>
                <w:szCs w:val="20"/>
              </w:rPr>
              <w:t>10(8</w:t>
            </w:r>
            <w:r>
              <w:rPr>
                <w:rFonts w:hint="eastAsia" w:ascii="宋体" w:hAnsi="宋体" w:cs="宋体"/>
                <w:kern w:val="0"/>
                <w:sz w:val="20"/>
                <w:szCs w:val="20"/>
              </w:rPr>
              <w:t>与</w:t>
            </w:r>
            <w:r>
              <w:rPr>
                <w:rFonts w:ascii="宋体" w:hAnsi="宋体" w:cs="宋体"/>
                <w:kern w:val="0"/>
                <w:sz w:val="20"/>
                <w:szCs w:val="20"/>
              </w:rPr>
              <w:t>9</w:t>
            </w:r>
            <w:r>
              <w:rPr>
                <w:rFonts w:hint="eastAsia" w:ascii="宋体" w:hAnsi="宋体" w:cs="宋体"/>
                <w:kern w:val="0"/>
                <w:sz w:val="20"/>
                <w:szCs w:val="20"/>
              </w:rPr>
              <w:t>孰小</w:t>
            </w:r>
            <w:r>
              <w:rPr>
                <w:rFonts w:ascii="宋体" w:hAnsi="宋体" w:cs="宋体"/>
                <w:kern w:val="0"/>
                <w:sz w:val="20"/>
                <w:szCs w:val="20"/>
              </w:rPr>
              <w:t>)</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11</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12</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13(4</w:t>
            </w:r>
            <w:r>
              <w:rPr>
                <w:rFonts w:hint="eastAsia" w:ascii="宋体" w:hAnsi="宋体" w:cs="宋体"/>
                <w:kern w:val="0"/>
                <w:sz w:val="20"/>
                <w:szCs w:val="20"/>
              </w:rPr>
              <w:t>×</w:t>
            </w:r>
            <w:r>
              <w:rPr>
                <w:rFonts w:ascii="宋体" w:hAnsi="宋体" w:cs="宋体"/>
                <w:kern w:val="0"/>
                <w:sz w:val="20"/>
                <w:szCs w:val="20"/>
              </w:rPr>
              <w:t>12)</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14(11-13)</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15</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16(14</w:t>
            </w:r>
            <w:r>
              <w:rPr>
                <w:rFonts w:hint="eastAsia" w:ascii="宋体" w:hAnsi="宋体" w:cs="宋体"/>
                <w:kern w:val="0"/>
                <w:sz w:val="20"/>
                <w:szCs w:val="20"/>
              </w:rPr>
              <w:t>与</w:t>
            </w:r>
            <w:r>
              <w:rPr>
                <w:rFonts w:ascii="宋体" w:hAnsi="宋体" w:cs="宋体"/>
                <w:kern w:val="0"/>
                <w:sz w:val="20"/>
                <w:szCs w:val="20"/>
              </w:rPr>
              <w:t>15</w:t>
            </w:r>
            <w:r>
              <w:rPr>
                <w:rFonts w:hint="eastAsia" w:ascii="宋体" w:hAnsi="宋体" w:cs="宋体"/>
                <w:kern w:val="0"/>
                <w:sz w:val="20"/>
                <w:szCs w:val="20"/>
              </w:rPr>
              <w:t>孰小</w:t>
            </w:r>
            <w:r>
              <w:rPr>
                <w:rFonts w:ascii="宋体" w:hAnsi="宋体" w:cs="宋体"/>
                <w:kern w:val="0"/>
                <w:sz w:val="20"/>
                <w:szCs w:val="20"/>
              </w:rPr>
              <w:t>)</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17(7+</w:t>
            </w:r>
            <w:r>
              <w:rPr>
                <w:rFonts w:ascii="宋体" w:cs="宋体"/>
                <w:kern w:val="0"/>
                <w:sz w:val="20"/>
                <w:szCs w:val="20"/>
              </w:rPr>
              <w:br w:type="textWrapping"/>
            </w:r>
            <w:r>
              <w:rPr>
                <w:rFonts w:ascii="宋体" w:hAnsi="宋体" w:cs="宋体"/>
                <w:kern w:val="0"/>
                <w:sz w:val="20"/>
                <w:szCs w:val="20"/>
              </w:rPr>
              <w:t>10+16)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b/>
                <w:bCs/>
                <w:kern w:val="0"/>
                <w:sz w:val="20"/>
                <w:szCs w:val="20"/>
              </w:rPr>
            </w:pPr>
            <w:r>
              <w:rPr>
                <w:rFonts w:hint="eastAsia" w:ascii="宋体" w:hAnsi="宋体" w:cs="宋体"/>
                <w:b/>
                <w:bCs/>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8</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合计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其中：直接投资或非</w:t>
            </w:r>
            <w:r>
              <w:rPr>
                <w:rFonts w:ascii="宋体" w:hAnsi="宋体" w:cs="宋体"/>
                <w:kern w:val="0"/>
                <w:sz w:val="20"/>
                <w:szCs w:val="20"/>
              </w:rPr>
              <w:t>H</w:t>
            </w:r>
            <w:r>
              <w:rPr>
                <w:rFonts w:hint="eastAsia" w:ascii="宋体" w:hAnsi="宋体" w:cs="宋体"/>
                <w:kern w:val="0"/>
                <w:sz w:val="20"/>
                <w:szCs w:val="20"/>
              </w:rPr>
              <w:t>股票投资</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kern w:val="0"/>
                <w:sz w:val="20"/>
                <w:szCs w:val="20"/>
              </w:rPr>
            </w:pPr>
            <w:r>
              <w:rPr>
                <w:rFonts w:ascii="宋体" w:hAnsi="宋体" w:cs="宋体"/>
                <w:kern w:val="0"/>
                <w:sz w:val="20"/>
                <w:szCs w:val="20"/>
              </w:rPr>
              <w:t>10</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沪港通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深港通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创新企业</w:t>
            </w:r>
            <w:r>
              <w:rPr>
                <w:rFonts w:ascii="宋体" w:hAnsi="宋体" w:cs="宋体"/>
                <w:kern w:val="0"/>
                <w:sz w:val="20"/>
                <w:szCs w:val="20"/>
              </w:rPr>
              <w:t xml:space="preserve">CDR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 w:hRule="atLeast"/>
          <w:jc w:val="center"/>
        </w:trPr>
        <w:tc>
          <w:tcPr>
            <w:tcW w:w="61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13603" w:type="dxa"/>
            <w:gridSpan w:val="17"/>
            <w:tcBorders>
              <w:top w:val="single" w:color="auto" w:sz="6" w:space="0"/>
              <w:left w:val="single" w:color="auto" w:sz="6" w:space="0"/>
              <w:bottom w:val="single" w:color="auto" w:sz="12"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永续债</w:t>
            </w:r>
          </w:p>
        </w:tc>
        <w:tc>
          <w:tcPr>
            <w:tcW w:w="70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cs="宋体"/>
                <w:kern w:val="0"/>
                <w:sz w:val="20"/>
                <w:szCs w:val="20"/>
              </w:rPr>
            </w:pPr>
          </w:p>
        </w:tc>
      </w:tr>
    </w:tbl>
    <w:p>
      <w:pPr>
        <w:spacing w:line="360" w:lineRule="auto"/>
        <w:ind w:firstLine="480" w:firstLineChars="200"/>
        <w:rPr>
          <w:rFonts w:ascii="宋体" w:hAnsi="宋体"/>
          <w:sz w:val="24"/>
        </w:rPr>
        <w:sectPr>
          <w:pgSz w:w="16838" w:h="11906" w:orient="landscape"/>
          <w:pgMar w:top="1134" w:right="1418" w:bottom="1134" w:left="1418" w:header="851" w:footer="992" w:gutter="0"/>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251" w:name="_Toc499456600"/>
      <w:bookmarkStart w:id="252" w:name="_Toc24965058"/>
      <w:bookmarkStart w:id="253" w:name="_Toc13717"/>
      <w:r>
        <w:rPr>
          <w:rFonts w:ascii="宋体" w:hAnsi="宋体" w:cs="宋体"/>
          <w:b/>
          <w:kern w:val="44"/>
          <w:sz w:val="28"/>
          <w:szCs w:val="28"/>
          <w:lang w:val="zh-CN"/>
        </w:rPr>
        <w:t>A107011</w:t>
      </w:r>
      <w:r>
        <w:rPr>
          <w:rFonts w:hint="eastAsia" w:ascii="宋体" w:hAnsi="宋体" w:cs="宋体"/>
          <w:b/>
          <w:kern w:val="44"/>
          <w:sz w:val="28"/>
          <w:szCs w:val="28"/>
          <w:lang w:val="zh-CN"/>
        </w:rPr>
        <w:t>《符合条件的居民企业之间的股息、红利等权益性投资收益优惠明细表》填报说明</w:t>
      </w:r>
      <w:bookmarkEnd w:id="251"/>
      <w:bookmarkEnd w:id="252"/>
      <w:bookmarkEnd w:id="253"/>
    </w:p>
    <w:p>
      <w:pPr>
        <w:spacing w:line="360" w:lineRule="auto"/>
        <w:ind w:firstLine="480" w:firstLineChars="200"/>
        <w:rPr>
          <w:rFonts w:ascii="宋体" w:hAnsi="宋体"/>
          <w:sz w:val="24"/>
        </w:rPr>
      </w:pPr>
      <w:r>
        <w:rPr>
          <w:rFonts w:hint="eastAsia" w:ascii="宋体" w:hAnsi="宋体"/>
          <w:sz w:val="24"/>
        </w:rPr>
        <w:t>本表适用于享受符合条件的居民企业之间的股息、红利等权益性投资收益优惠的纳税人填报。纳税人根据税法、《财政部　国家税务总局关于企业清算业务企业所得税处理若干问题的通知》（财税〔</w:t>
      </w:r>
      <w:r>
        <w:rPr>
          <w:rFonts w:ascii="宋体" w:hAnsi="宋体"/>
          <w:sz w:val="24"/>
        </w:rPr>
        <w:t>2009</w:t>
      </w:r>
      <w:r>
        <w:rPr>
          <w:rFonts w:hint="eastAsia" w:ascii="宋体" w:hAnsi="宋体"/>
          <w:sz w:val="24"/>
        </w:rPr>
        <w:t>〕</w:t>
      </w:r>
      <w:r>
        <w:rPr>
          <w:rFonts w:ascii="宋体" w:hAnsi="宋体"/>
          <w:sz w:val="24"/>
        </w:rPr>
        <w:t>60</w:t>
      </w:r>
      <w:r>
        <w:rPr>
          <w:rFonts w:hint="eastAsia" w:ascii="宋体" w:hAnsi="宋体"/>
          <w:sz w:val="24"/>
        </w:rPr>
        <w:t>号）、《财政部　国家税务总局关于执行企业所得税优惠政策若干问题的通知》（财税〔</w:t>
      </w:r>
      <w:r>
        <w:rPr>
          <w:rFonts w:ascii="宋体" w:hAnsi="宋体"/>
          <w:sz w:val="24"/>
        </w:rPr>
        <w:t>2009</w:t>
      </w:r>
      <w:r>
        <w:rPr>
          <w:rFonts w:hint="eastAsia" w:ascii="宋体" w:hAnsi="宋体"/>
          <w:sz w:val="24"/>
        </w:rPr>
        <w:t>〕</w:t>
      </w:r>
      <w:r>
        <w:rPr>
          <w:rFonts w:ascii="宋体" w:hAnsi="宋体"/>
          <w:sz w:val="24"/>
        </w:rPr>
        <w:t>69</w:t>
      </w:r>
      <w:r>
        <w:rPr>
          <w:rFonts w:hint="eastAsia" w:ascii="宋体" w:hAnsi="宋体"/>
          <w:sz w:val="24"/>
        </w:rPr>
        <w:t>号）、《国家税务总局关于贯彻落实企业所得税法若干税收问题的通知》（国税函〔</w:t>
      </w:r>
      <w:r>
        <w:rPr>
          <w:rFonts w:ascii="宋体" w:hAnsi="宋体"/>
          <w:sz w:val="24"/>
        </w:rPr>
        <w:t>2010</w:t>
      </w:r>
      <w:r>
        <w:rPr>
          <w:rFonts w:hint="eastAsia" w:ascii="宋体" w:hAnsi="宋体"/>
          <w:sz w:val="24"/>
        </w:rPr>
        <w:t>〕</w:t>
      </w:r>
      <w:r>
        <w:rPr>
          <w:rFonts w:ascii="宋体" w:hAnsi="宋体"/>
          <w:sz w:val="24"/>
        </w:rPr>
        <w:t>79</w:t>
      </w:r>
      <w:r>
        <w:rPr>
          <w:rFonts w:hint="eastAsia" w:ascii="宋体" w:hAnsi="宋体"/>
          <w:sz w:val="24"/>
        </w:rPr>
        <w:t>号）、《国家税务总局关于企业所得税若干问题的公告》（国家税务总局公告</w:t>
      </w:r>
      <w:r>
        <w:rPr>
          <w:rFonts w:ascii="宋体" w:hAnsi="宋体"/>
          <w:sz w:val="24"/>
        </w:rPr>
        <w:t>2011</w:t>
      </w:r>
      <w:r>
        <w:rPr>
          <w:rFonts w:hint="eastAsia" w:ascii="宋体" w:hAnsi="宋体"/>
          <w:sz w:val="24"/>
        </w:rPr>
        <w:t>年第</w:t>
      </w:r>
      <w:r>
        <w:rPr>
          <w:rFonts w:ascii="宋体" w:hAnsi="宋体"/>
          <w:sz w:val="24"/>
        </w:rPr>
        <w:t>34</w:t>
      </w:r>
      <w:r>
        <w:rPr>
          <w:rFonts w:hint="eastAsia" w:ascii="宋体" w:hAnsi="宋体"/>
          <w:sz w:val="24"/>
        </w:rPr>
        <w:t>号）、《财政部</w:t>
      </w:r>
      <w:r>
        <w:rPr>
          <w:rFonts w:ascii="宋体" w:hAnsi="宋体"/>
          <w:sz w:val="24"/>
        </w:rPr>
        <w:t xml:space="preserve"> </w:t>
      </w:r>
      <w:r>
        <w:rPr>
          <w:rFonts w:hint="eastAsia" w:ascii="宋体" w:hAnsi="宋体"/>
          <w:sz w:val="24"/>
        </w:rPr>
        <w:t>国家税务总局</w:t>
      </w:r>
      <w:r>
        <w:rPr>
          <w:rFonts w:ascii="宋体" w:hAnsi="宋体"/>
          <w:sz w:val="24"/>
        </w:rPr>
        <w:t xml:space="preserve"> </w:t>
      </w:r>
      <w:r>
        <w:rPr>
          <w:rFonts w:hint="eastAsia" w:ascii="宋体" w:hAnsi="宋体"/>
          <w:sz w:val="24"/>
        </w:rPr>
        <w:t>证监会关于沪港股票市场交易互联互通机制试点有关税收政策的通知》（财税〔</w:t>
      </w:r>
      <w:r>
        <w:rPr>
          <w:rFonts w:ascii="宋体" w:hAnsi="宋体"/>
          <w:sz w:val="24"/>
        </w:rPr>
        <w:t>2014</w:t>
      </w:r>
      <w:r>
        <w:rPr>
          <w:rFonts w:hint="eastAsia" w:ascii="宋体" w:hAnsi="宋体"/>
          <w:sz w:val="24"/>
        </w:rPr>
        <w:t>〕</w:t>
      </w:r>
      <w:r>
        <w:rPr>
          <w:rFonts w:ascii="宋体" w:hAnsi="宋体"/>
          <w:sz w:val="24"/>
        </w:rPr>
        <w:t>81</w:t>
      </w:r>
      <w:r>
        <w:rPr>
          <w:rFonts w:hint="eastAsia" w:ascii="宋体" w:hAnsi="宋体"/>
          <w:sz w:val="24"/>
        </w:rPr>
        <w:t>号）、《财政部</w:t>
      </w:r>
      <w:r>
        <w:rPr>
          <w:rFonts w:ascii="宋体" w:hAnsi="宋体"/>
          <w:sz w:val="24"/>
        </w:rPr>
        <w:t xml:space="preserve"> </w:t>
      </w:r>
      <w:r>
        <w:rPr>
          <w:rFonts w:hint="eastAsia" w:ascii="宋体" w:hAnsi="宋体"/>
          <w:sz w:val="24"/>
        </w:rPr>
        <w:t>国家税务总局</w:t>
      </w:r>
      <w:r>
        <w:rPr>
          <w:rFonts w:ascii="宋体" w:hAnsi="宋体"/>
          <w:sz w:val="24"/>
        </w:rPr>
        <w:t xml:space="preserve"> </w:t>
      </w:r>
      <w:r>
        <w:rPr>
          <w:rFonts w:hint="eastAsia" w:ascii="宋体" w:hAnsi="宋体"/>
          <w:sz w:val="24"/>
        </w:rPr>
        <w:t>证监会关于深港股票市场交易互联互通机制试点有关税收政策的通知》（财税〔</w:t>
      </w:r>
      <w:r>
        <w:rPr>
          <w:rFonts w:ascii="宋体" w:hAnsi="宋体"/>
          <w:sz w:val="24"/>
        </w:rPr>
        <w:t>2016</w:t>
      </w:r>
      <w:r>
        <w:rPr>
          <w:rFonts w:hint="eastAsia" w:ascii="宋体" w:hAnsi="宋体"/>
          <w:sz w:val="24"/>
        </w:rPr>
        <w:t>〕</w:t>
      </w:r>
      <w:r>
        <w:rPr>
          <w:rFonts w:ascii="宋体" w:hAnsi="宋体"/>
          <w:sz w:val="24"/>
        </w:rPr>
        <w:t>127</w:t>
      </w:r>
      <w:r>
        <w:rPr>
          <w:rFonts w:hint="eastAsia" w:ascii="宋体" w:hAnsi="宋体"/>
          <w:sz w:val="24"/>
        </w:rPr>
        <w:t>号）、《财政部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证监会关于创新企业境内发行存托凭证试点阶段有关税收政策的公告》（财政部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证监会公告</w:t>
      </w:r>
      <w:r>
        <w:rPr>
          <w:rFonts w:ascii="宋体" w:hAnsi="宋体"/>
          <w:sz w:val="24"/>
        </w:rPr>
        <w:t>2019</w:t>
      </w:r>
      <w:r>
        <w:rPr>
          <w:rFonts w:hint="eastAsia" w:ascii="宋体" w:hAnsi="宋体"/>
          <w:sz w:val="24"/>
        </w:rPr>
        <w:t>年第</w:t>
      </w:r>
      <w:r>
        <w:rPr>
          <w:rFonts w:ascii="宋体" w:hAnsi="宋体"/>
          <w:sz w:val="24"/>
        </w:rPr>
        <w:t>52</w:t>
      </w:r>
      <w:r>
        <w:rPr>
          <w:rFonts w:hint="eastAsia" w:ascii="宋体" w:hAnsi="宋体"/>
          <w:sz w:val="24"/>
        </w:rPr>
        <w:t>号）、《财政部</w:t>
      </w:r>
      <w:r>
        <w:rPr>
          <w:rFonts w:ascii="宋体" w:hAnsi="宋体"/>
          <w:sz w:val="24"/>
        </w:rPr>
        <w:t xml:space="preserve"> </w:t>
      </w:r>
      <w:r>
        <w:rPr>
          <w:rFonts w:hint="eastAsia" w:ascii="宋体" w:hAnsi="宋体"/>
          <w:sz w:val="24"/>
        </w:rPr>
        <w:t>税务总局关于永续债企业所得税政策问题的公告》（财政部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64</w:t>
      </w:r>
      <w:r>
        <w:rPr>
          <w:rFonts w:hint="eastAsia" w:ascii="宋体" w:hAnsi="宋体"/>
          <w:sz w:val="24"/>
        </w:rPr>
        <w:t>号）等相关税收政策规定，填报本年发生的符合条件的居民企业之间的股息、红利（包括</w:t>
      </w:r>
      <w:r>
        <w:rPr>
          <w:rFonts w:ascii="宋体" w:hAnsi="宋体"/>
          <w:sz w:val="24"/>
        </w:rPr>
        <w:t>H</w:t>
      </w:r>
      <w:r>
        <w:rPr>
          <w:rFonts w:hint="eastAsia" w:ascii="宋体" w:hAnsi="宋体"/>
          <w:sz w:val="24"/>
        </w:rPr>
        <w:t>股）等权益性投资收益优惠情况，不包括连续持有居民企业公开发行并</w:t>
      </w:r>
      <w:r>
        <w:rPr>
          <w:rFonts w:hint="eastAsia" w:ascii="宋体" w:hAnsi="宋体" w:cs="宋体"/>
          <w:sz w:val="24"/>
        </w:rPr>
        <w:t>上市</w:t>
      </w:r>
      <w:r>
        <w:rPr>
          <w:rFonts w:hint="eastAsia" w:ascii="宋体" w:hAnsi="宋体"/>
          <w:sz w:val="24"/>
        </w:rPr>
        <w:t>流通的股票不足</w:t>
      </w:r>
      <w:r>
        <w:rPr>
          <w:rFonts w:ascii="宋体" w:hAnsi="宋体"/>
          <w:sz w:val="24"/>
        </w:rPr>
        <w:t>12</w:t>
      </w:r>
      <w:r>
        <w:rPr>
          <w:rFonts w:hint="eastAsia" w:ascii="宋体" w:hAnsi="宋体"/>
          <w:sz w:val="24"/>
        </w:rPr>
        <w:t>个月取得的投资收益。</w:t>
      </w:r>
    </w:p>
    <w:p>
      <w:pPr>
        <w:spacing w:line="360" w:lineRule="auto"/>
        <w:ind w:firstLine="482" w:firstLineChars="200"/>
        <w:jc w:val="left"/>
        <w:outlineLvl w:val="0"/>
        <w:rPr>
          <w:rFonts w:ascii="宋体" w:hAnsi="宋体" w:cs="Calibri"/>
          <w:b/>
          <w:sz w:val="24"/>
        </w:rPr>
      </w:pPr>
      <w:bookmarkStart w:id="254" w:name="_Toc21703754"/>
      <w:bookmarkStart w:id="255" w:name="_Toc21711238"/>
      <w:bookmarkStart w:id="256" w:name="_Toc21712276"/>
      <w:bookmarkStart w:id="257" w:name="_Toc24965059"/>
      <w:r>
        <w:rPr>
          <w:rFonts w:hint="eastAsia" w:ascii="宋体" w:hAnsi="宋体" w:cs="Calibri"/>
          <w:b/>
          <w:sz w:val="24"/>
        </w:rPr>
        <w:t>一、有关项目填报说明</w:t>
      </w:r>
      <w:bookmarkEnd w:id="254"/>
      <w:bookmarkEnd w:id="255"/>
      <w:bookmarkEnd w:id="256"/>
      <w:bookmarkEnd w:id="257"/>
    </w:p>
    <w:p>
      <w:pPr>
        <w:spacing w:line="360" w:lineRule="auto"/>
        <w:ind w:firstLine="480" w:firstLineChars="200"/>
        <w:outlineLvl w:val="1"/>
        <w:rPr>
          <w:rFonts w:ascii="黑体" w:hAnsi="黑体" w:eastAsia="黑体" w:cs="黑体"/>
          <w:sz w:val="24"/>
        </w:rPr>
      </w:pPr>
      <w:bookmarkStart w:id="258" w:name="_Toc21712277"/>
      <w:bookmarkStart w:id="259" w:name="_Toc24965060"/>
      <w:bookmarkStart w:id="260" w:name="_Toc21703755"/>
      <w:bookmarkStart w:id="261" w:name="_Toc21711239"/>
      <w:r>
        <w:rPr>
          <w:rFonts w:hint="eastAsia" w:ascii="黑体" w:hAnsi="黑体" w:eastAsia="黑体" w:cs="黑体"/>
          <w:sz w:val="24"/>
        </w:rPr>
        <w:t>（一）行次填报</w:t>
      </w:r>
      <w:bookmarkEnd w:id="258"/>
      <w:bookmarkEnd w:id="259"/>
      <w:bookmarkEnd w:id="260"/>
      <w:bookmarkEnd w:id="261"/>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行次根据投资企业名称和投资性质填报，可以根据情况增加。</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8</w:t>
      </w:r>
      <w:r>
        <w:rPr>
          <w:rFonts w:hint="eastAsia" w:ascii="宋体" w:hAnsi="宋体"/>
          <w:sz w:val="24"/>
        </w:rPr>
        <w:t>行“合计”：填报第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行的第</w:t>
      </w:r>
      <w:r>
        <w:rPr>
          <w:rFonts w:ascii="宋体" w:hAnsi="宋体"/>
          <w:sz w:val="24"/>
        </w:rPr>
        <w:t>17</w:t>
      </w:r>
      <w:r>
        <w:rPr>
          <w:rFonts w:hint="eastAsia" w:ascii="宋体" w:hAnsi="宋体"/>
          <w:sz w:val="24"/>
        </w:rPr>
        <w:t>列合计金额，若增行，根据增行后的情况合计。</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9</w:t>
      </w:r>
      <w:r>
        <w:rPr>
          <w:rFonts w:hint="eastAsia" w:ascii="宋体" w:hAnsi="宋体"/>
          <w:sz w:val="24"/>
        </w:rPr>
        <w:t>行“其中：直接或非</w:t>
      </w:r>
      <w:r>
        <w:rPr>
          <w:rFonts w:ascii="宋体" w:hAnsi="宋体"/>
          <w:sz w:val="24"/>
        </w:rPr>
        <w:t>H</w:t>
      </w:r>
      <w:r>
        <w:rPr>
          <w:rFonts w:hint="eastAsia" w:ascii="宋体" w:hAnsi="宋体"/>
          <w:sz w:val="24"/>
        </w:rPr>
        <w:t>股票投资”：填报第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1</w:t>
      </w:r>
      <w:r>
        <w:rPr>
          <w:rFonts w:hint="eastAsia" w:ascii="宋体" w:hAnsi="宋体"/>
          <w:sz w:val="24"/>
        </w:rPr>
        <w:t>）直接投资”或“（</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10</w:t>
      </w:r>
      <w:r>
        <w:rPr>
          <w:rFonts w:hint="eastAsia" w:ascii="宋体" w:hAnsi="宋体"/>
          <w:sz w:val="24"/>
        </w:rPr>
        <w:t>行“股票投资</w:t>
      </w:r>
      <w:r>
        <w:rPr>
          <w:rFonts w:ascii="宋体" w:hAnsi="宋体"/>
          <w:sz w:val="24"/>
        </w:rPr>
        <w:t>—</w:t>
      </w:r>
      <w:r>
        <w:rPr>
          <w:rFonts w:hint="eastAsia" w:ascii="宋体" w:hAnsi="宋体"/>
          <w:sz w:val="24"/>
        </w:rPr>
        <w:t>沪港通</w:t>
      </w:r>
      <w:r>
        <w:rPr>
          <w:rFonts w:ascii="宋体" w:hAnsi="宋体"/>
          <w:sz w:val="24"/>
        </w:rPr>
        <w:t>H</w:t>
      </w:r>
      <w:r>
        <w:rPr>
          <w:rFonts w:hint="eastAsia" w:ascii="宋体" w:hAnsi="宋体"/>
          <w:sz w:val="24"/>
        </w:rPr>
        <w:t>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11</w:t>
      </w:r>
      <w:r>
        <w:rPr>
          <w:rFonts w:hint="eastAsia" w:ascii="宋体" w:hAnsi="宋体"/>
          <w:sz w:val="24"/>
        </w:rPr>
        <w:t>行“股票投资</w:t>
      </w:r>
      <w:r>
        <w:rPr>
          <w:rFonts w:ascii="宋体" w:hAnsi="宋体"/>
          <w:sz w:val="24"/>
        </w:rPr>
        <w:t>—</w:t>
      </w:r>
      <w:r>
        <w:rPr>
          <w:rFonts w:hint="eastAsia" w:ascii="宋体" w:hAnsi="宋体"/>
          <w:sz w:val="24"/>
        </w:rPr>
        <w:t>深港通</w:t>
      </w:r>
      <w:r>
        <w:rPr>
          <w:rFonts w:ascii="宋体" w:hAnsi="宋体"/>
          <w:sz w:val="24"/>
        </w:rPr>
        <w:t>H</w:t>
      </w:r>
      <w:r>
        <w:rPr>
          <w:rFonts w:hint="eastAsia" w:ascii="宋体" w:hAnsi="宋体"/>
          <w:sz w:val="24"/>
        </w:rPr>
        <w:t>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12</w:t>
      </w:r>
      <w:r>
        <w:rPr>
          <w:rFonts w:hint="eastAsia" w:ascii="宋体" w:hAnsi="宋体"/>
          <w:sz w:val="24"/>
        </w:rPr>
        <w:t>行“创新企业</w:t>
      </w:r>
      <w:r>
        <w:rPr>
          <w:rFonts w:ascii="宋体" w:hAnsi="宋体"/>
          <w:sz w:val="24"/>
        </w:rPr>
        <w:t>CDR</w:t>
      </w:r>
      <w:r>
        <w:rPr>
          <w:rFonts w:hint="eastAsia" w:ascii="宋体" w:hAnsi="宋体"/>
          <w:sz w:val="24"/>
        </w:rPr>
        <w:t>”：填报第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sz w:val="24"/>
        </w:rPr>
        <w:t>”的行次，第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13</w:t>
      </w:r>
      <w:r>
        <w:rPr>
          <w:rFonts w:hint="eastAsia" w:ascii="宋体" w:hAnsi="宋体"/>
          <w:sz w:val="24"/>
        </w:rPr>
        <w:t>行“永续债”：填报第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6</w:t>
      </w:r>
      <w:r>
        <w:rPr>
          <w:rFonts w:hint="eastAsia" w:ascii="宋体" w:hAnsi="宋体"/>
          <w:sz w:val="24"/>
        </w:rPr>
        <w:t>）永续债”的行次，第</w:t>
      </w:r>
      <w:r>
        <w:rPr>
          <w:rFonts w:ascii="宋体" w:hAnsi="宋体"/>
          <w:sz w:val="24"/>
        </w:rPr>
        <w:t>17</w:t>
      </w:r>
      <w:r>
        <w:rPr>
          <w:rFonts w:hint="eastAsia" w:ascii="宋体" w:hAnsi="宋体"/>
          <w:sz w:val="24"/>
        </w:rPr>
        <w:t>列合计金额。</w:t>
      </w:r>
    </w:p>
    <w:p>
      <w:pPr>
        <w:spacing w:line="360" w:lineRule="auto"/>
        <w:ind w:firstLine="480" w:firstLineChars="200"/>
        <w:outlineLvl w:val="1"/>
        <w:rPr>
          <w:rFonts w:ascii="黑体" w:hAnsi="黑体" w:eastAsia="黑体" w:cs="黑体"/>
          <w:sz w:val="24"/>
        </w:rPr>
      </w:pPr>
      <w:bookmarkStart w:id="262" w:name="_Toc21712278"/>
      <w:bookmarkStart w:id="263" w:name="_Toc24965061"/>
      <w:bookmarkStart w:id="264" w:name="_Toc21703756"/>
      <w:bookmarkStart w:id="265" w:name="_Toc21711240"/>
      <w:r>
        <w:rPr>
          <w:rFonts w:hint="eastAsia" w:ascii="黑体" w:hAnsi="黑体" w:eastAsia="黑体" w:cs="黑体"/>
          <w:sz w:val="24"/>
        </w:rPr>
        <w:t>（二）列次填报</w:t>
      </w:r>
      <w:bookmarkEnd w:id="262"/>
      <w:bookmarkEnd w:id="263"/>
      <w:bookmarkEnd w:id="264"/>
      <w:bookmarkEnd w:id="265"/>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w:t>
      </w:r>
      <w:r>
        <w:rPr>
          <w:rFonts w:hint="eastAsia" w:ascii="宋体" w:hAnsi="宋体"/>
          <w:sz w:val="24"/>
        </w:rPr>
        <w:t>列“被投资企业”：填报被投资企业名称。</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列“被投资企业统一社会信用代码（纳税人识别号）”：填报被投资企业工商等部门核发的纳税人统一社会信用代码。未取得统一社会信用代码的，填报税务机关核发的纳税人识别号。</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3</w:t>
      </w:r>
      <w:r>
        <w:rPr>
          <w:rFonts w:hint="eastAsia" w:ascii="宋体" w:hAnsi="宋体"/>
          <w:sz w:val="24"/>
        </w:rPr>
        <w:t>列“投资性质”：按选项填报：（</w:t>
      </w:r>
      <w:r>
        <w:rPr>
          <w:rFonts w:ascii="宋体" w:hAnsi="宋体"/>
          <w:sz w:val="24"/>
        </w:rPr>
        <w:t>1</w:t>
      </w:r>
      <w:r>
        <w:rPr>
          <w:rFonts w:hint="eastAsia" w:ascii="宋体" w:hAnsi="宋体"/>
          <w:sz w:val="24"/>
        </w:rPr>
        <w:t>）直接投资、（</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sz w:val="24"/>
        </w:rPr>
        <w:t>、（</w:t>
      </w:r>
      <w:r>
        <w:rPr>
          <w:rFonts w:ascii="宋体" w:hAnsi="宋体"/>
          <w:sz w:val="24"/>
        </w:rPr>
        <w:t>6</w:t>
      </w:r>
      <w:r>
        <w:rPr>
          <w:rFonts w:hint="eastAsia" w:ascii="宋体" w:hAnsi="宋体"/>
          <w:sz w:val="24"/>
        </w:rPr>
        <w:t>）永续债。</w:t>
      </w:r>
    </w:p>
    <w:p>
      <w:pPr>
        <w:spacing w:line="360" w:lineRule="auto"/>
        <w:ind w:firstLine="480" w:firstLineChars="200"/>
        <w:rPr>
          <w:rFonts w:ascii="宋体" w:hAnsi="宋体"/>
          <w:sz w:val="24"/>
        </w:rPr>
      </w:pPr>
      <w:r>
        <w:rPr>
          <w:rFonts w:hint="eastAsia" w:ascii="宋体" w:hAnsi="宋体"/>
          <w:sz w:val="24"/>
        </w:rPr>
        <w:t>符合财税〔</w:t>
      </w:r>
      <w:r>
        <w:rPr>
          <w:rFonts w:ascii="宋体" w:hAnsi="宋体"/>
          <w:sz w:val="24"/>
        </w:rPr>
        <w:t>2014</w:t>
      </w:r>
      <w:r>
        <w:rPr>
          <w:rFonts w:hint="eastAsia" w:ascii="宋体" w:hAnsi="宋体"/>
          <w:sz w:val="24"/>
        </w:rPr>
        <w:t>〕</w:t>
      </w:r>
      <w:r>
        <w:rPr>
          <w:rFonts w:ascii="宋体" w:hAnsi="宋体"/>
          <w:sz w:val="24"/>
        </w:rPr>
        <w:t>81</w:t>
      </w:r>
      <w:r>
        <w:rPr>
          <w:rFonts w:hint="eastAsia" w:ascii="宋体" w:hAnsi="宋体"/>
          <w:sz w:val="24"/>
        </w:rPr>
        <w:t>号文件第一条第（四）项第</w:t>
      </w:r>
      <w:r>
        <w:rPr>
          <w:rFonts w:ascii="宋体" w:hAnsi="宋体"/>
          <w:sz w:val="24"/>
        </w:rPr>
        <w:t>1</w:t>
      </w:r>
      <w:r>
        <w:rPr>
          <w:rFonts w:hint="eastAsia" w:ascii="宋体" w:hAnsi="宋体"/>
          <w:sz w:val="24"/>
        </w:rPr>
        <w:t>目规定，享受沪港通</w:t>
      </w:r>
      <w:r>
        <w:rPr>
          <w:rFonts w:ascii="宋体" w:hAnsi="宋体"/>
          <w:sz w:val="24"/>
        </w:rPr>
        <w:t>H</w:t>
      </w:r>
      <w:r>
        <w:rPr>
          <w:rFonts w:hint="eastAsia" w:ascii="宋体" w:hAnsi="宋体"/>
          <w:sz w:val="24"/>
        </w:rPr>
        <w:t>股股息红利免税政策的企业，选择“（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w:t>
      </w:r>
    </w:p>
    <w:p>
      <w:pPr>
        <w:spacing w:line="360" w:lineRule="auto"/>
        <w:ind w:firstLine="480" w:firstLineChars="200"/>
        <w:rPr>
          <w:rFonts w:ascii="宋体" w:hAnsi="宋体"/>
          <w:sz w:val="24"/>
        </w:rPr>
      </w:pPr>
      <w:r>
        <w:rPr>
          <w:rFonts w:hint="eastAsia" w:ascii="宋体" w:hAnsi="宋体"/>
          <w:sz w:val="24"/>
        </w:rPr>
        <w:t>符合财税〔</w:t>
      </w:r>
      <w:r>
        <w:rPr>
          <w:rFonts w:ascii="宋体" w:hAnsi="宋体"/>
          <w:sz w:val="24"/>
        </w:rPr>
        <w:t>2016</w:t>
      </w:r>
      <w:r>
        <w:rPr>
          <w:rFonts w:hint="eastAsia" w:ascii="宋体" w:hAnsi="宋体"/>
          <w:sz w:val="24"/>
        </w:rPr>
        <w:t>〕</w:t>
      </w:r>
      <w:r>
        <w:rPr>
          <w:rFonts w:ascii="宋体" w:hAnsi="宋体"/>
          <w:sz w:val="24"/>
        </w:rPr>
        <w:t>127</w:t>
      </w:r>
      <w:r>
        <w:rPr>
          <w:rFonts w:hint="eastAsia" w:ascii="宋体" w:hAnsi="宋体"/>
          <w:sz w:val="24"/>
        </w:rPr>
        <w:t>号文件第一条第</w:t>
      </w:r>
      <w:r>
        <w:rPr>
          <w:rFonts w:ascii="宋体" w:hAnsi="宋体"/>
          <w:sz w:val="24"/>
        </w:rPr>
        <w:t>(</w:t>
      </w:r>
      <w:r>
        <w:rPr>
          <w:rFonts w:hint="eastAsia" w:ascii="宋体" w:hAnsi="宋体"/>
          <w:sz w:val="24"/>
        </w:rPr>
        <w:t>四</w:t>
      </w:r>
      <w:r>
        <w:rPr>
          <w:rFonts w:ascii="宋体" w:hAnsi="宋体"/>
          <w:sz w:val="24"/>
        </w:rPr>
        <w:t>)</w:t>
      </w:r>
      <w:r>
        <w:rPr>
          <w:rFonts w:hint="eastAsia" w:ascii="宋体" w:hAnsi="宋体"/>
          <w:sz w:val="24"/>
        </w:rPr>
        <w:t>项第</w:t>
      </w:r>
      <w:r>
        <w:rPr>
          <w:rFonts w:ascii="宋体" w:hAnsi="宋体"/>
          <w:sz w:val="24"/>
        </w:rPr>
        <w:t>1</w:t>
      </w:r>
      <w:r>
        <w:rPr>
          <w:rFonts w:hint="eastAsia" w:ascii="宋体" w:hAnsi="宋体"/>
          <w:sz w:val="24"/>
        </w:rPr>
        <w:t>目规定，享受深港通</w:t>
      </w:r>
      <w:r>
        <w:rPr>
          <w:rFonts w:ascii="宋体" w:hAnsi="宋体"/>
          <w:sz w:val="24"/>
        </w:rPr>
        <w:t>H</w:t>
      </w:r>
      <w:r>
        <w:rPr>
          <w:rFonts w:hint="eastAsia" w:ascii="宋体" w:hAnsi="宋体"/>
          <w:sz w:val="24"/>
        </w:rPr>
        <w:t>股股息红利免税政策的企业，选择“（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w:t>
      </w:r>
    </w:p>
    <w:p>
      <w:pPr>
        <w:spacing w:line="360" w:lineRule="auto"/>
        <w:ind w:firstLine="480" w:firstLineChars="200"/>
        <w:rPr>
          <w:rFonts w:ascii="宋体" w:hAnsi="宋体" w:cs="宋体"/>
          <w:kern w:val="0"/>
          <w:sz w:val="24"/>
        </w:rPr>
      </w:pPr>
      <w:r>
        <w:rPr>
          <w:rFonts w:hint="eastAsia" w:ascii="宋体" w:hAnsi="宋体"/>
          <w:sz w:val="24"/>
        </w:rPr>
        <w:t>符合《财政部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证监会关于创新企业境内发行存托凭证试点阶段有关税收政策的公告》（财政部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证监会公告</w:t>
      </w:r>
      <w:r>
        <w:rPr>
          <w:rFonts w:ascii="宋体" w:hAnsi="宋体"/>
          <w:sz w:val="24"/>
        </w:rPr>
        <w:t>2019</w:t>
      </w:r>
      <w:r>
        <w:rPr>
          <w:rFonts w:hint="eastAsia" w:ascii="宋体" w:hAnsi="宋体"/>
          <w:sz w:val="24"/>
        </w:rPr>
        <w:t>年第</w:t>
      </w:r>
      <w:r>
        <w:rPr>
          <w:rFonts w:ascii="宋体" w:hAnsi="宋体"/>
          <w:sz w:val="24"/>
        </w:rPr>
        <w:t>52</w:t>
      </w:r>
      <w:r>
        <w:rPr>
          <w:rFonts w:hint="eastAsia" w:ascii="宋体" w:hAnsi="宋体"/>
          <w:sz w:val="24"/>
        </w:rPr>
        <w:t>号）</w:t>
      </w:r>
      <w:r>
        <w:rPr>
          <w:rFonts w:hint="eastAsia" w:ascii="宋体" w:hAnsi="宋体" w:cs="宋体"/>
          <w:kern w:val="0"/>
          <w:sz w:val="24"/>
        </w:rPr>
        <w:t>第二条第</w:t>
      </w:r>
      <w:r>
        <w:rPr>
          <w:rFonts w:ascii="宋体" w:hAnsi="宋体" w:cs="宋体"/>
          <w:kern w:val="0"/>
          <w:sz w:val="24"/>
        </w:rPr>
        <w:t>1</w:t>
      </w:r>
      <w:r>
        <w:rPr>
          <w:rFonts w:hint="eastAsia" w:ascii="宋体" w:hAnsi="宋体" w:cs="宋体"/>
          <w:kern w:val="0"/>
          <w:sz w:val="24"/>
        </w:rPr>
        <w:t>款规定，享受对持有创新企业</w:t>
      </w:r>
      <w:r>
        <w:rPr>
          <w:rFonts w:ascii="宋体" w:hAnsi="宋体" w:cs="宋体"/>
          <w:kern w:val="0"/>
          <w:sz w:val="24"/>
        </w:rPr>
        <w:t>CDR</w:t>
      </w:r>
      <w:r>
        <w:rPr>
          <w:rFonts w:hint="eastAsia" w:ascii="宋体" w:hAnsi="宋体" w:cs="宋体"/>
          <w:kern w:val="0"/>
          <w:sz w:val="24"/>
        </w:rPr>
        <w:t>取得的股息红利所得按规定免征企业所得税的，选择“</w:t>
      </w:r>
      <w:r>
        <w:rPr>
          <w:rFonts w:hint="eastAsia" w:ascii="宋体" w:hAnsi="宋体"/>
          <w:sz w:val="24"/>
        </w:rPr>
        <w:t>（</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cs="宋体"/>
          <w:kern w:val="0"/>
          <w:sz w:val="24"/>
        </w:rPr>
        <w:t>”。</w:t>
      </w:r>
    </w:p>
    <w:p>
      <w:pPr>
        <w:spacing w:line="360" w:lineRule="auto"/>
        <w:ind w:firstLine="480" w:firstLineChars="200"/>
        <w:rPr>
          <w:rFonts w:ascii="宋体" w:hAnsi="宋体"/>
          <w:sz w:val="24"/>
        </w:rPr>
      </w:pPr>
      <w:r>
        <w:rPr>
          <w:rFonts w:hint="eastAsia" w:ascii="宋体" w:hAnsi="宋体"/>
          <w:sz w:val="24"/>
        </w:rPr>
        <w:t>符合《财政部</w:t>
      </w:r>
      <w:r>
        <w:rPr>
          <w:rFonts w:ascii="宋体" w:hAnsi="宋体"/>
          <w:sz w:val="24"/>
        </w:rPr>
        <w:t xml:space="preserve"> </w:t>
      </w:r>
      <w:r>
        <w:rPr>
          <w:rFonts w:hint="eastAsia" w:ascii="宋体" w:hAnsi="宋体"/>
          <w:sz w:val="24"/>
        </w:rPr>
        <w:t>税务总局关于永续债企业所得税政策问题的公告》（财政部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64</w:t>
      </w:r>
      <w:r>
        <w:rPr>
          <w:rFonts w:hint="eastAsia" w:ascii="宋体" w:hAnsi="宋体"/>
          <w:sz w:val="24"/>
        </w:rPr>
        <w:t>号）第一条规定，享受永续债利息收入免征企业所得税的企业，选择“（</w:t>
      </w:r>
      <w:r>
        <w:rPr>
          <w:rFonts w:ascii="宋体" w:hAnsi="宋体"/>
          <w:sz w:val="24"/>
        </w:rPr>
        <w:t>6</w:t>
      </w:r>
      <w:r>
        <w:rPr>
          <w:rFonts w:hint="eastAsia" w:ascii="宋体" w:hAnsi="宋体"/>
          <w:sz w:val="24"/>
        </w:rPr>
        <w:t>）永续债”。</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4</w:t>
      </w:r>
      <w:r>
        <w:rPr>
          <w:rFonts w:hint="eastAsia" w:ascii="宋体" w:hAnsi="宋体"/>
          <w:sz w:val="24"/>
        </w:rPr>
        <w:t>列“投资成本”：填报纳税人投资于被投资企业的计税成本。</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5</w:t>
      </w:r>
      <w:r>
        <w:rPr>
          <w:rFonts w:hint="eastAsia" w:ascii="宋体" w:hAnsi="宋体"/>
          <w:sz w:val="24"/>
        </w:rPr>
        <w:t>列“投资比例”：填报纳税人投资于被投资企业的股权比例。若购买公开发行股票的，此列可不填报。</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6</w:t>
      </w:r>
      <w:r>
        <w:rPr>
          <w:rFonts w:hint="eastAsia" w:ascii="宋体" w:hAnsi="宋体"/>
          <w:sz w:val="24"/>
        </w:rPr>
        <w:t>列“被投资企业做出利润分配或转股决定时间”：填报被投资企业做出利润分配或转股决定的时间。</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7</w:t>
      </w:r>
      <w:r>
        <w:rPr>
          <w:rFonts w:hint="eastAsia" w:ascii="宋体" w:hAnsi="宋体"/>
          <w:sz w:val="24"/>
        </w:rPr>
        <w:t>列“依决定归属于本公司的股息、红利等权益性投资收益金额”：填报纳税人按照投资比例或者其他方法计算的，实际归属于本公司的股息、红利等权益性投资收益金额。若被投资企业将股权（票）溢价所形成的资本公积转为股本的，不作为投资方企业的股息、红利收入，投资方企业也不得增加该项长期投资的计税基础。</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8</w:t>
      </w:r>
      <w:r>
        <w:rPr>
          <w:rFonts w:hint="eastAsia" w:ascii="宋体" w:hAnsi="宋体"/>
          <w:sz w:val="24"/>
        </w:rPr>
        <w:t>列“分得的被投资企业清算剩余资产”：填报纳税人分得的被投资企业清算后的剩余资产。</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9</w:t>
      </w:r>
      <w:r>
        <w:rPr>
          <w:rFonts w:hint="eastAsia" w:ascii="宋体" w:hAnsi="宋体"/>
          <w:sz w:val="24"/>
        </w:rPr>
        <w:t>列“被清算企业累计未分配利润和累计盈余公积应享有部分”：填报被清算企业累计未分配利润和累计盈余公积中本企业应享有的金额。</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第</w:t>
      </w:r>
      <w:r>
        <w:rPr>
          <w:rFonts w:ascii="宋体" w:hAnsi="宋体"/>
          <w:sz w:val="24"/>
        </w:rPr>
        <w:t>10</w:t>
      </w:r>
      <w:r>
        <w:rPr>
          <w:rFonts w:hint="eastAsia" w:ascii="宋体" w:hAnsi="宋体"/>
          <w:sz w:val="24"/>
        </w:rPr>
        <w:t>列“应确认的股息所得”：填报第</w:t>
      </w:r>
      <w:r>
        <w:rPr>
          <w:rFonts w:ascii="宋体" w:hAnsi="宋体"/>
          <w:sz w:val="24"/>
        </w:rPr>
        <w:t>7</w:t>
      </w:r>
      <w:r>
        <w:rPr>
          <w:rFonts w:hint="eastAsia" w:ascii="宋体" w:hAnsi="宋体"/>
          <w:sz w:val="24"/>
        </w:rPr>
        <w:t>列与第</w:t>
      </w:r>
      <w:r>
        <w:rPr>
          <w:rFonts w:ascii="宋体" w:hAnsi="宋体"/>
          <w:sz w:val="24"/>
        </w:rPr>
        <w:t>8</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11</w:t>
      </w:r>
      <w:r>
        <w:rPr>
          <w:rFonts w:hint="eastAsia" w:ascii="宋体" w:hAnsi="宋体"/>
          <w:sz w:val="24"/>
        </w:rPr>
        <w:t>列“从被投资企业撤回或减少投资取得的资产”：填报纳税人从被投资企业撤回或减少投资时取得的资产。</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第</w:t>
      </w:r>
      <w:r>
        <w:rPr>
          <w:rFonts w:ascii="宋体" w:hAnsi="宋体"/>
          <w:sz w:val="24"/>
        </w:rPr>
        <w:t>12</w:t>
      </w:r>
      <w:r>
        <w:rPr>
          <w:rFonts w:hint="eastAsia" w:ascii="宋体" w:hAnsi="宋体"/>
          <w:sz w:val="24"/>
        </w:rPr>
        <w:t>列“减少投资比例”：填报纳税人撤回或减少的投资额占投资方在被投资企业持有总投资比例。</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第</w:t>
      </w:r>
      <w:r>
        <w:rPr>
          <w:rFonts w:ascii="宋体" w:hAnsi="宋体"/>
          <w:sz w:val="24"/>
        </w:rPr>
        <w:t>13</w:t>
      </w:r>
      <w:r>
        <w:rPr>
          <w:rFonts w:hint="eastAsia" w:ascii="宋体" w:hAnsi="宋体"/>
          <w:sz w:val="24"/>
        </w:rPr>
        <w:t>列“收回初始投资成本”：填报第</w:t>
      </w:r>
      <w:r>
        <w:rPr>
          <w:rFonts w:ascii="宋体" w:hAnsi="宋体"/>
          <w:sz w:val="24"/>
        </w:rPr>
        <w:t>3</w:t>
      </w:r>
      <w:r>
        <w:rPr>
          <w:rFonts w:hint="eastAsia" w:ascii="宋体" w:hAnsi="宋体"/>
          <w:sz w:val="24"/>
        </w:rPr>
        <w:t>×</w:t>
      </w:r>
      <w:r>
        <w:rPr>
          <w:rFonts w:ascii="宋体" w:hAnsi="宋体"/>
          <w:sz w:val="24"/>
        </w:rPr>
        <w:t>11</w:t>
      </w:r>
      <w:r>
        <w:rPr>
          <w:rFonts w:hint="eastAsia" w:ascii="宋体" w:hAnsi="宋体"/>
          <w:sz w:val="24"/>
        </w:rPr>
        <w:t>列的金额。</w:t>
      </w:r>
    </w:p>
    <w:p>
      <w:pPr>
        <w:spacing w:line="360" w:lineRule="auto"/>
        <w:ind w:firstLine="480" w:firstLineChars="200"/>
        <w:rPr>
          <w:rFonts w:ascii="宋体" w:hAnsi="宋体"/>
          <w:sz w:val="24"/>
        </w:rPr>
      </w:pPr>
      <w:r>
        <w:rPr>
          <w:rFonts w:ascii="宋体" w:hAnsi="宋体"/>
          <w:sz w:val="24"/>
        </w:rPr>
        <w:t>14.</w:t>
      </w:r>
      <w:r>
        <w:rPr>
          <w:rFonts w:hint="eastAsia" w:ascii="宋体" w:hAnsi="宋体"/>
          <w:sz w:val="24"/>
        </w:rPr>
        <w:t>第</w:t>
      </w:r>
      <w:r>
        <w:rPr>
          <w:rFonts w:ascii="宋体" w:hAnsi="宋体"/>
          <w:sz w:val="24"/>
        </w:rPr>
        <w:t>14</w:t>
      </w:r>
      <w:r>
        <w:rPr>
          <w:rFonts w:hint="eastAsia" w:ascii="宋体" w:hAnsi="宋体"/>
          <w:sz w:val="24"/>
        </w:rPr>
        <w:t>列“取得资产中超过收回初始投资成本部分”：填报第</w:t>
      </w:r>
      <w:r>
        <w:rPr>
          <w:rFonts w:ascii="宋体" w:hAnsi="宋体"/>
          <w:sz w:val="24"/>
        </w:rPr>
        <w:t>11-13</w:t>
      </w:r>
      <w:r>
        <w:rPr>
          <w:rFonts w:hint="eastAsia" w:ascii="宋体" w:hAnsi="宋体"/>
          <w:sz w:val="24"/>
        </w:rPr>
        <w:t>列的余额。</w:t>
      </w:r>
    </w:p>
    <w:p>
      <w:pPr>
        <w:spacing w:line="360" w:lineRule="auto"/>
        <w:ind w:firstLine="480" w:firstLineChars="200"/>
        <w:rPr>
          <w:rFonts w:ascii="宋体" w:hAnsi="宋体"/>
          <w:sz w:val="24"/>
        </w:rPr>
      </w:pPr>
      <w:r>
        <w:rPr>
          <w:rFonts w:ascii="宋体" w:hAnsi="宋体"/>
          <w:sz w:val="24"/>
        </w:rPr>
        <w:t>15.</w:t>
      </w:r>
      <w:r>
        <w:rPr>
          <w:rFonts w:hint="eastAsia" w:ascii="宋体" w:hAnsi="宋体"/>
          <w:sz w:val="24"/>
        </w:rPr>
        <w:t>第</w:t>
      </w:r>
      <w:r>
        <w:rPr>
          <w:rFonts w:ascii="宋体" w:hAnsi="宋体"/>
          <w:sz w:val="24"/>
        </w:rPr>
        <w:t>15</w:t>
      </w:r>
      <w:r>
        <w:rPr>
          <w:rFonts w:hint="eastAsia" w:ascii="宋体" w:hAnsi="宋体"/>
          <w:sz w:val="24"/>
        </w:rPr>
        <w:t>列“撤回或减少投资应享有被投资企业累计未分配利润和累计盈余公积”：填报被投资企业累计未分配利润和累计盈余公积按减少实收资本比例计算的部分。</w:t>
      </w:r>
    </w:p>
    <w:p>
      <w:pPr>
        <w:spacing w:line="360" w:lineRule="auto"/>
        <w:ind w:firstLine="480" w:firstLineChars="200"/>
        <w:rPr>
          <w:rFonts w:ascii="宋体" w:hAnsi="宋体"/>
          <w:sz w:val="24"/>
        </w:rPr>
      </w:pPr>
      <w:r>
        <w:rPr>
          <w:rFonts w:ascii="宋体" w:hAnsi="宋体"/>
          <w:sz w:val="24"/>
        </w:rPr>
        <w:t>16.</w:t>
      </w:r>
      <w:r>
        <w:rPr>
          <w:rFonts w:hint="eastAsia" w:ascii="宋体" w:hAnsi="宋体"/>
          <w:sz w:val="24"/>
        </w:rPr>
        <w:t>第</w:t>
      </w:r>
      <w:r>
        <w:rPr>
          <w:rFonts w:ascii="宋体" w:hAnsi="宋体"/>
          <w:sz w:val="24"/>
        </w:rPr>
        <w:t>16</w:t>
      </w:r>
      <w:r>
        <w:rPr>
          <w:rFonts w:hint="eastAsia" w:ascii="宋体" w:hAnsi="宋体"/>
          <w:sz w:val="24"/>
        </w:rPr>
        <w:t>列“应确认的股息所得”：填报第</w:t>
      </w:r>
      <w:r>
        <w:rPr>
          <w:rFonts w:ascii="宋体" w:hAnsi="宋体"/>
          <w:sz w:val="24"/>
        </w:rPr>
        <w:t>13</w:t>
      </w:r>
      <w:r>
        <w:rPr>
          <w:rFonts w:hint="eastAsia" w:ascii="宋体" w:hAnsi="宋体"/>
          <w:sz w:val="24"/>
        </w:rPr>
        <w:t>列与第</w:t>
      </w:r>
      <w:r>
        <w:rPr>
          <w:rFonts w:ascii="宋体" w:hAnsi="宋体"/>
          <w:sz w:val="24"/>
        </w:rPr>
        <w:t>14</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17.</w:t>
      </w:r>
      <w:r>
        <w:rPr>
          <w:rFonts w:hint="eastAsia" w:ascii="宋体" w:hAnsi="宋体"/>
          <w:sz w:val="24"/>
        </w:rPr>
        <w:t>第</w:t>
      </w:r>
      <w:r>
        <w:rPr>
          <w:rFonts w:ascii="宋体" w:hAnsi="宋体"/>
          <w:sz w:val="24"/>
        </w:rPr>
        <w:t>17</w:t>
      </w:r>
      <w:r>
        <w:rPr>
          <w:rFonts w:hint="eastAsia" w:ascii="宋体" w:hAnsi="宋体"/>
          <w:sz w:val="24"/>
        </w:rPr>
        <w:t>列“合计”：填报第</w:t>
      </w:r>
      <w:r>
        <w:rPr>
          <w:rFonts w:ascii="宋体" w:hAnsi="宋体"/>
          <w:sz w:val="24"/>
        </w:rPr>
        <w:t>7+10+16</w:t>
      </w:r>
      <w:r>
        <w:rPr>
          <w:rFonts w:hint="eastAsia" w:ascii="宋体" w:hAnsi="宋体"/>
          <w:sz w:val="24"/>
        </w:rPr>
        <w:t>列的合计金额。</w:t>
      </w:r>
    </w:p>
    <w:p>
      <w:pPr>
        <w:spacing w:line="360" w:lineRule="auto"/>
        <w:ind w:firstLine="482" w:firstLineChars="200"/>
        <w:jc w:val="left"/>
        <w:outlineLvl w:val="0"/>
        <w:rPr>
          <w:rFonts w:ascii="宋体" w:hAnsi="宋体" w:cs="Calibri"/>
          <w:b/>
          <w:sz w:val="24"/>
        </w:rPr>
      </w:pPr>
      <w:bookmarkStart w:id="266" w:name="_Toc21712279"/>
      <w:bookmarkStart w:id="267" w:name="_Toc24965062"/>
      <w:bookmarkStart w:id="268" w:name="_Toc21703757"/>
      <w:bookmarkStart w:id="269" w:name="_Toc21711241"/>
      <w:r>
        <w:rPr>
          <w:rFonts w:hint="eastAsia" w:ascii="宋体" w:hAnsi="宋体" w:cs="Calibri"/>
          <w:b/>
          <w:sz w:val="24"/>
        </w:rPr>
        <w:t>二、表内、表间关系</w:t>
      </w:r>
      <w:bookmarkEnd w:id="266"/>
      <w:bookmarkEnd w:id="267"/>
      <w:bookmarkEnd w:id="268"/>
      <w:bookmarkEnd w:id="269"/>
    </w:p>
    <w:p>
      <w:pPr>
        <w:spacing w:line="360" w:lineRule="auto"/>
        <w:ind w:firstLine="480" w:firstLineChars="200"/>
        <w:outlineLvl w:val="1"/>
        <w:rPr>
          <w:rFonts w:ascii="黑体" w:hAnsi="黑体" w:eastAsia="黑体" w:cs="黑体"/>
          <w:sz w:val="24"/>
        </w:rPr>
      </w:pPr>
      <w:bookmarkStart w:id="270" w:name="_Toc21712280"/>
      <w:bookmarkStart w:id="271" w:name="_Toc24965063"/>
      <w:bookmarkStart w:id="272" w:name="_Toc21703758"/>
      <w:bookmarkStart w:id="273" w:name="_Toc21711242"/>
      <w:r>
        <w:rPr>
          <w:rFonts w:hint="eastAsia" w:ascii="黑体" w:hAnsi="黑体" w:eastAsia="黑体" w:cs="黑体"/>
          <w:sz w:val="24"/>
        </w:rPr>
        <w:t>（一）表内关系</w:t>
      </w:r>
      <w:bookmarkEnd w:id="270"/>
      <w:bookmarkEnd w:id="271"/>
      <w:bookmarkEnd w:id="272"/>
      <w:bookmarkEnd w:id="273"/>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13</w:t>
      </w:r>
      <w:r>
        <w:rPr>
          <w:rFonts w:hint="eastAsia" w:ascii="宋体" w:hAnsi="宋体"/>
          <w:sz w:val="24"/>
        </w:rPr>
        <w:t>列＝第</w:t>
      </w:r>
      <w:r>
        <w:rPr>
          <w:rFonts w:ascii="宋体" w:hAnsi="宋体"/>
          <w:sz w:val="24"/>
        </w:rPr>
        <w:t>4</w:t>
      </w:r>
      <w:r>
        <w:rPr>
          <w:rFonts w:hint="eastAsia" w:ascii="宋体" w:hAnsi="宋体"/>
          <w:sz w:val="24"/>
        </w:rPr>
        <w:t>×</w:t>
      </w:r>
      <w:r>
        <w:rPr>
          <w:rFonts w:ascii="宋体" w:hAnsi="宋体"/>
          <w:sz w:val="24"/>
        </w:rPr>
        <w:t>12</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14</w:t>
      </w:r>
      <w:r>
        <w:rPr>
          <w:rFonts w:hint="eastAsia" w:ascii="宋体" w:hAnsi="宋体"/>
          <w:sz w:val="24"/>
        </w:rPr>
        <w:t>列＝第</w:t>
      </w:r>
      <w:r>
        <w:rPr>
          <w:rFonts w:ascii="宋体" w:hAnsi="宋体"/>
          <w:sz w:val="24"/>
        </w:rPr>
        <w:t>11-13</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17</w:t>
      </w:r>
      <w:r>
        <w:rPr>
          <w:rFonts w:hint="eastAsia" w:ascii="宋体" w:hAnsi="宋体"/>
          <w:sz w:val="24"/>
        </w:rPr>
        <w:t>列＝第</w:t>
      </w:r>
      <w:r>
        <w:rPr>
          <w:rFonts w:ascii="宋体" w:hAnsi="宋体"/>
          <w:sz w:val="24"/>
        </w:rPr>
        <w:t>7+10+16</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10</w:t>
      </w:r>
      <w:r>
        <w:rPr>
          <w:rFonts w:hint="eastAsia" w:ascii="宋体" w:hAnsi="宋体"/>
          <w:sz w:val="24"/>
        </w:rPr>
        <w:t>列＝第</w:t>
      </w:r>
      <w:r>
        <w:rPr>
          <w:rFonts w:ascii="宋体" w:hAnsi="宋体"/>
          <w:sz w:val="24"/>
        </w:rPr>
        <w:t>8</w:t>
      </w:r>
      <w:r>
        <w:rPr>
          <w:rFonts w:hint="eastAsia" w:ascii="宋体" w:hAnsi="宋体"/>
          <w:sz w:val="24"/>
        </w:rPr>
        <w:t>列与第</w:t>
      </w:r>
      <w:r>
        <w:rPr>
          <w:rFonts w:ascii="宋体" w:hAnsi="宋体"/>
          <w:sz w:val="24"/>
        </w:rPr>
        <w:t>9</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16</w:t>
      </w:r>
      <w:r>
        <w:rPr>
          <w:rFonts w:hint="eastAsia" w:ascii="宋体" w:hAnsi="宋体"/>
          <w:sz w:val="24"/>
        </w:rPr>
        <w:t>列＝第</w:t>
      </w:r>
      <w:r>
        <w:rPr>
          <w:rFonts w:ascii="宋体" w:hAnsi="宋体"/>
          <w:sz w:val="24"/>
        </w:rPr>
        <w:t>14</w:t>
      </w:r>
      <w:r>
        <w:rPr>
          <w:rFonts w:hint="eastAsia" w:ascii="宋体" w:hAnsi="宋体"/>
          <w:sz w:val="24"/>
        </w:rPr>
        <w:t>列与第</w:t>
      </w:r>
      <w:r>
        <w:rPr>
          <w:rFonts w:ascii="宋体" w:hAnsi="宋体"/>
          <w:sz w:val="24"/>
        </w:rPr>
        <w:t>15</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8</w:t>
      </w:r>
      <w:r>
        <w:rPr>
          <w:rFonts w:hint="eastAsia" w:ascii="宋体" w:hAnsi="宋体"/>
          <w:sz w:val="24"/>
        </w:rPr>
        <w:t>行（“合计”行）＝第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行第</w:t>
      </w:r>
      <w:r>
        <w:rPr>
          <w:rFonts w:ascii="宋体" w:hAnsi="宋体"/>
          <w:sz w:val="24"/>
        </w:rPr>
        <w:t>17</w:t>
      </w:r>
      <w:r>
        <w:rPr>
          <w:rFonts w:hint="eastAsia" w:ascii="宋体" w:hAnsi="宋体"/>
          <w:sz w:val="24"/>
        </w:rPr>
        <w:t>列合计。</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9</w:t>
      </w:r>
      <w:r>
        <w:rPr>
          <w:rFonts w:hint="eastAsia" w:ascii="宋体" w:hAnsi="宋体"/>
          <w:sz w:val="24"/>
        </w:rPr>
        <w:t>行（“直接投资或非</w:t>
      </w:r>
      <w:r>
        <w:rPr>
          <w:rFonts w:ascii="宋体" w:hAnsi="宋体"/>
          <w:sz w:val="24"/>
        </w:rPr>
        <w:t>H</w:t>
      </w:r>
      <w:r>
        <w:rPr>
          <w:rFonts w:hint="eastAsia" w:ascii="宋体" w:hAnsi="宋体"/>
          <w:sz w:val="24"/>
        </w:rPr>
        <w:t>股票投资”合计行）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1</w:t>
      </w:r>
      <w:r>
        <w:rPr>
          <w:rFonts w:hint="eastAsia" w:ascii="宋体" w:hAnsi="宋体"/>
          <w:sz w:val="24"/>
        </w:rPr>
        <w:t>）直接投资”或“（</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10</w:t>
      </w:r>
      <w:r>
        <w:rPr>
          <w:rFonts w:hint="eastAsia" w:ascii="宋体" w:hAnsi="宋体"/>
          <w:sz w:val="24"/>
        </w:rPr>
        <w:t>行（“股票投资</w:t>
      </w:r>
      <w:r>
        <w:rPr>
          <w:rFonts w:ascii="宋体" w:hAnsi="宋体"/>
          <w:sz w:val="24"/>
        </w:rPr>
        <w:t>—</w:t>
      </w:r>
      <w:r>
        <w:rPr>
          <w:rFonts w:hint="eastAsia" w:ascii="宋体" w:hAnsi="宋体"/>
          <w:sz w:val="24"/>
        </w:rPr>
        <w:t>沪港通</w:t>
      </w:r>
      <w:r>
        <w:rPr>
          <w:rFonts w:ascii="宋体" w:hAnsi="宋体"/>
          <w:sz w:val="24"/>
        </w:rPr>
        <w:t>H</w:t>
      </w:r>
      <w:r>
        <w:rPr>
          <w:rFonts w:hint="eastAsia" w:ascii="宋体" w:hAnsi="宋体"/>
          <w:sz w:val="24"/>
        </w:rPr>
        <w:t>股”合计行）＝第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11</w:t>
      </w:r>
      <w:r>
        <w:rPr>
          <w:rFonts w:hint="eastAsia" w:ascii="宋体" w:hAnsi="宋体"/>
          <w:sz w:val="24"/>
        </w:rPr>
        <w:t>行（“股票投资</w:t>
      </w:r>
      <w:r>
        <w:rPr>
          <w:rFonts w:ascii="宋体" w:hAnsi="宋体"/>
          <w:sz w:val="24"/>
        </w:rPr>
        <w:t>—</w:t>
      </w:r>
      <w:r>
        <w:rPr>
          <w:rFonts w:hint="eastAsia" w:ascii="宋体" w:hAnsi="宋体"/>
          <w:sz w:val="24"/>
        </w:rPr>
        <w:t>深港通</w:t>
      </w:r>
      <w:r>
        <w:rPr>
          <w:rFonts w:ascii="宋体" w:hAnsi="宋体"/>
          <w:sz w:val="24"/>
        </w:rPr>
        <w:t>H</w:t>
      </w:r>
      <w:r>
        <w:rPr>
          <w:rFonts w:hint="eastAsia" w:ascii="宋体" w:hAnsi="宋体"/>
          <w:sz w:val="24"/>
        </w:rPr>
        <w:t>股”合计行）＝第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 xml:space="preserve">10. </w:t>
      </w:r>
      <w:r>
        <w:rPr>
          <w:rFonts w:hint="eastAsia" w:ascii="宋体" w:hAnsi="宋体"/>
          <w:sz w:val="24"/>
        </w:rPr>
        <w:t>第</w:t>
      </w:r>
      <w:r>
        <w:rPr>
          <w:rFonts w:ascii="宋体" w:hAnsi="宋体"/>
          <w:sz w:val="24"/>
        </w:rPr>
        <w:t>12</w:t>
      </w:r>
      <w:r>
        <w:rPr>
          <w:rFonts w:hint="eastAsia" w:ascii="宋体" w:hAnsi="宋体"/>
          <w:sz w:val="24"/>
        </w:rPr>
        <w:t>行（“创新企业</w:t>
      </w:r>
      <w:r>
        <w:rPr>
          <w:rFonts w:ascii="宋体" w:hAnsi="宋体"/>
          <w:sz w:val="24"/>
        </w:rPr>
        <w:t>CDR</w:t>
      </w:r>
      <w:r>
        <w:rPr>
          <w:rFonts w:hint="eastAsia" w:ascii="宋体" w:hAnsi="宋体"/>
          <w:sz w:val="24"/>
        </w:rPr>
        <w:t>”合计行）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5</w:t>
      </w:r>
      <w:r>
        <w:rPr>
          <w:rFonts w:hint="eastAsia" w:ascii="宋体" w:hAnsi="宋体"/>
          <w:sz w:val="24"/>
        </w:rPr>
        <w:t>）居民企业持有</w:t>
      </w:r>
      <w:r>
        <w:rPr>
          <w:rFonts w:ascii="宋体" w:hAnsi="宋体"/>
          <w:sz w:val="24"/>
        </w:rPr>
        <w:t>CDR</w:t>
      </w:r>
      <w:r>
        <w:rPr>
          <w:rFonts w:hint="eastAsia" w:ascii="宋体" w:hAnsi="宋体"/>
          <w:sz w:val="24"/>
        </w:rPr>
        <w:t>”的行次第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13</w:t>
      </w:r>
      <w:r>
        <w:rPr>
          <w:rFonts w:hint="eastAsia" w:ascii="宋体" w:hAnsi="宋体"/>
          <w:sz w:val="24"/>
        </w:rPr>
        <w:t>行（“永续债”合计行）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6</w:t>
      </w:r>
      <w:r>
        <w:rPr>
          <w:rFonts w:hint="eastAsia" w:ascii="宋体" w:hAnsi="宋体"/>
          <w:sz w:val="24"/>
        </w:rPr>
        <w:t>）符合条件的永续债”的行次第</w:t>
      </w:r>
      <w:r>
        <w:rPr>
          <w:rFonts w:ascii="宋体" w:hAnsi="宋体"/>
          <w:sz w:val="24"/>
        </w:rPr>
        <w:t>17</w:t>
      </w:r>
      <w:r>
        <w:rPr>
          <w:rFonts w:hint="eastAsia" w:ascii="宋体" w:hAnsi="宋体"/>
          <w:sz w:val="24"/>
        </w:rPr>
        <w:t>列合计金额。</w:t>
      </w:r>
    </w:p>
    <w:p>
      <w:pPr>
        <w:spacing w:line="360" w:lineRule="auto"/>
        <w:ind w:firstLine="480" w:firstLineChars="200"/>
        <w:outlineLvl w:val="1"/>
        <w:rPr>
          <w:rFonts w:ascii="黑体" w:hAnsi="黑体" w:eastAsia="黑体" w:cs="黑体"/>
          <w:sz w:val="24"/>
        </w:rPr>
      </w:pPr>
      <w:bookmarkStart w:id="274" w:name="_Toc21703759"/>
      <w:bookmarkStart w:id="275" w:name="_Toc21711243"/>
      <w:bookmarkStart w:id="276" w:name="_Toc21712281"/>
      <w:bookmarkStart w:id="277" w:name="_Toc24965064"/>
      <w:r>
        <w:rPr>
          <w:rFonts w:hint="eastAsia" w:ascii="黑体" w:hAnsi="黑体" w:eastAsia="黑体" w:cs="黑体"/>
          <w:sz w:val="24"/>
        </w:rPr>
        <w:t>（二）表间关系</w:t>
      </w:r>
      <w:bookmarkEnd w:id="274"/>
      <w:bookmarkEnd w:id="275"/>
      <w:bookmarkEnd w:id="276"/>
      <w:bookmarkEnd w:id="277"/>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8</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3</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4</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10</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5</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11</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6</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7</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13</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8</w:t>
      </w:r>
      <w:r>
        <w:rPr>
          <w:rFonts w:hint="eastAsia" w:ascii="宋体" w:hAnsi="宋体"/>
          <w:sz w:val="24"/>
        </w:rPr>
        <w:t>行。</w:t>
      </w:r>
    </w:p>
    <w:bookmarkEnd w:id="223"/>
    <w:bookmarkEnd w:id="224"/>
    <w:p>
      <w:pPr>
        <w:pStyle w:val="65"/>
        <w:sectPr>
          <w:pgSz w:w="11906" w:h="16838"/>
          <w:pgMar w:top="1985" w:right="1418" w:bottom="1928" w:left="1418" w:header="851" w:footer="992" w:gutter="113"/>
          <w:pgNumType w:fmt="decimal"/>
          <w:cols w:space="720" w:num="1"/>
          <w:docGrid w:linePitch="312" w:charSpace="0"/>
        </w:sectPr>
      </w:pPr>
    </w:p>
    <w:p>
      <w:pPr>
        <w:tabs>
          <w:tab w:val="center" w:pos="4678"/>
        </w:tabs>
        <w:spacing w:line="360" w:lineRule="auto"/>
        <w:jc w:val="left"/>
        <w:outlineLvl w:val="0"/>
        <w:rPr>
          <w:rFonts w:ascii="宋体" w:hAnsi="宋体" w:cs="宋体"/>
          <w:b/>
          <w:bCs/>
          <w:kern w:val="0"/>
          <w:sz w:val="28"/>
          <w:szCs w:val="28"/>
        </w:rPr>
      </w:pPr>
      <w:bookmarkStart w:id="278" w:name="_Toc527722750"/>
      <w:bookmarkStart w:id="279" w:name="_Toc17897"/>
      <w:r>
        <w:rPr>
          <w:rFonts w:ascii="宋体" w:hAnsi="宋体" w:cs="宋体"/>
          <w:b/>
          <w:bCs/>
          <w:kern w:val="0"/>
          <w:sz w:val="28"/>
          <w:szCs w:val="28"/>
        </w:rPr>
        <w:t>A107012</w:t>
      </w:r>
      <w:r>
        <w:rPr>
          <w:rFonts w:ascii="宋体" w:hAnsi="宋体" w:cs="宋体"/>
          <w:b/>
          <w:bCs/>
          <w:kern w:val="0"/>
          <w:sz w:val="28"/>
          <w:szCs w:val="28"/>
        </w:rPr>
        <w:tab/>
      </w:r>
      <w:r>
        <w:rPr>
          <w:rFonts w:hint="eastAsia" w:ascii="宋体" w:hAnsi="宋体" w:cs="宋体"/>
          <w:b/>
          <w:bCs/>
          <w:kern w:val="0"/>
          <w:sz w:val="28"/>
          <w:szCs w:val="28"/>
        </w:rPr>
        <w:t>研发费用加计扣除优惠明细表</w:t>
      </w:r>
      <w:bookmarkEnd w:id="278"/>
      <w:bookmarkEnd w:id="279"/>
    </w:p>
    <w:p>
      <w:pPr>
        <w:tabs>
          <w:tab w:val="left" w:pos="3150"/>
        </w:tabs>
      </w:pPr>
    </w:p>
    <w:tbl>
      <w:tblPr>
        <w:tblStyle w:val="25"/>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837"/>
        <w:gridCol w:w="1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837" w:type="dxa"/>
            <w:tcBorders>
              <w:top w:val="single" w:color="auto" w:sz="12"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166" w:type="dxa"/>
            <w:tcBorders>
              <w:top w:val="single" w:color="auto" w:sz="12" w:space="0"/>
              <w:left w:val="single" w:color="auto" w:sz="8" w:space="0"/>
              <w:bottom w:val="single" w:color="auto" w:sz="8" w:space="0"/>
              <w:right w:val="single" w:color="auto" w:sz="12"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6</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7</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8</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9</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13</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16</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17</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18</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19</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23</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26</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27</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28</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29</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33</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34</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35</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36</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37</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38</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39</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40</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43</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44</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45</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46</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47</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48</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49</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50</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八、加计扣除比例及计算方法</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本年允许加计扣除的研发费用总额（47-48-49）</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其中：第四季度允许加计扣除的研发费用金额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前三季度允许加计扣除的研发费用金额（L1-L1.1）</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九、本年研发费用加计扣除总额（47-48-49）×</w:t>
            </w:r>
            <w:r>
              <w:rPr>
                <w:rFonts w:ascii="宋体" w:hAnsi="宋体" w:cs="宋体"/>
                <w:kern w:val="0"/>
                <w:sz w:val="20"/>
                <w:szCs w:val="20"/>
              </w:rPr>
              <w:t>50</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52</w:t>
            </w:r>
          </w:p>
        </w:tc>
        <w:tc>
          <w:tcPr>
            <w:tcW w:w="7837" w:type="dxa"/>
            <w:tcBorders>
              <w:top w:val="single" w:color="auto" w:sz="6" w:space="0"/>
              <w:left w:val="single" w:color="auto" w:sz="6" w:space="0"/>
              <w:bottom w:val="single" w:color="auto" w:sz="12" w:space="0"/>
              <w:right w:val="single" w:color="auto" w:sz="6" w:space="0"/>
            </w:tcBorders>
            <w:shd w:val="clear" w:color="000000" w:fill="FFFFFF"/>
            <w:noWrap/>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166" w:type="dxa"/>
            <w:tcBorders>
              <w:top w:val="single" w:color="auto" w:sz="6" w:space="0"/>
              <w:left w:val="single" w:color="auto" w:sz="6" w:space="0"/>
              <w:bottom w:val="single" w:color="auto" w:sz="12" w:space="0"/>
              <w:right w:val="single" w:color="auto" w:sz="12" w:space="0"/>
            </w:tcBorders>
            <w:shd w:val="clear" w:color="000000" w:fill="FFFFFF"/>
            <w:noWrap/>
            <w:vAlign w:val="center"/>
          </w:tcPr>
          <w:p>
            <w:pPr>
              <w:widowControl/>
              <w:jc w:val="right"/>
              <w:rPr>
                <w:rFonts w:ascii="宋体"/>
                <w:kern w:val="0"/>
                <w:sz w:val="20"/>
                <w:szCs w:val="20"/>
              </w:rPr>
            </w:pPr>
          </w:p>
        </w:tc>
      </w:tr>
    </w:tbl>
    <w:p>
      <w:pPr>
        <w:pStyle w:val="2"/>
        <w:sectPr>
          <w:pgSz w:w="11906" w:h="16838"/>
          <w:pgMar w:top="1985" w:right="1418" w:bottom="1928" w:left="1418" w:header="851" w:footer="992" w:gutter="113"/>
          <w:pgNumType w:fmt="decimal"/>
          <w:cols w:space="720" w:num="1"/>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280" w:name="_Toc527722751"/>
      <w:bookmarkStart w:id="281" w:name="_Toc21913"/>
      <w:bookmarkStart w:id="282" w:name="_Toc393471129"/>
      <w:bookmarkStart w:id="283" w:name="_Toc390864024"/>
      <w:bookmarkStart w:id="284" w:name="_Toc393471134"/>
      <w:r>
        <w:rPr>
          <w:rFonts w:ascii="宋体" w:hAnsi="宋体" w:cs="方正小标宋简体"/>
          <w:b/>
          <w:kern w:val="44"/>
          <w:sz w:val="28"/>
          <w:szCs w:val="28"/>
        </w:rPr>
        <w:t>A107012</w:t>
      </w:r>
      <w:r>
        <w:rPr>
          <w:rFonts w:hint="eastAsia" w:ascii="宋体" w:hAnsi="宋体" w:cs="方正小标宋简体"/>
          <w:b/>
          <w:kern w:val="44"/>
          <w:sz w:val="28"/>
          <w:szCs w:val="28"/>
        </w:rPr>
        <w:t>《研发费用加计扣除优惠明细表》填报说明</w:t>
      </w:r>
      <w:bookmarkEnd w:id="280"/>
      <w:bookmarkEnd w:id="281"/>
    </w:p>
    <w:bookmarkEnd w:id="282"/>
    <w:p>
      <w:pPr>
        <w:pStyle w:val="94"/>
        <w:spacing w:line="360" w:lineRule="auto"/>
        <w:ind w:firstLine="480"/>
        <w:rPr>
          <w:rFonts w:ascii="宋体" w:hAnsi="宋体" w:eastAsia="宋体" w:cs="宋体"/>
        </w:rPr>
      </w:pPr>
      <w:r>
        <w:rPr>
          <w:rFonts w:hint="eastAsia" w:ascii="宋体" w:hAnsi="宋体" w:eastAsia="宋体" w:cs="宋体"/>
        </w:rPr>
        <w:t>本表适用于享受研发费用加计扣除优惠（含结转）政策的纳税人填报。纳税人根据税法、《财政部 国家税务总局 科技部关于完善研究开发费用税前加计扣除政策的通知》（财税〔2015〕119号）、《国家税务总局关于企业研究开发费用税前加计扣除政策有关问题的公告》（2015年第97号）、《科技部 财政部 国家税务总局关于印发〈科技型中小企业评价办法〉的通知》（国科发政〔2017〕115号）、《国家税务总局关于提高科技型中小企业研究开发费用税前加计扣除比例有关问题的公告》（2017年第18号）、《国家税务总局关于研发费用税前加计扣除归集范围有关问题的公告》（2017年第40号）、《财政部 税务总局关于企业委托境外研究开发费用税前加计扣除有关政策问题的通知》（财税〔2018〕64号）、《财政部 税务总局 科技部关于提高研究开发费税前加计扣除比例的通知》（财税〔2018〕99号）、《财政部 税务总局关于延长部分税收优惠政策执行期限的公告》（2021年第6号）、《财政部 税务总局关于进一步完善研发费用税前加计扣除政策的公告》（2021年第13号）、《国家税务总局关于进一步落实研发费用加计扣除政策有关问题的公告》（2021年第28号）、《财政部 税务总局 科技部关于进一步提高科技型中小企业研发费用税前加计扣除比例的公告》（2022年第16号）、《财政部</w:t>
      </w:r>
      <w:r>
        <w:rPr>
          <w:rFonts w:ascii="宋体" w:hAnsi="宋体" w:eastAsia="宋体" w:cs="宋体"/>
        </w:rPr>
        <w:t xml:space="preserve"> </w:t>
      </w:r>
      <w:r>
        <w:rPr>
          <w:rFonts w:hint="eastAsia" w:ascii="宋体" w:hAnsi="宋体" w:eastAsia="宋体" w:cs="宋体"/>
        </w:rPr>
        <w:t>税务总局</w:t>
      </w:r>
      <w:r>
        <w:rPr>
          <w:rFonts w:ascii="宋体" w:hAnsi="宋体" w:eastAsia="宋体" w:cs="宋体"/>
        </w:rPr>
        <w:t xml:space="preserve"> </w:t>
      </w:r>
      <w:r>
        <w:rPr>
          <w:rFonts w:hint="eastAsia" w:ascii="宋体" w:hAnsi="宋体" w:eastAsia="宋体" w:cs="宋体"/>
        </w:rPr>
        <w:t>科技部关于加大支持科技创新税前扣除力度的公告》（</w:t>
      </w:r>
      <w:r>
        <w:rPr>
          <w:rFonts w:ascii="宋体" w:hAnsi="宋体" w:eastAsia="宋体" w:cs="宋体"/>
        </w:rPr>
        <w:t>2022年第28号</w:t>
      </w:r>
      <w:r>
        <w:rPr>
          <w:rFonts w:hint="eastAsia" w:ascii="宋体" w:hAnsi="宋体" w:eastAsia="宋体" w:cs="宋体"/>
        </w:rPr>
        <w:t>）等相关税收政策规定，填报本年发生的研发费用加计扣除优惠情况及结转情况。</w:t>
      </w:r>
    </w:p>
    <w:p>
      <w:pPr>
        <w:pStyle w:val="96"/>
        <w:spacing w:before="166"/>
        <w:ind w:firstLine="482"/>
        <w:outlineLvl w:val="0"/>
        <w:rPr>
          <w:rFonts w:ascii="宋体" w:hAnsi="宋体" w:eastAsia="宋体" w:cs="宋体"/>
          <w:b/>
          <w:bCs/>
        </w:rPr>
      </w:pPr>
      <w:bookmarkStart w:id="285" w:name="_Toc1544771445_WPSOffice_Level1"/>
      <w:bookmarkStart w:id="286" w:name="_Toc224972706_WPSOffice_Level1"/>
      <w:bookmarkStart w:id="287" w:name="_Toc1095862920_WPSOffice_Level1"/>
      <w:bookmarkStart w:id="288" w:name="_Toc938992145_WPSOffice_Level1"/>
      <w:r>
        <w:rPr>
          <w:rFonts w:hint="eastAsia" w:ascii="宋体" w:hAnsi="宋体" w:eastAsia="宋体" w:cs="宋体"/>
          <w:b/>
          <w:bCs/>
        </w:rPr>
        <w:t>一、有关项目填报说明</w:t>
      </w:r>
      <w:bookmarkEnd w:id="285"/>
      <w:bookmarkEnd w:id="286"/>
      <w:bookmarkEnd w:id="287"/>
      <w:bookmarkEnd w:id="288"/>
    </w:p>
    <w:p>
      <w:pPr>
        <w:spacing w:line="360" w:lineRule="auto"/>
        <w:ind w:firstLine="480" w:firstLineChars="200"/>
        <w:rPr>
          <w:rFonts w:ascii="宋体" w:hAnsi="宋体" w:cs="宋体"/>
          <w:sz w:val="24"/>
        </w:rPr>
      </w:pPr>
      <w:r>
        <w:rPr>
          <w:rFonts w:hint="eastAsia" w:ascii="宋体" w:hAnsi="宋体" w:cs="宋体"/>
          <w:sz w:val="24"/>
        </w:rPr>
        <w:t>纳税人根据研发支出辅助账样式选择填报不同行次，当纳税人使用《2021版研发支出辅助账样式》或者使用自行设计研发支出辅助账样式时，第3行“（一）人员人工费用”、第7行“（二）直接投入费用”、第16行“（三）折旧费用”、第19行“（四）无形资产摊销”、第23行“（五）新产品设计费等”、第28行“（六）其他相关费用”等行次下的明细行次无需填报，上述行次不执行规定的表内计算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行“本年可享受研发费用加计扣除项目数量”：填报纳税人本年研发项目中可享受研发费用加计扣除优惠政策的项目数量。</w:t>
      </w:r>
    </w:p>
    <w:p>
      <w:pPr>
        <w:pStyle w:val="94"/>
        <w:spacing w:line="360" w:lineRule="auto"/>
        <w:ind w:firstLine="480"/>
        <w:rPr>
          <w:rFonts w:ascii="宋体" w:hAnsi="宋体" w:eastAsia="宋体" w:cs="宋体"/>
        </w:rPr>
      </w:pPr>
      <w:r>
        <w:rPr>
          <w:rFonts w:hint="eastAsia" w:ascii="宋体" w:hAnsi="宋体" w:eastAsia="宋体" w:cs="宋体"/>
        </w:rPr>
        <w:t>2.第2行“一、自主研发、合作研发、集中研发”：填报第3+7+16+19+23+34行金额。</w:t>
      </w:r>
    </w:p>
    <w:p>
      <w:pPr>
        <w:pStyle w:val="94"/>
        <w:spacing w:line="360" w:lineRule="auto"/>
        <w:ind w:firstLine="480"/>
        <w:rPr>
          <w:rFonts w:ascii="宋体" w:hAnsi="宋体" w:eastAsia="宋体" w:cs="宋体"/>
        </w:rPr>
      </w:pPr>
      <w:r>
        <w:rPr>
          <w:rFonts w:hint="eastAsia" w:ascii="宋体" w:hAnsi="宋体" w:eastAsia="宋体" w:cs="宋体"/>
        </w:rPr>
        <w:t>3.第3行“（一）人员人工费用”：填报第4+5+6行金额。</w:t>
      </w:r>
    </w:p>
    <w:p>
      <w:pPr>
        <w:pStyle w:val="94"/>
        <w:spacing w:line="360" w:lineRule="auto"/>
        <w:ind w:firstLine="480"/>
        <w:rPr>
          <w:rFonts w:ascii="宋体" w:hAnsi="宋体" w:eastAsia="宋体" w:cs="宋体"/>
        </w:rPr>
      </w:pPr>
      <w:r>
        <w:rPr>
          <w:rFonts w:hint="eastAsia" w:ascii="宋体" w:hAnsi="宋体" w:eastAsia="宋体" w:cs="宋体"/>
        </w:rPr>
        <w:t>直接从事研发活动的人员、外聘研发人员同时从事非研发活动的，填报按实际工时占比等合理方法分配的用于研发活动的相关费用。</w:t>
      </w:r>
    </w:p>
    <w:p>
      <w:pPr>
        <w:pStyle w:val="94"/>
        <w:spacing w:line="360" w:lineRule="auto"/>
        <w:ind w:firstLine="480"/>
        <w:rPr>
          <w:rFonts w:ascii="宋体" w:hAnsi="宋体" w:eastAsia="宋体" w:cs="宋体"/>
        </w:rPr>
      </w:pPr>
      <w:r>
        <w:rPr>
          <w:rFonts w:hint="eastAsia" w:ascii="宋体" w:hAnsi="宋体" w:eastAsia="宋体" w:cs="宋体"/>
        </w:rPr>
        <w:t>4.第4行“1.直接从事研发活动人员工资薪金”：填报纳税人直接从事研发活动人员，包括研究人员、技术人员、辅助人员的工资、薪金、奖金、津贴、补贴以及按规定可以在税前扣除的对研发人员股权激励的支出。</w:t>
      </w:r>
    </w:p>
    <w:p>
      <w:pPr>
        <w:pStyle w:val="94"/>
        <w:spacing w:line="360" w:lineRule="auto"/>
        <w:ind w:firstLine="480"/>
        <w:rPr>
          <w:rFonts w:ascii="宋体" w:hAnsi="宋体" w:eastAsia="宋体" w:cs="宋体"/>
        </w:rPr>
      </w:pPr>
      <w:r>
        <w:rPr>
          <w:rFonts w:hint="eastAsia" w:ascii="宋体" w:hAnsi="宋体" w:eastAsia="宋体" w:cs="宋体"/>
        </w:rPr>
        <w:t>5.第5行“2.直接从事研发活动人员五险一金”：填报纳税人直接从事研发活动人员，包括研究人员、技术人员、辅助人员的基本养老保险费、基本医疗保险费、失业保险费、工伤保险费、生育保险费和住房公积金。</w:t>
      </w:r>
    </w:p>
    <w:p>
      <w:pPr>
        <w:pStyle w:val="94"/>
        <w:spacing w:line="360" w:lineRule="auto"/>
        <w:ind w:firstLine="480"/>
        <w:rPr>
          <w:rFonts w:ascii="宋体" w:hAnsi="宋体" w:eastAsia="宋体" w:cs="宋体"/>
        </w:rPr>
      </w:pPr>
      <w:r>
        <w:rPr>
          <w:rFonts w:hint="eastAsia" w:ascii="宋体" w:hAnsi="宋体" w:eastAsia="宋体" w:cs="宋体"/>
        </w:rPr>
        <w:t>6.第6行“3.外聘研发人员的劳务费用”：填报与纳税人或劳务派遣企业签订劳务用工协议（合同）的外聘研发人员的劳务费用，以及临时聘用的研究人员、技术人员、辅助人员的劳务费用。</w:t>
      </w:r>
    </w:p>
    <w:p>
      <w:pPr>
        <w:pStyle w:val="94"/>
        <w:spacing w:line="360" w:lineRule="auto"/>
        <w:ind w:firstLine="480"/>
        <w:rPr>
          <w:rFonts w:ascii="宋体" w:hAnsi="宋体" w:eastAsia="宋体" w:cs="宋体"/>
        </w:rPr>
      </w:pPr>
      <w:r>
        <w:rPr>
          <w:rFonts w:hint="eastAsia" w:ascii="宋体" w:hAnsi="宋体" w:eastAsia="宋体" w:cs="宋体"/>
        </w:rPr>
        <w:t>7.第7行“（二）直接投入费用”：填报第8+9+10+11+12+13+14+15行金额。</w:t>
      </w:r>
    </w:p>
    <w:p>
      <w:pPr>
        <w:pStyle w:val="94"/>
        <w:spacing w:line="360" w:lineRule="auto"/>
        <w:ind w:firstLine="480"/>
        <w:rPr>
          <w:rFonts w:ascii="宋体" w:hAnsi="宋体" w:eastAsia="宋体" w:cs="宋体"/>
        </w:rPr>
      </w:pPr>
      <w:r>
        <w:rPr>
          <w:rFonts w:hint="eastAsia" w:ascii="宋体" w:hAnsi="宋体" w:eastAsia="宋体" w:cs="宋体"/>
        </w:rPr>
        <w:t>8.第8行“1.研发活动直接消耗材料费用”：填报纳税人研发活动直接消耗的材料费用。</w:t>
      </w:r>
    </w:p>
    <w:p>
      <w:pPr>
        <w:pStyle w:val="94"/>
        <w:spacing w:line="360" w:lineRule="auto"/>
        <w:ind w:firstLine="480"/>
        <w:rPr>
          <w:rFonts w:ascii="宋体" w:hAnsi="宋体" w:eastAsia="宋体" w:cs="宋体"/>
        </w:rPr>
      </w:pPr>
      <w:r>
        <w:rPr>
          <w:rFonts w:hint="eastAsia" w:ascii="宋体" w:hAnsi="宋体" w:eastAsia="宋体" w:cs="宋体"/>
        </w:rPr>
        <w:t>9.第9行“2.研发活动直接消耗燃料费用”：填报纳税人研发活动直接消耗的燃料费用。</w:t>
      </w:r>
    </w:p>
    <w:p>
      <w:pPr>
        <w:pStyle w:val="94"/>
        <w:spacing w:line="360" w:lineRule="auto"/>
        <w:ind w:firstLine="480"/>
        <w:rPr>
          <w:rFonts w:ascii="宋体" w:hAnsi="宋体" w:eastAsia="宋体" w:cs="宋体"/>
        </w:rPr>
      </w:pPr>
      <w:r>
        <w:rPr>
          <w:rFonts w:hint="eastAsia" w:ascii="宋体" w:hAnsi="宋体" w:eastAsia="宋体" w:cs="宋体"/>
        </w:rPr>
        <w:t>10.第10行“3.研发活动直接消耗动力费用”：填报纳税人研发活动直接消耗的动力费用。</w:t>
      </w:r>
    </w:p>
    <w:p>
      <w:pPr>
        <w:pStyle w:val="94"/>
        <w:spacing w:line="360" w:lineRule="auto"/>
        <w:ind w:firstLine="480"/>
        <w:rPr>
          <w:rFonts w:ascii="宋体" w:hAnsi="宋体" w:eastAsia="宋体" w:cs="宋体"/>
        </w:rPr>
      </w:pPr>
      <w:r>
        <w:rPr>
          <w:rFonts w:hint="eastAsia" w:ascii="宋体" w:hAnsi="宋体" w:eastAsia="宋体" w:cs="宋体"/>
        </w:rPr>
        <w:t>11.第11行“4.用于中间试验和产品试制的模具、工艺装备开发及制造费”：填报纳税人研发活动中用于中间试验和产品试制的模具、工艺装备开发及制造的费用。</w:t>
      </w:r>
    </w:p>
    <w:p>
      <w:pPr>
        <w:pStyle w:val="94"/>
        <w:spacing w:line="360" w:lineRule="auto"/>
        <w:ind w:firstLine="480"/>
        <w:rPr>
          <w:rFonts w:ascii="宋体" w:hAnsi="宋体" w:eastAsia="宋体" w:cs="宋体"/>
        </w:rPr>
      </w:pPr>
      <w:r>
        <w:rPr>
          <w:rFonts w:hint="eastAsia" w:ascii="宋体" w:hAnsi="宋体" w:eastAsia="宋体" w:cs="宋体"/>
        </w:rPr>
        <w:t>12.第12行“5.用于不构成固定资产的样品、样机及一般测试手段购置费”：填报纳税人研发活动中用于不构成固定资产的样品、样机及一般测试手段购置费用。</w:t>
      </w:r>
    </w:p>
    <w:p>
      <w:pPr>
        <w:pStyle w:val="94"/>
        <w:spacing w:line="360" w:lineRule="auto"/>
        <w:ind w:firstLine="480"/>
        <w:rPr>
          <w:rFonts w:ascii="宋体" w:hAnsi="宋体" w:eastAsia="宋体" w:cs="宋体"/>
        </w:rPr>
      </w:pPr>
      <w:r>
        <w:rPr>
          <w:rFonts w:hint="eastAsia" w:ascii="宋体" w:hAnsi="宋体" w:eastAsia="宋体" w:cs="宋体"/>
        </w:rPr>
        <w:t>13.第13行“6.用于试制产品的检验费”：填报纳税人研发活动中用于试制产品的检验费。</w:t>
      </w:r>
    </w:p>
    <w:p>
      <w:pPr>
        <w:pStyle w:val="94"/>
        <w:spacing w:line="360" w:lineRule="auto"/>
        <w:ind w:firstLine="480"/>
        <w:rPr>
          <w:rFonts w:ascii="宋体" w:hAnsi="宋体" w:eastAsia="宋体" w:cs="宋体"/>
        </w:rPr>
      </w:pPr>
      <w:r>
        <w:rPr>
          <w:rFonts w:hint="eastAsia" w:ascii="宋体" w:hAnsi="宋体" w:eastAsia="宋体" w:cs="宋体"/>
        </w:rPr>
        <w:t>14.第14行“7.用于研发活动的仪器、设备的运行维护、调整、检验、维修等费用”：填报纳税人用于研发活动的仪器、设备的运行维护、调整、检验、维修等费用。</w:t>
      </w:r>
    </w:p>
    <w:p>
      <w:pPr>
        <w:pStyle w:val="94"/>
        <w:spacing w:line="360" w:lineRule="auto"/>
        <w:ind w:firstLine="480"/>
        <w:rPr>
          <w:rFonts w:ascii="宋体" w:hAnsi="宋体" w:eastAsia="宋体" w:cs="宋体"/>
        </w:rPr>
      </w:pPr>
      <w:r>
        <w:rPr>
          <w:rFonts w:hint="eastAsia" w:ascii="宋体" w:hAnsi="宋体" w:eastAsia="宋体" w:cs="宋体"/>
        </w:rPr>
        <w:t>15.第15行“8.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pPr>
        <w:pStyle w:val="94"/>
        <w:spacing w:line="360" w:lineRule="auto"/>
        <w:ind w:firstLine="480"/>
        <w:rPr>
          <w:rFonts w:ascii="宋体" w:hAnsi="宋体" w:eastAsia="宋体" w:cs="宋体"/>
        </w:rPr>
      </w:pPr>
      <w:r>
        <w:rPr>
          <w:rFonts w:hint="eastAsia" w:ascii="宋体" w:hAnsi="宋体" w:eastAsia="宋体" w:cs="宋体"/>
        </w:rPr>
        <w:t>16.第16行“（三）折旧费用”：填报第17+18行金额。</w:t>
      </w:r>
    </w:p>
    <w:p>
      <w:pPr>
        <w:pStyle w:val="94"/>
        <w:spacing w:line="360" w:lineRule="auto"/>
        <w:ind w:firstLine="480"/>
        <w:rPr>
          <w:rFonts w:ascii="宋体" w:hAnsi="宋体" w:eastAsia="宋体" w:cs="宋体"/>
        </w:rPr>
      </w:pPr>
      <w:r>
        <w:rPr>
          <w:rFonts w:hint="eastAsia" w:ascii="宋体" w:hAnsi="宋体" w:eastAsia="宋体" w:cs="宋体"/>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pPr>
        <w:pStyle w:val="94"/>
        <w:spacing w:line="360" w:lineRule="auto"/>
        <w:ind w:firstLine="480"/>
        <w:rPr>
          <w:rFonts w:ascii="宋体" w:hAnsi="宋体" w:eastAsia="宋体" w:cs="宋体"/>
        </w:rPr>
      </w:pPr>
      <w:r>
        <w:rPr>
          <w:rFonts w:hint="eastAsia" w:ascii="宋体" w:hAnsi="宋体" w:eastAsia="宋体" w:cs="宋体"/>
        </w:rPr>
        <w:t>17.第17行“1.用于研发活动的仪器的折旧费”：填报纳税人用于研发活动的仪器的折旧费。</w:t>
      </w:r>
    </w:p>
    <w:p>
      <w:pPr>
        <w:pStyle w:val="94"/>
        <w:spacing w:line="360" w:lineRule="auto"/>
        <w:ind w:firstLine="480"/>
        <w:rPr>
          <w:rFonts w:ascii="宋体" w:hAnsi="宋体" w:eastAsia="宋体" w:cs="宋体"/>
        </w:rPr>
      </w:pPr>
      <w:r>
        <w:rPr>
          <w:rFonts w:hint="eastAsia" w:ascii="宋体" w:hAnsi="宋体" w:eastAsia="宋体" w:cs="宋体"/>
        </w:rPr>
        <w:t>18.第18行“2.用于研发活动的设备的折旧费”：填报纳税人用于研发活动的设备的折旧费。</w:t>
      </w:r>
    </w:p>
    <w:p>
      <w:pPr>
        <w:pStyle w:val="94"/>
        <w:spacing w:line="360" w:lineRule="auto"/>
        <w:ind w:firstLine="480"/>
        <w:rPr>
          <w:rFonts w:ascii="宋体" w:hAnsi="宋体" w:eastAsia="宋体" w:cs="宋体"/>
        </w:rPr>
      </w:pPr>
      <w:r>
        <w:rPr>
          <w:rFonts w:hint="eastAsia" w:ascii="宋体" w:hAnsi="宋体" w:eastAsia="宋体" w:cs="宋体"/>
        </w:rPr>
        <w:t>19.第19行“（四）无形资产摊销”：填报第20+21+22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pPr>
        <w:pStyle w:val="94"/>
        <w:spacing w:line="360" w:lineRule="auto"/>
        <w:ind w:firstLine="480"/>
        <w:rPr>
          <w:rFonts w:ascii="宋体" w:hAnsi="宋体" w:eastAsia="宋体" w:cs="宋体"/>
        </w:rPr>
      </w:pPr>
      <w:r>
        <w:rPr>
          <w:rFonts w:hint="eastAsia" w:ascii="宋体" w:hAnsi="宋体" w:eastAsia="宋体" w:cs="宋体"/>
        </w:rPr>
        <w:t>20.第20行“1.用于研发活动的软件的摊销费用”：填报纳税人用于研发活动的软件的摊销费用。</w:t>
      </w:r>
    </w:p>
    <w:p>
      <w:pPr>
        <w:pStyle w:val="94"/>
        <w:spacing w:line="360" w:lineRule="auto"/>
        <w:ind w:firstLine="480"/>
        <w:rPr>
          <w:rFonts w:ascii="宋体" w:hAnsi="宋体" w:eastAsia="宋体" w:cs="宋体"/>
        </w:rPr>
      </w:pPr>
      <w:r>
        <w:rPr>
          <w:rFonts w:hint="eastAsia" w:ascii="宋体" w:hAnsi="宋体" w:eastAsia="宋体" w:cs="宋体"/>
        </w:rPr>
        <w:t>21.第21行“2.用于研发活动的专利权的摊销费用”：填报纳税人用于研发活动的专利权的摊销费用。</w:t>
      </w:r>
    </w:p>
    <w:p>
      <w:pPr>
        <w:pStyle w:val="94"/>
        <w:spacing w:line="360" w:lineRule="auto"/>
        <w:ind w:firstLine="480"/>
        <w:rPr>
          <w:rFonts w:ascii="宋体" w:hAnsi="宋体" w:eastAsia="宋体" w:cs="宋体"/>
        </w:rPr>
      </w:pPr>
      <w:r>
        <w:rPr>
          <w:rFonts w:hint="eastAsia" w:ascii="宋体" w:hAnsi="宋体" w:eastAsia="宋体" w:cs="宋体"/>
        </w:rPr>
        <w:t>22.第22行“3.用于研发活动的非专利技术（包括许可证、专有技术、设计和计算方法等）的摊销费用”：填报纳税人用于研发活动的非专利技术（包括许可证、专有技术、设计和计算方法等）的摊销费用。</w:t>
      </w:r>
    </w:p>
    <w:p>
      <w:pPr>
        <w:pStyle w:val="94"/>
        <w:spacing w:line="360" w:lineRule="auto"/>
        <w:ind w:firstLine="480"/>
        <w:rPr>
          <w:rFonts w:ascii="宋体" w:hAnsi="宋体" w:eastAsia="宋体" w:cs="宋体"/>
        </w:rPr>
      </w:pPr>
      <w:r>
        <w:rPr>
          <w:rFonts w:hint="eastAsia" w:ascii="宋体" w:hAnsi="宋体" w:eastAsia="宋体" w:cs="宋体"/>
        </w:rPr>
        <w:t>23.第23行“（五）新产品设计费等”：填报第24+25+26+27行金额。新产品设计费、新工艺规程制定费、新药研制的临床试验费、勘探开发技术的现场试验费等由辅助生产部门提供的，填报按照一定的分配标准分配给研发项目的金额。</w:t>
      </w:r>
    </w:p>
    <w:p>
      <w:pPr>
        <w:pStyle w:val="94"/>
        <w:spacing w:line="360" w:lineRule="auto"/>
        <w:ind w:firstLine="480"/>
        <w:rPr>
          <w:rFonts w:ascii="宋体" w:hAnsi="宋体" w:eastAsia="宋体" w:cs="宋体"/>
        </w:rPr>
      </w:pPr>
      <w:r>
        <w:rPr>
          <w:rFonts w:hint="eastAsia" w:ascii="宋体" w:hAnsi="宋体" w:eastAsia="宋体" w:cs="宋体"/>
        </w:rPr>
        <w:t>24.第24行“1.新产品设计费”：填报纳税人研发活动中发生的新产品设计费。</w:t>
      </w:r>
    </w:p>
    <w:p>
      <w:pPr>
        <w:pStyle w:val="94"/>
        <w:spacing w:line="360" w:lineRule="auto"/>
        <w:ind w:firstLine="480"/>
        <w:rPr>
          <w:rFonts w:ascii="宋体" w:hAnsi="宋体" w:eastAsia="宋体" w:cs="宋体"/>
        </w:rPr>
      </w:pPr>
      <w:r>
        <w:rPr>
          <w:rFonts w:hint="eastAsia" w:ascii="宋体" w:hAnsi="宋体" w:eastAsia="宋体" w:cs="宋体"/>
        </w:rPr>
        <w:t>25.第25行“2.新工艺规程制定费”：填报纳税人研发活动中发生的新工艺规程制定费。</w:t>
      </w:r>
    </w:p>
    <w:p>
      <w:pPr>
        <w:pStyle w:val="94"/>
        <w:spacing w:line="360" w:lineRule="auto"/>
        <w:ind w:firstLine="480"/>
        <w:rPr>
          <w:rFonts w:ascii="宋体" w:hAnsi="宋体" w:eastAsia="宋体" w:cs="宋体"/>
        </w:rPr>
      </w:pPr>
      <w:r>
        <w:rPr>
          <w:rFonts w:hint="eastAsia" w:ascii="宋体" w:hAnsi="宋体" w:eastAsia="宋体" w:cs="宋体"/>
        </w:rPr>
        <w:t>26.第26行“3.新药研制的临床试验费”：填报纳税人研发活动中发生的新药研制的临床试验费。</w:t>
      </w:r>
    </w:p>
    <w:p>
      <w:pPr>
        <w:pStyle w:val="94"/>
        <w:spacing w:line="360" w:lineRule="auto"/>
        <w:ind w:firstLine="480"/>
        <w:rPr>
          <w:rFonts w:ascii="宋体" w:hAnsi="宋体" w:eastAsia="宋体" w:cs="宋体"/>
        </w:rPr>
      </w:pPr>
      <w:r>
        <w:rPr>
          <w:rFonts w:hint="eastAsia" w:ascii="宋体" w:hAnsi="宋体" w:eastAsia="宋体" w:cs="宋体"/>
        </w:rPr>
        <w:t>27.第27行“4.勘探开发技术的现场试验费”：填报纳税人研发活动中发生的勘探开发技术的现场试验费。</w:t>
      </w:r>
    </w:p>
    <w:p>
      <w:pPr>
        <w:pStyle w:val="94"/>
        <w:spacing w:line="360" w:lineRule="auto"/>
        <w:ind w:firstLine="480"/>
        <w:rPr>
          <w:rFonts w:ascii="宋体" w:hAnsi="宋体" w:eastAsia="宋体" w:cs="宋体"/>
        </w:rPr>
      </w:pPr>
      <w:r>
        <w:rPr>
          <w:rFonts w:hint="eastAsia" w:ascii="宋体" w:hAnsi="宋体" w:eastAsia="宋体" w:cs="宋体"/>
        </w:rPr>
        <w:t>28.第28行“(六)其他相关费用”：填报第29+30+31+32+33行金额。</w:t>
      </w:r>
    </w:p>
    <w:p>
      <w:pPr>
        <w:pStyle w:val="94"/>
        <w:spacing w:line="360" w:lineRule="auto"/>
        <w:ind w:firstLine="480"/>
        <w:rPr>
          <w:rFonts w:ascii="宋体" w:hAnsi="宋体" w:eastAsia="宋体" w:cs="宋体"/>
        </w:rPr>
      </w:pPr>
      <w:r>
        <w:rPr>
          <w:rFonts w:hint="eastAsia" w:ascii="宋体" w:hAnsi="宋体" w:eastAsia="宋体" w:cs="宋体"/>
        </w:rPr>
        <w:t>29.第29行“1.技术图书资料费、资料翻译费、专家咨询费、高新科技研发保险费”：填报纳税人研发活动中发生的技术图书资料费、资料翻译费、专家咨询费、高新科技研发保险费。</w:t>
      </w:r>
    </w:p>
    <w:p>
      <w:pPr>
        <w:pStyle w:val="94"/>
        <w:spacing w:line="360" w:lineRule="auto"/>
        <w:ind w:firstLine="480"/>
        <w:rPr>
          <w:rFonts w:ascii="宋体" w:hAnsi="宋体" w:eastAsia="宋体" w:cs="宋体"/>
        </w:rPr>
      </w:pPr>
      <w:r>
        <w:rPr>
          <w:rFonts w:hint="eastAsia" w:ascii="宋体" w:hAnsi="宋体" w:eastAsia="宋体" w:cs="宋体"/>
        </w:rPr>
        <w:t>30.第30行“2.研发成果的检索、分析、评议、论证、鉴定、评审、评估、验收费用”：填报纳税人研发活动中发生的研发成果的检索、分析、评议、论证、鉴定、评审、评估、验收费用。</w:t>
      </w:r>
    </w:p>
    <w:p>
      <w:pPr>
        <w:pStyle w:val="94"/>
        <w:spacing w:line="360" w:lineRule="auto"/>
        <w:ind w:firstLine="480"/>
        <w:rPr>
          <w:rFonts w:ascii="宋体" w:hAnsi="宋体" w:eastAsia="宋体" w:cs="宋体"/>
        </w:rPr>
      </w:pPr>
      <w:r>
        <w:rPr>
          <w:rFonts w:hint="eastAsia" w:ascii="宋体" w:hAnsi="宋体" w:eastAsia="宋体" w:cs="宋体"/>
        </w:rPr>
        <w:t>31.第31行“3.知识产权的申请费、注册费、代理费”：填报纳税人研发活动中发生的知识产权的申请费、注册费、代理费。</w:t>
      </w:r>
    </w:p>
    <w:p>
      <w:pPr>
        <w:pStyle w:val="94"/>
        <w:spacing w:line="360" w:lineRule="auto"/>
        <w:ind w:firstLine="480"/>
        <w:rPr>
          <w:rFonts w:ascii="宋体" w:hAnsi="宋体" w:eastAsia="宋体" w:cs="宋体"/>
        </w:rPr>
      </w:pPr>
      <w:r>
        <w:rPr>
          <w:rFonts w:hint="eastAsia" w:ascii="宋体" w:hAnsi="宋体" w:eastAsia="宋体" w:cs="宋体"/>
        </w:rPr>
        <w:t>32.第32行“4.职工福利费、补充养老保险费、补充医疗保险费”：填报纳税人研发活动人员发生的职工福利费、补充养老保险费、补充医疗保险费。</w:t>
      </w:r>
    </w:p>
    <w:p>
      <w:pPr>
        <w:pStyle w:val="94"/>
        <w:spacing w:line="360" w:lineRule="auto"/>
        <w:ind w:firstLine="480"/>
        <w:rPr>
          <w:rFonts w:ascii="宋体" w:hAnsi="宋体" w:eastAsia="宋体" w:cs="宋体"/>
        </w:rPr>
      </w:pPr>
      <w:r>
        <w:rPr>
          <w:rFonts w:hint="eastAsia" w:ascii="宋体" w:hAnsi="宋体" w:eastAsia="宋体" w:cs="宋体"/>
        </w:rPr>
        <w:t>33.第33行“5.差旅费、会议费”：填报纳税人研发活动发生的差旅费、会议费。</w:t>
      </w:r>
    </w:p>
    <w:p>
      <w:pPr>
        <w:pStyle w:val="94"/>
        <w:spacing w:line="360" w:lineRule="auto"/>
        <w:ind w:firstLine="480"/>
        <w:rPr>
          <w:rFonts w:ascii="宋体" w:hAnsi="宋体" w:eastAsia="宋体" w:cs="宋体"/>
        </w:rPr>
      </w:pPr>
      <w:r>
        <w:rPr>
          <w:rFonts w:hint="eastAsia" w:ascii="宋体" w:hAnsi="宋体" w:eastAsia="宋体" w:cs="宋体"/>
        </w:rPr>
        <w:t>34.第34行“(七)经限额调整后的其他相关费用”：填报第28行与其他相关费用限额的孰小值。其他相关费用限额按以下公式计算：</w:t>
      </w:r>
    </w:p>
    <w:p>
      <w:pPr>
        <w:pStyle w:val="94"/>
        <w:spacing w:line="360" w:lineRule="auto"/>
        <w:ind w:firstLine="480"/>
        <w:rPr>
          <w:rFonts w:ascii="宋体" w:hAnsi="宋体" w:eastAsia="宋体" w:cs="宋体"/>
        </w:rPr>
      </w:pPr>
      <w:r>
        <w:rPr>
          <w:rFonts w:hint="eastAsia" w:ascii="宋体" w:hAnsi="宋体" w:eastAsia="宋体" w:cs="宋体"/>
        </w:rPr>
        <w:t>其他相关费用限额＝第3+7+16+19+23行×10%/(1-10%)。</w:t>
      </w:r>
    </w:p>
    <w:p>
      <w:pPr>
        <w:pStyle w:val="94"/>
        <w:spacing w:line="360" w:lineRule="auto"/>
        <w:ind w:firstLine="480"/>
        <w:rPr>
          <w:rFonts w:ascii="宋体" w:hAnsi="宋体" w:eastAsia="宋体" w:cs="宋体"/>
        </w:rPr>
      </w:pPr>
      <w:r>
        <w:rPr>
          <w:rFonts w:hint="eastAsia" w:ascii="宋体" w:hAnsi="宋体" w:eastAsia="宋体" w:cs="宋体"/>
        </w:rPr>
        <w:t>35.第35行“二、委托研发”：填报第36+37+39行金额。</w:t>
      </w:r>
    </w:p>
    <w:p>
      <w:pPr>
        <w:pStyle w:val="94"/>
        <w:spacing w:line="360" w:lineRule="auto"/>
        <w:ind w:firstLine="480"/>
        <w:rPr>
          <w:rFonts w:ascii="宋体" w:hAnsi="宋体" w:eastAsia="宋体" w:cs="宋体"/>
        </w:rPr>
      </w:pPr>
      <w:r>
        <w:rPr>
          <w:rFonts w:hint="eastAsia" w:ascii="宋体" w:hAnsi="宋体" w:eastAsia="宋体" w:cs="宋体"/>
        </w:rPr>
        <w:t>36.第36行“（一）委托境内机构或个人进行研发活动所发生的费用”：填报纳税人研发项目委托境内机构或个人进行研发活动所发生的费用。</w:t>
      </w:r>
    </w:p>
    <w:p>
      <w:pPr>
        <w:pStyle w:val="94"/>
        <w:spacing w:line="360" w:lineRule="auto"/>
        <w:ind w:firstLine="480"/>
        <w:rPr>
          <w:rFonts w:ascii="宋体" w:hAnsi="宋体" w:eastAsia="宋体" w:cs="宋体"/>
        </w:rPr>
      </w:pPr>
      <w:r>
        <w:rPr>
          <w:rFonts w:hint="eastAsia" w:ascii="宋体" w:hAnsi="宋体" w:eastAsia="宋体" w:cs="宋体"/>
        </w:rPr>
        <w:t>37.第37行“（二）委托境外机构进行研发活动发生的费用”：填报纳税人研发项目委托境外机构进行研发活动所发生的费用。</w:t>
      </w:r>
    </w:p>
    <w:p>
      <w:pPr>
        <w:pStyle w:val="94"/>
        <w:spacing w:line="360" w:lineRule="auto"/>
        <w:ind w:firstLine="480"/>
        <w:rPr>
          <w:rFonts w:ascii="宋体" w:hAnsi="宋体" w:eastAsia="宋体" w:cs="宋体"/>
        </w:rPr>
      </w:pPr>
      <w:r>
        <w:rPr>
          <w:rFonts w:hint="eastAsia" w:ascii="宋体" w:hAnsi="宋体" w:eastAsia="宋体" w:cs="宋体"/>
        </w:rPr>
        <w:t>38.第38行“允许加计扣除的委托境外机构进行研发活动发生的费用”：填报纳税人按照税收规定允许加计扣除的委托境外机构进行研发活动发生的研发费用。</w:t>
      </w:r>
    </w:p>
    <w:p>
      <w:pPr>
        <w:pStyle w:val="94"/>
        <w:spacing w:line="360" w:lineRule="auto"/>
        <w:ind w:firstLine="480"/>
        <w:rPr>
          <w:rFonts w:ascii="宋体" w:hAnsi="宋体" w:eastAsia="宋体" w:cs="宋体"/>
        </w:rPr>
      </w:pPr>
      <w:r>
        <w:rPr>
          <w:rFonts w:hint="eastAsia" w:ascii="宋体" w:hAnsi="宋体" w:eastAsia="宋体" w:cs="宋体"/>
        </w:rPr>
        <w:t>39.第39行“（三）委托境外个人进行研发活动发生的费用”：填报纳税人委托境外个人进行研发活动发生的费用。本行不参与加计扣除优惠金额的计算。</w:t>
      </w:r>
    </w:p>
    <w:p>
      <w:pPr>
        <w:pStyle w:val="94"/>
        <w:spacing w:line="360" w:lineRule="auto"/>
        <w:ind w:firstLine="480"/>
        <w:rPr>
          <w:rFonts w:ascii="宋体" w:hAnsi="宋体" w:eastAsia="宋体" w:cs="宋体"/>
        </w:rPr>
      </w:pPr>
      <w:r>
        <w:rPr>
          <w:rFonts w:hint="eastAsia" w:ascii="宋体" w:hAnsi="宋体" w:eastAsia="宋体" w:cs="宋体"/>
        </w:rPr>
        <w:t>40.第40行“三、年度研发费用小计”：填报第2行+第36行×80%+第38行金额。</w:t>
      </w:r>
    </w:p>
    <w:p>
      <w:pPr>
        <w:pStyle w:val="94"/>
        <w:spacing w:line="360" w:lineRule="auto"/>
        <w:ind w:firstLine="480"/>
        <w:rPr>
          <w:rFonts w:ascii="宋体" w:hAnsi="宋体" w:eastAsia="宋体" w:cs="宋体"/>
        </w:rPr>
      </w:pPr>
      <w:r>
        <w:rPr>
          <w:rFonts w:hint="eastAsia" w:ascii="宋体" w:hAnsi="宋体" w:eastAsia="宋体" w:cs="宋体"/>
        </w:rPr>
        <w:t>41.第41行“（一）本年费用化金额”：填报纳税人研发活动本年费用化部分金额。</w:t>
      </w:r>
    </w:p>
    <w:p>
      <w:pPr>
        <w:pStyle w:val="94"/>
        <w:spacing w:line="360" w:lineRule="auto"/>
        <w:ind w:firstLine="480"/>
        <w:rPr>
          <w:rFonts w:ascii="宋体" w:hAnsi="宋体" w:eastAsia="宋体" w:cs="宋体"/>
        </w:rPr>
      </w:pPr>
      <w:r>
        <w:rPr>
          <w:rFonts w:hint="eastAsia" w:ascii="宋体" w:hAnsi="宋体" w:eastAsia="宋体" w:cs="宋体"/>
        </w:rPr>
        <w:t>42.第42行“（二）本年资本化金额”：填报纳税人研发活动本年结转无形资产的金额。</w:t>
      </w:r>
    </w:p>
    <w:p>
      <w:pPr>
        <w:pStyle w:val="94"/>
        <w:spacing w:line="360" w:lineRule="auto"/>
        <w:ind w:firstLine="480"/>
        <w:rPr>
          <w:rFonts w:ascii="宋体" w:hAnsi="宋体" w:eastAsia="宋体" w:cs="宋体"/>
        </w:rPr>
      </w:pPr>
      <w:r>
        <w:rPr>
          <w:rFonts w:hint="eastAsia" w:ascii="宋体" w:hAnsi="宋体" w:eastAsia="宋体" w:cs="宋体"/>
        </w:rPr>
        <w:t>43.第43行“四、本年形成无形资产摊销额”：填报纳税人研发活动本年形成无形资产的摊销额。</w:t>
      </w:r>
    </w:p>
    <w:p>
      <w:pPr>
        <w:pStyle w:val="94"/>
        <w:spacing w:line="360" w:lineRule="auto"/>
        <w:ind w:firstLine="480"/>
        <w:rPr>
          <w:rFonts w:ascii="宋体" w:hAnsi="宋体" w:eastAsia="宋体" w:cs="宋体"/>
        </w:rPr>
      </w:pPr>
      <w:r>
        <w:rPr>
          <w:rFonts w:hint="eastAsia" w:ascii="宋体" w:hAnsi="宋体" w:eastAsia="宋体" w:cs="宋体"/>
        </w:rPr>
        <w:t>44.第44行“五、以前年度形成无形资产本年摊销额”：填报纳税人研发活动以前年度形成无形资产本年摊销额。</w:t>
      </w:r>
    </w:p>
    <w:p>
      <w:pPr>
        <w:pStyle w:val="94"/>
        <w:spacing w:line="360" w:lineRule="auto"/>
        <w:ind w:firstLine="480"/>
        <w:rPr>
          <w:rFonts w:ascii="宋体" w:hAnsi="宋体" w:eastAsia="宋体" w:cs="宋体"/>
        </w:rPr>
      </w:pPr>
      <w:r>
        <w:rPr>
          <w:rFonts w:hint="eastAsia" w:ascii="宋体" w:hAnsi="宋体" w:eastAsia="宋体" w:cs="宋体"/>
        </w:rPr>
        <w:t>45.第45行“六、允许扣除的研发费用合计”：填报第41+43+44行金额。</w:t>
      </w:r>
    </w:p>
    <w:p>
      <w:pPr>
        <w:pStyle w:val="94"/>
        <w:spacing w:line="360" w:lineRule="auto"/>
        <w:ind w:firstLine="480"/>
        <w:rPr>
          <w:rFonts w:ascii="宋体" w:hAnsi="宋体" w:eastAsia="宋体" w:cs="宋体"/>
        </w:rPr>
      </w:pPr>
      <w:r>
        <w:rPr>
          <w:rFonts w:hint="eastAsia" w:ascii="宋体" w:hAnsi="宋体" w:eastAsia="宋体" w:cs="宋体"/>
        </w:rPr>
        <w:t>46.第46行“特殊收入部分”：填报纳税人已归集计入研发费用，但在当期取得的研发过程中形成的下脚料、残次品、中间试制品等特殊收入。</w:t>
      </w:r>
    </w:p>
    <w:p>
      <w:pPr>
        <w:pStyle w:val="94"/>
        <w:spacing w:line="360" w:lineRule="auto"/>
        <w:ind w:firstLine="480"/>
        <w:rPr>
          <w:rFonts w:ascii="宋体" w:hAnsi="宋体" w:eastAsia="宋体" w:cs="宋体"/>
        </w:rPr>
      </w:pPr>
      <w:r>
        <w:rPr>
          <w:rFonts w:hint="eastAsia" w:ascii="宋体" w:hAnsi="宋体" w:eastAsia="宋体" w:cs="宋体"/>
        </w:rPr>
        <w:t>47.第47行“七、允许扣除的研发费用抵减特殊收入后的金额”：填报第45-46行金额。</w:t>
      </w:r>
    </w:p>
    <w:p>
      <w:pPr>
        <w:pStyle w:val="94"/>
        <w:spacing w:line="360" w:lineRule="auto"/>
        <w:ind w:firstLine="480"/>
        <w:rPr>
          <w:rFonts w:ascii="宋体" w:hAnsi="宋体" w:eastAsia="宋体" w:cs="宋体"/>
        </w:rPr>
      </w:pPr>
      <w:r>
        <w:rPr>
          <w:rFonts w:hint="eastAsia" w:ascii="宋体" w:hAnsi="宋体" w:eastAsia="宋体" w:cs="宋体"/>
        </w:rPr>
        <w:t>48.第48行“当年销售研发活动直接形成产品（包括组成部分）对应的材料部分”：填报纳税人当年销售研发活动直接形成产品（包括组成部分）对应的材料部分金额。</w:t>
      </w:r>
    </w:p>
    <w:p>
      <w:pPr>
        <w:pStyle w:val="94"/>
        <w:spacing w:line="360" w:lineRule="auto"/>
        <w:ind w:firstLine="480"/>
        <w:rPr>
          <w:rFonts w:ascii="宋体" w:hAnsi="宋体" w:eastAsia="宋体" w:cs="宋体"/>
        </w:rPr>
      </w:pPr>
      <w:r>
        <w:rPr>
          <w:rFonts w:hint="eastAsia" w:ascii="宋体" w:hAnsi="宋体" w:eastAsia="宋体" w:cs="宋体"/>
        </w:rPr>
        <w:t>49.第49行“以前年度销售研发活动直接形成产品（包括组成部分）对应材料部分结转金额”：填报纳税人以前年度销售研发活动直接形成产品（包括组成部分）对应材料部分结转金额。</w:t>
      </w:r>
    </w:p>
    <w:p>
      <w:pPr>
        <w:pStyle w:val="94"/>
        <w:spacing w:line="360" w:lineRule="auto"/>
        <w:ind w:firstLine="480"/>
        <w:rPr>
          <w:rFonts w:hint="eastAsia" w:ascii="宋体" w:hAnsi="宋体" w:eastAsia="宋体" w:cs="宋体"/>
        </w:rPr>
      </w:pPr>
      <w:r>
        <w:rPr>
          <w:rFonts w:hint="eastAsia" w:ascii="宋体" w:hAnsi="宋体" w:eastAsia="宋体" w:cs="宋体"/>
        </w:rPr>
        <w:t>50.第50行“八、加计扣除比例及计算方法”：根据有关政策规定填报。纳税人根据实际情况从《研发费用加计扣除比例及计算方法代码表》选择相应代码填入本项。</w:t>
      </w:r>
    </w:p>
    <w:p>
      <w:pPr>
        <w:pStyle w:val="94"/>
        <w:spacing w:line="360" w:lineRule="auto"/>
        <w:ind w:firstLine="0" w:firstLineChars="0"/>
        <w:jc w:val="center"/>
        <w:rPr>
          <w:rFonts w:hint="eastAsia" w:ascii="宋体" w:hAnsi="宋体" w:eastAsia="宋体" w:cs="宋体"/>
        </w:rPr>
      </w:pPr>
      <w:r>
        <w:rPr>
          <w:rFonts w:hint="eastAsia" w:ascii="宋体" w:hAnsi="宋体" w:eastAsia="宋体" w:cs="宋体"/>
        </w:rPr>
        <w:t>研发费用加计扣除比例及计算方法代码表</w:t>
      </w:r>
    </w:p>
    <w:tbl>
      <w:tblPr>
        <w:tblStyle w:val="25"/>
        <w:tblW w:w="7744" w:type="dxa"/>
        <w:jc w:val="center"/>
        <w:tblLayout w:type="autofit"/>
        <w:tblCellMar>
          <w:top w:w="0" w:type="dxa"/>
          <w:left w:w="108" w:type="dxa"/>
          <w:bottom w:w="0" w:type="dxa"/>
          <w:right w:w="108" w:type="dxa"/>
        </w:tblCellMar>
      </w:tblPr>
      <w:tblGrid>
        <w:gridCol w:w="1506"/>
        <w:gridCol w:w="3152"/>
        <w:gridCol w:w="3086"/>
      </w:tblGrid>
      <w:tr>
        <w:tblPrEx>
          <w:tblCellMar>
            <w:top w:w="0" w:type="dxa"/>
            <w:left w:w="108" w:type="dxa"/>
            <w:bottom w:w="0" w:type="dxa"/>
            <w:right w:w="108" w:type="dxa"/>
          </w:tblCellMar>
        </w:tblPrEx>
        <w:trPr>
          <w:trHeight w:val="274" w:hRule="atLeast"/>
          <w:jc w:val="center"/>
        </w:trPr>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代码</w:t>
            </w:r>
          </w:p>
        </w:tc>
        <w:tc>
          <w:tcPr>
            <w:tcW w:w="6238" w:type="dxa"/>
            <w:gridSpan w:val="2"/>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2"/>
              </w:rPr>
            </w:pPr>
            <w:r>
              <w:rPr>
                <w:rFonts w:hint="eastAsia" w:ascii="宋体" w:hAnsi="宋体" w:cs="宋体"/>
                <w:kern w:val="0"/>
                <w:sz w:val="22"/>
              </w:rPr>
              <w:t>类型</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110</w:t>
            </w:r>
          </w:p>
        </w:tc>
        <w:tc>
          <w:tcPr>
            <w:tcW w:w="6238" w:type="dxa"/>
            <w:gridSpan w:val="2"/>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全年100%（制造业企业、科技型中小企业）</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121</w:t>
            </w:r>
          </w:p>
        </w:tc>
        <w:tc>
          <w:tcPr>
            <w:tcW w:w="3152" w:type="dxa"/>
            <w:vMerge w:val="restart"/>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前三季度75%且第四季度100%（其他企业）</w:t>
            </w:r>
          </w:p>
        </w:tc>
        <w:tc>
          <w:tcPr>
            <w:tcW w:w="308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按比例计算</w:t>
            </w:r>
          </w:p>
        </w:tc>
      </w:tr>
      <w:tr>
        <w:tblPrEx>
          <w:tblCellMar>
            <w:top w:w="0" w:type="dxa"/>
            <w:left w:w="108" w:type="dxa"/>
            <w:bottom w:w="0" w:type="dxa"/>
            <w:right w:w="108" w:type="dxa"/>
          </w:tblCellMar>
        </w:tblPrEx>
        <w:trPr>
          <w:trHeight w:val="399"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122</w:t>
            </w:r>
          </w:p>
        </w:tc>
        <w:tc>
          <w:tcPr>
            <w:tcW w:w="3152" w:type="dxa"/>
            <w:vMerge w:val="continue"/>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2"/>
              </w:rPr>
            </w:pPr>
          </w:p>
        </w:tc>
        <w:tc>
          <w:tcPr>
            <w:tcW w:w="308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按实际发生金额计算</w:t>
            </w:r>
          </w:p>
        </w:tc>
      </w:tr>
    </w:tbl>
    <w:p>
      <w:pPr>
        <w:pStyle w:val="94"/>
        <w:spacing w:line="360" w:lineRule="auto"/>
        <w:ind w:firstLine="480"/>
        <w:rPr>
          <w:rFonts w:ascii="宋体" w:hAnsi="宋体" w:eastAsia="宋体" w:cs="宋体"/>
        </w:rPr>
      </w:pPr>
      <w:r>
        <w:rPr>
          <w:rFonts w:hint="eastAsia" w:ascii="宋体" w:hAnsi="宋体" w:eastAsia="宋体" w:cs="宋体"/>
        </w:rPr>
        <w:t>51.第L1行“本年允许加计扣除的研发费用总额（47-48-49）”：填报第47-48-49行的金额，当第47-48-49行＜0时，本行填报0。</w:t>
      </w:r>
    </w:p>
    <w:p>
      <w:pPr>
        <w:pStyle w:val="94"/>
        <w:spacing w:line="360" w:lineRule="auto"/>
        <w:ind w:firstLine="480"/>
        <w:rPr>
          <w:rFonts w:hint="eastAsia" w:ascii="宋体" w:hAnsi="宋体" w:eastAsia="宋体" w:cs="宋体"/>
        </w:rPr>
      </w:pPr>
      <w:r>
        <w:rPr>
          <w:rFonts w:hint="eastAsia" w:ascii="宋体" w:hAnsi="宋体" w:eastAsia="宋体" w:cs="宋体"/>
        </w:rPr>
        <w:t>52.第L1.1行“其中：第四季度允许加计扣除的研发费用金额”：当“研发费用加计扣除比例及计算方法”选择“121”或“122”时，填报根据选定的第四季度相关费用计算方法计算的第四季度税前加计扣除金额。当“研发费用加计扣除比例及计算方法”选择“110”时，本行无需填报。</w:t>
      </w:r>
    </w:p>
    <w:p>
      <w:pPr>
        <w:pStyle w:val="94"/>
        <w:spacing w:line="360" w:lineRule="auto"/>
        <w:ind w:firstLine="480"/>
        <w:rPr>
          <w:rFonts w:hint="eastAsia" w:ascii="宋体" w:hAnsi="宋体" w:eastAsia="宋体" w:cs="宋体"/>
        </w:rPr>
      </w:pPr>
      <w:r>
        <w:rPr>
          <w:rFonts w:hint="eastAsia" w:ascii="宋体" w:hAnsi="宋体" w:eastAsia="宋体" w:cs="宋体"/>
        </w:rPr>
        <w:t>53.第L1.2行“前三季度允许加计扣除的研发费用金额”：当“研发费用扣除比例及计算方法”选择选择“121”或“122”时，填报根据选定的第四季度相关费用计算方法计算的前三季度税前加计扣除金额。当“研发费用加计扣除比例及计算方法”选择“110”时，本行无需填报。</w:t>
      </w:r>
    </w:p>
    <w:p>
      <w:pPr>
        <w:pStyle w:val="94"/>
        <w:spacing w:line="360" w:lineRule="auto"/>
        <w:ind w:firstLine="480"/>
        <w:rPr>
          <w:rFonts w:hint="eastAsia" w:ascii="宋体" w:hAnsi="宋体" w:eastAsia="宋体" w:cs="宋体"/>
          <w:sz w:val="21"/>
          <w:szCs w:val="21"/>
        </w:rPr>
      </w:pPr>
      <w:r>
        <w:rPr>
          <w:rFonts w:hint="eastAsia" w:ascii="宋体" w:hAnsi="宋体" w:eastAsia="宋体" w:cs="宋体"/>
        </w:rPr>
        <w:t>54.第51行“九、本年研发费用加计扣除总额”：填报第（47-48-49）行×第50行的金额。当第47-48-49行＜0时，本行填报0。当“研发费用加计扣除比例及计算方法”选择“110”时，填报第L1行×100%的金额；当“研发费用加计扣除比例及计算方法”选择“121”或“122”时，填报第L1.1行×100%+第L1.2行×75%的金额。</w:t>
      </w:r>
    </w:p>
    <w:p>
      <w:pPr>
        <w:pStyle w:val="94"/>
        <w:spacing w:line="360" w:lineRule="auto"/>
        <w:ind w:firstLine="480"/>
        <w:rPr>
          <w:rFonts w:hint="eastAsia" w:ascii="宋体" w:hAnsi="宋体" w:eastAsia="宋体" w:cs="宋体"/>
        </w:rPr>
      </w:pPr>
      <w:r>
        <w:rPr>
          <w:rFonts w:hint="eastAsia" w:ascii="宋体" w:hAnsi="宋体" w:eastAsia="宋体" w:cs="宋体"/>
        </w:rPr>
        <w:t>55.第52行“十、销售研发活动直接形成产品（包括组成部分）对应材料部分结转以后年度扣减金额”：当第47-48-49行≥0时，填报0；当第47-48-49行＜0时，填报第47-48-49行金额的绝对值。</w:t>
      </w:r>
      <w:bookmarkStart w:id="289" w:name="_Toc939552848_WPSOffice_Level1"/>
      <w:bookmarkStart w:id="290" w:name="_Toc722417037_WPSOffice_Level1"/>
      <w:bookmarkStart w:id="291" w:name="_Toc522381216_WPSOffice_Level1"/>
      <w:bookmarkStart w:id="292" w:name="_Toc1187135152_WPSOffice_Level1"/>
    </w:p>
    <w:p>
      <w:pPr>
        <w:pStyle w:val="94"/>
        <w:spacing w:line="360" w:lineRule="auto"/>
        <w:ind w:firstLine="482"/>
        <w:outlineLvl w:val="0"/>
        <w:rPr>
          <w:rFonts w:ascii="宋体" w:hAnsi="宋体" w:eastAsia="宋体" w:cs="宋体"/>
          <w:b/>
          <w:bCs/>
        </w:rPr>
      </w:pPr>
      <w:r>
        <w:rPr>
          <w:rFonts w:hint="eastAsia" w:ascii="宋体" w:hAnsi="宋体" w:eastAsia="宋体" w:cs="宋体"/>
          <w:b/>
          <w:bCs/>
        </w:rPr>
        <w:t>二、表内、表间关系</w:t>
      </w:r>
      <w:bookmarkEnd w:id="289"/>
      <w:bookmarkEnd w:id="290"/>
      <w:bookmarkEnd w:id="291"/>
      <w:bookmarkEnd w:id="292"/>
    </w:p>
    <w:p>
      <w:pPr>
        <w:pStyle w:val="94"/>
        <w:spacing w:line="360" w:lineRule="auto"/>
        <w:ind w:firstLine="480"/>
        <w:outlineLvl w:val="1"/>
        <w:rPr>
          <w:rFonts w:ascii="宋体" w:hAnsi="宋体" w:eastAsia="宋体" w:cs="宋体"/>
        </w:rPr>
      </w:pPr>
      <w:bookmarkStart w:id="293" w:name="_Toc1047184017_WPSOffice_Level2"/>
      <w:bookmarkStart w:id="294" w:name="_Toc1282511864_WPSOffice_Level2"/>
      <w:r>
        <w:rPr>
          <w:rFonts w:hint="eastAsia" w:ascii="宋体" w:hAnsi="宋体" w:eastAsia="宋体" w:cs="宋体"/>
        </w:rPr>
        <w:t>（一）表内关系</w:t>
      </w:r>
      <w:bookmarkEnd w:id="293"/>
      <w:bookmarkEnd w:id="294"/>
    </w:p>
    <w:p>
      <w:pPr>
        <w:pStyle w:val="94"/>
        <w:spacing w:line="360" w:lineRule="auto"/>
        <w:ind w:firstLine="480"/>
        <w:rPr>
          <w:rFonts w:ascii="宋体" w:hAnsi="宋体" w:eastAsia="宋体" w:cs="宋体"/>
        </w:rPr>
      </w:pPr>
      <w:r>
        <w:rPr>
          <w:rFonts w:hint="eastAsia" w:ascii="宋体" w:hAnsi="宋体" w:eastAsia="宋体" w:cs="宋体"/>
        </w:rPr>
        <w:t>1.第2行＝第3+7+16+19+23+34行。</w:t>
      </w:r>
    </w:p>
    <w:p>
      <w:pPr>
        <w:pStyle w:val="94"/>
        <w:spacing w:line="360" w:lineRule="auto"/>
        <w:ind w:firstLine="480"/>
        <w:rPr>
          <w:rFonts w:ascii="宋体" w:hAnsi="宋体" w:eastAsia="宋体" w:cs="宋体"/>
        </w:rPr>
      </w:pPr>
      <w:r>
        <w:rPr>
          <w:rFonts w:hint="eastAsia" w:ascii="宋体" w:hAnsi="宋体" w:eastAsia="宋体" w:cs="宋体"/>
        </w:rPr>
        <w:t>2.第3行＝第4+5+6行。当表A000000“224研发支出辅助账样式”填报“2021版”或“自行设计”时，不执行本规则。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3.第7行＝第8+9+10+11+12+13+14+15行。当表A000000“224研发支出辅助账样式”填报“2021版”或“自行设计”时，不执行本规则。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4.第16行＝第17+18行。当表A000000“224研发支出辅助账样式”填报“2021版”或“自行设计”时，不执行本规则。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5.第19行＝第20+21+22行。当表A000000“224研发支出辅助账样式”填报“2021版”或“自行设计”时，不执行本规则。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6.第23行＝第24+25+26+27行。当表A000000“224研发支出辅助账样式”填报“2021版”或“自行设计”时，不执行本规则。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7.第28行＝第29+30+31+32+33行。当表A000000“224研发支出辅助账样式”填报“2021版”或“自行设计”时，不执行本规则。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8.第34行＝第28行与第3+7+16+19+23行×10%/(1-10%)的孰小值。</w:t>
      </w:r>
    </w:p>
    <w:p>
      <w:pPr>
        <w:pStyle w:val="94"/>
        <w:spacing w:line="360" w:lineRule="auto"/>
        <w:ind w:firstLine="480"/>
        <w:rPr>
          <w:rFonts w:ascii="宋体" w:hAnsi="宋体" w:eastAsia="宋体" w:cs="宋体"/>
        </w:rPr>
      </w:pPr>
      <w:r>
        <w:rPr>
          <w:rFonts w:hint="eastAsia" w:ascii="宋体" w:hAnsi="宋体" w:eastAsia="宋体" w:cs="宋体"/>
        </w:rPr>
        <w:t>9.第35行＝第36+37+39行。</w:t>
      </w:r>
    </w:p>
    <w:p>
      <w:pPr>
        <w:pStyle w:val="94"/>
        <w:spacing w:line="360" w:lineRule="auto"/>
        <w:ind w:firstLine="480"/>
        <w:rPr>
          <w:rFonts w:ascii="宋体" w:hAnsi="宋体" w:eastAsia="宋体" w:cs="宋体"/>
        </w:rPr>
      </w:pPr>
      <w:r>
        <w:rPr>
          <w:rFonts w:hint="eastAsia" w:ascii="宋体" w:hAnsi="宋体" w:eastAsia="宋体" w:cs="宋体"/>
        </w:rPr>
        <w:t>10.第40行＝第2行+第36行×80%+第38行。</w:t>
      </w:r>
    </w:p>
    <w:p>
      <w:pPr>
        <w:pStyle w:val="94"/>
        <w:spacing w:line="360" w:lineRule="auto"/>
        <w:ind w:firstLine="480"/>
        <w:rPr>
          <w:rFonts w:ascii="宋体" w:hAnsi="宋体" w:eastAsia="宋体" w:cs="宋体"/>
        </w:rPr>
      </w:pPr>
      <w:r>
        <w:rPr>
          <w:rFonts w:hint="eastAsia" w:ascii="宋体" w:hAnsi="宋体" w:eastAsia="宋体" w:cs="宋体"/>
        </w:rPr>
        <w:t>11.第45行＝第41+43+44行。</w:t>
      </w:r>
    </w:p>
    <w:p>
      <w:pPr>
        <w:pStyle w:val="94"/>
        <w:spacing w:line="360" w:lineRule="auto"/>
        <w:ind w:firstLine="480"/>
        <w:rPr>
          <w:rFonts w:hint="eastAsia" w:ascii="宋体" w:hAnsi="宋体" w:eastAsia="宋体" w:cs="宋体"/>
        </w:rPr>
      </w:pPr>
      <w:r>
        <w:rPr>
          <w:rFonts w:hint="eastAsia" w:ascii="宋体" w:hAnsi="宋体" w:eastAsia="宋体" w:cs="宋体"/>
        </w:rPr>
        <w:t>12.第47行＝第45-46行。</w:t>
      </w:r>
    </w:p>
    <w:p>
      <w:pPr>
        <w:pStyle w:val="94"/>
        <w:spacing w:line="360" w:lineRule="auto"/>
        <w:ind w:firstLine="480" w:firstLineChars="0"/>
        <w:rPr>
          <w:rFonts w:hint="eastAsia" w:ascii="宋体" w:hAnsi="宋体" w:eastAsia="宋体" w:cs="宋体"/>
        </w:rPr>
      </w:pPr>
      <w:r>
        <w:rPr>
          <w:rFonts w:hint="eastAsia" w:ascii="宋体" w:hAnsi="宋体" w:eastAsia="宋体" w:cs="宋体"/>
        </w:rPr>
        <w:t>13.第L1行＝第47-48-49行。当第47-48-49行＜0时，第L1行＝0。</w:t>
      </w:r>
    </w:p>
    <w:p>
      <w:pPr>
        <w:pStyle w:val="97"/>
        <w:spacing w:line="360" w:lineRule="auto"/>
        <w:ind w:firstLine="480"/>
        <w:rPr>
          <w:rFonts w:ascii="宋体" w:hAnsi="宋体" w:eastAsia="宋体" w:cs="宋体"/>
        </w:rPr>
      </w:pPr>
      <w:r>
        <w:rPr>
          <w:rFonts w:hint="eastAsia" w:ascii="宋体" w:hAnsi="宋体" w:eastAsia="宋体" w:cs="宋体"/>
          <w:sz w:val="24"/>
          <w:szCs w:val="24"/>
        </w:rPr>
        <w:t>14.第L1.2行=第L行-第L1.1行。</w:t>
      </w:r>
    </w:p>
    <w:p>
      <w:pPr>
        <w:pStyle w:val="94"/>
        <w:spacing w:line="360" w:lineRule="auto"/>
        <w:ind w:firstLine="480"/>
        <w:rPr>
          <w:rFonts w:hint="eastAsia" w:ascii="宋体" w:hAnsi="宋体" w:eastAsia="宋体" w:cs="宋体"/>
        </w:rPr>
      </w:pPr>
      <w:r>
        <w:rPr>
          <w:rFonts w:hint="eastAsia" w:ascii="宋体" w:hAnsi="宋体" w:eastAsia="宋体" w:cs="宋体"/>
        </w:rPr>
        <w:t>15.第51行＝（第47-48-49行）×第50行；当第47-48-49行＜0时，第51行＝0。</w:t>
      </w:r>
    </w:p>
    <w:p>
      <w:pPr>
        <w:pStyle w:val="94"/>
        <w:spacing w:line="360" w:lineRule="auto"/>
        <w:ind w:firstLine="480" w:firstLineChars="0"/>
        <w:rPr>
          <w:rFonts w:hint="eastAsia" w:ascii="宋体" w:hAnsi="宋体" w:eastAsia="宋体" w:cs="宋体"/>
        </w:rPr>
      </w:pPr>
      <w:r>
        <w:rPr>
          <w:rFonts w:hint="eastAsia" w:ascii="宋体" w:hAnsi="宋体" w:eastAsia="宋体" w:cs="宋体"/>
        </w:rPr>
        <w:t>当“研发费用加计扣除比例及计算方法”选择“110”时，第51行＝第L1行×100%；当“研发费用加计扣除比例及计算方法”选择“121”或“122”时，第51行＝第L1.1行×100%+第L1.2行×75%。</w:t>
      </w:r>
    </w:p>
    <w:p>
      <w:pPr>
        <w:pStyle w:val="94"/>
        <w:spacing w:line="360" w:lineRule="auto"/>
        <w:ind w:firstLine="480"/>
        <w:rPr>
          <w:rFonts w:ascii="宋体" w:hAnsi="宋体" w:eastAsia="宋体" w:cs="宋体"/>
        </w:rPr>
      </w:pPr>
      <w:r>
        <w:rPr>
          <w:rFonts w:hint="eastAsia" w:ascii="宋体" w:hAnsi="宋体" w:eastAsia="宋体" w:cs="宋体"/>
        </w:rPr>
        <w:t>16.当第47-48-49行≥0时，第52行＝0；当第47-48-49行＜0时，第52行＝第46-47-48行金额的绝对值。</w:t>
      </w:r>
    </w:p>
    <w:p>
      <w:pPr>
        <w:pStyle w:val="94"/>
        <w:spacing w:line="360" w:lineRule="auto"/>
        <w:ind w:firstLine="480"/>
        <w:outlineLvl w:val="1"/>
        <w:rPr>
          <w:rFonts w:ascii="宋体" w:hAnsi="宋体" w:eastAsia="宋体" w:cs="宋体"/>
        </w:rPr>
      </w:pPr>
      <w:bookmarkStart w:id="295" w:name="_Toc222782185_WPSOffice_Level2"/>
      <w:bookmarkStart w:id="296" w:name="_Toc422253844_WPSOffice_Level2"/>
      <w:r>
        <w:rPr>
          <w:rFonts w:hint="eastAsia" w:ascii="宋体" w:hAnsi="宋体" w:eastAsia="宋体" w:cs="宋体"/>
        </w:rPr>
        <w:t>（二）表间关系</w:t>
      </w:r>
      <w:bookmarkEnd w:id="295"/>
      <w:bookmarkEnd w:id="296"/>
    </w:p>
    <w:p>
      <w:pPr>
        <w:pStyle w:val="94"/>
        <w:spacing w:line="360" w:lineRule="auto"/>
        <w:ind w:firstLine="480"/>
        <w:rPr>
          <w:rFonts w:ascii="宋体" w:hAnsi="宋体" w:eastAsia="宋体" w:cs="宋体"/>
        </w:rPr>
      </w:pPr>
      <w:r>
        <w:rPr>
          <w:rFonts w:hint="eastAsia" w:ascii="宋体" w:hAnsi="宋体" w:eastAsia="宋体" w:cs="宋体"/>
        </w:rPr>
        <w:t>1.当表A000000“210-3”项目未填有入库编号时，第51行＝表A107010第26行。</w:t>
      </w:r>
    </w:p>
    <w:p>
      <w:pPr>
        <w:pStyle w:val="9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CN"/>
        </w:rPr>
        <w:sectPr>
          <w:pgSz w:w="11906" w:h="16838"/>
          <w:pgMar w:top="1985" w:right="1418" w:bottom="1928" w:left="1418" w:header="851" w:footer="992" w:gutter="113"/>
          <w:pgNumType w:fmt="decimal"/>
          <w:cols w:space="720" w:num="1"/>
          <w:docGrid w:linePitch="312" w:charSpace="0"/>
        </w:sectPr>
      </w:pPr>
      <w:r>
        <w:rPr>
          <w:rFonts w:hint="eastAsia" w:ascii="宋体" w:hAnsi="宋体" w:eastAsia="宋体" w:cs="宋体"/>
        </w:rPr>
        <w:t>2.当表A000000“210-3”项目填有入库编号时，第51行＝表A107010第27行</w:t>
      </w:r>
      <w:r>
        <w:rPr>
          <w:rFonts w:hint="eastAsia" w:ascii="宋体" w:hAnsi="宋体" w:eastAsia="宋体" w:cs="宋体"/>
          <w:lang w:eastAsia="zh-CN"/>
        </w:rPr>
        <w:t>。</w:t>
      </w:r>
    </w:p>
    <w:p>
      <w:pPr>
        <w:pStyle w:val="66"/>
        <w:tabs>
          <w:tab w:val="center" w:pos="6520"/>
          <w:tab w:val="clear" w:pos="4678"/>
        </w:tabs>
        <w:rPr>
          <w:rFonts w:hint="eastAsia"/>
        </w:rPr>
      </w:pPr>
      <w:bookmarkStart w:id="297" w:name="_Toc23988"/>
      <w:bookmarkStart w:id="298" w:name="_Toc54267948"/>
      <w:bookmarkStart w:id="299" w:name="_Toc1350656_WPSOffice_Level1"/>
      <w:bookmarkStart w:id="300" w:name="_Toc686662533_WPSOffice_Level1"/>
      <w:bookmarkStart w:id="301" w:name="_Toc527722752"/>
      <w:r>
        <w:rPr>
          <w:rFonts w:hint="eastAsia"/>
        </w:rPr>
        <w:t>A107020</w:t>
      </w:r>
      <w:r>
        <w:rPr>
          <w:rFonts w:hint="eastAsia"/>
        </w:rPr>
        <w:tab/>
      </w:r>
      <w:r>
        <w:rPr>
          <w:rFonts w:hint="eastAsia"/>
        </w:rPr>
        <w:t>所得减免优惠明细表</w:t>
      </w:r>
      <w:bookmarkEnd w:id="297"/>
    </w:p>
    <w:bookmarkEnd w:id="298"/>
    <w:tbl>
      <w:tblPr>
        <w:tblStyle w:val="25"/>
        <w:tblW w:w="14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1680"/>
        <w:gridCol w:w="1648"/>
        <w:gridCol w:w="1155"/>
        <w:gridCol w:w="649"/>
        <w:gridCol w:w="1050"/>
        <w:gridCol w:w="1050"/>
        <w:gridCol w:w="1050"/>
        <w:gridCol w:w="1050"/>
        <w:gridCol w:w="821"/>
        <w:gridCol w:w="1069"/>
        <w:gridCol w:w="105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restart"/>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68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减免项目</w:t>
            </w:r>
          </w:p>
        </w:tc>
        <w:tc>
          <w:tcPr>
            <w:tcW w:w="1648"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项目名称</w:t>
            </w:r>
          </w:p>
        </w:tc>
        <w:tc>
          <w:tcPr>
            <w:tcW w:w="1155"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优惠事项名称</w:t>
            </w:r>
          </w:p>
        </w:tc>
        <w:tc>
          <w:tcPr>
            <w:tcW w:w="649"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优惠方式</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项目收入</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项目成本</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相关税费</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应分摊期间费用</w:t>
            </w:r>
          </w:p>
        </w:tc>
        <w:tc>
          <w:tcPr>
            <w:tcW w:w="821"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纳税调整额</w:t>
            </w:r>
          </w:p>
        </w:tc>
        <w:tc>
          <w:tcPr>
            <w:tcW w:w="2119" w:type="dxa"/>
            <w:gridSpan w:val="2"/>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项目所得额</w:t>
            </w:r>
          </w:p>
        </w:tc>
        <w:tc>
          <w:tcPr>
            <w:tcW w:w="1575" w:type="dxa"/>
            <w:vMerge w:val="restart"/>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1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64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821"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免税项目</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减半项目</w:t>
            </w:r>
          </w:p>
        </w:tc>
        <w:tc>
          <w:tcPr>
            <w:tcW w:w="1575" w:type="dxa"/>
            <w:vMerge w:val="continue"/>
            <w:tcBorders>
              <w:top w:val="single" w:color="auto" w:sz="6" w:space="0"/>
              <w:left w:val="single" w:color="auto" w:sz="6" w:space="0"/>
              <w:bottom w:val="single" w:color="auto" w:sz="6" w:space="0"/>
              <w:right w:val="single" w:color="auto" w:sz="12" w:space="0"/>
            </w:tcBorders>
            <w:noWrap w:val="0"/>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11(9+10×50%)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一、农、林、牧、渔业项目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二、国家重点扶持的公共基础设施项目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三、符合条件的环境保护、节能节水项目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四、符合条件的技术转让项目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13</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五、清洁发展机制项目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16</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六、符合条件的节能服务公司实施的合同能源管理项目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17</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19</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七、线宽小于130纳米（含）的集成电路生产项目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22</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八、线宽小于65纳米（含）或投资额超过150亿元的集成电路生产项目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25</w:t>
            </w:r>
          </w:p>
        </w:tc>
        <w:tc>
          <w:tcPr>
            <w:tcW w:w="1680" w:type="dxa"/>
            <w:vMerge w:val="restart"/>
            <w:tcBorders>
              <w:top w:val="single" w:color="auto" w:sz="6" w:space="0"/>
              <w:left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九、线宽小于28纳米（含）的集成电路生产项目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26</w:t>
            </w:r>
          </w:p>
        </w:tc>
        <w:tc>
          <w:tcPr>
            <w:tcW w:w="1680" w:type="dxa"/>
            <w:vMerge w:val="continue"/>
            <w:tcBorders>
              <w:left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27</w:t>
            </w:r>
          </w:p>
        </w:tc>
        <w:tc>
          <w:tcPr>
            <w:tcW w:w="1680" w:type="dxa"/>
            <w:vMerge w:val="continue"/>
            <w:tcBorders>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28</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十、其他</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31</w:t>
            </w:r>
          </w:p>
        </w:tc>
        <w:tc>
          <w:tcPr>
            <w:tcW w:w="168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合计</w:t>
            </w:r>
          </w:p>
        </w:tc>
        <w:tc>
          <w:tcPr>
            <w:tcW w:w="1648"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55"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12"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bl>
    <w:p>
      <w:pPr>
        <w:pStyle w:val="80"/>
        <w:tabs>
          <w:tab w:val="center" w:pos="4678"/>
        </w:tabs>
        <w:ind w:firstLine="562"/>
        <w:rPr>
          <w:rFonts w:hint="eastAsia"/>
        </w:rPr>
        <w:sectPr>
          <w:pgSz w:w="16838" w:h="11906" w:orient="landscape"/>
          <w:pgMar w:top="1418" w:right="1985" w:bottom="1134" w:left="1928" w:header="851" w:footer="992" w:gutter="113"/>
          <w:pgNumType w:fmt="decimal"/>
          <w:cols w:space="720" w:num="1"/>
          <w:docGrid w:linePitch="312" w:charSpace="0"/>
        </w:sectPr>
      </w:pPr>
    </w:p>
    <w:bookmarkEnd w:id="299"/>
    <w:bookmarkEnd w:id="300"/>
    <w:p>
      <w:pPr>
        <w:pStyle w:val="66"/>
        <w:jc w:val="center"/>
        <w:rPr>
          <w:rFonts w:hint="eastAsia"/>
        </w:rPr>
      </w:pPr>
      <w:bookmarkStart w:id="302" w:name="_Toc54267949"/>
      <w:bookmarkStart w:id="303" w:name="_Toc29779"/>
      <w:r>
        <w:rPr>
          <w:rFonts w:hint="eastAsia"/>
        </w:rPr>
        <w:t>A107020《所得减免优惠明细表》填报说明</w:t>
      </w:r>
      <w:bookmarkEnd w:id="302"/>
      <w:bookmarkEnd w:id="303"/>
    </w:p>
    <w:p>
      <w:pPr>
        <w:pStyle w:val="94"/>
        <w:ind w:firstLine="480"/>
        <w:rPr>
          <w:rFonts w:hint="eastAsia" w:ascii="宋体" w:hAnsi="宋体" w:eastAsia="宋体" w:cs="宋体"/>
        </w:rPr>
      </w:pPr>
      <w:r>
        <w:rPr>
          <w:rFonts w:hint="eastAsia" w:ascii="宋体" w:hAnsi="宋体" w:eastAsia="宋体" w:cs="宋体"/>
        </w:rPr>
        <w:t>本表适用于享受所得减免优惠政策的纳税人填报。纳税人根据税法及相关税收政策规定，填报本年发生的所得减免优惠情况，《中华人民共和国企业所得税年度纳税申报表（A类）》（A100000）第19行“纳税调整后所得”为负数的，无需填报本表。</w:t>
      </w:r>
    </w:p>
    <w:p>
      <w:pPr>
        <w:pStyle w:val="94"/>
        <w:ind w:firstLine="480"/>
        <w:outlineLvl w:val="0"/>
        <w:rPr>
          <w:rFonts w:hint="eastAsia" w:ascii="宋体" w:hAnsi="宋体" w:eastAsia="宋体" w:cs="宋体"/>
        </w:rPr>
      </w:pPr>
      <w:bookmarkStart w:id="304" w:name="_Toc621228549_WPSOffice_Level1"/>
      <w:bookmarkStart w:id="305" w:name="_Toc2121385532_WPSOffice_Level1"/>
      <w:bookmarkStart w:id="306" w:name="_Toc54267950"/>
      <w:r>
        <w:rPr>
          <w:rFonts w:hint="eastAsia" w:ascii="宋体" w:hAnsi="宋体" w:eastAsia="宋体" w:cs="宋体"/>
        </w:rPr>
        <w:t>一、有关项目填报说明</w:t>
      </w:r>
      <w:bookmarkEnd w:id="304"/>
      <w:bookmarkEnd w:id="305"/>
      <w:bookmarkEnd w:id="306"/>
    </w:p>
    <w:p>
      <w:pPr>
        <w:pStyle w:val="94"/>
        <w:ind w:firstLine="480"/>
        <w:outlineLvl w:val="1"/>
        <w:rPr>
          <w:rFonts w:hint="eastAsia" w:ascii="宋体" w:hAnsi="宋体" w:eastAsia="宋体" w:cs="宋体"/>
        </w:rPr>
      </w:pPr>
      <w:bookmarkStart w:id="307" w:name="_Toc1655371600_WPSOffice_Level2"/>
      <w:bookmarkStart w:id="308" w:name="_Toc54267951"/>
      <w:bookmarkStart w:id="309" w:name="_Toc848793957_WPSOffice_Level2"/>
      <w:r>
        <w:rPr>
          <w:rFonts w:hint="eastAsia" w:ascii="宋体" w:hAnsi="宋体" w:eastAsia="宋体" w:cs="宋体"/>
        </w:rPr>
        <w:t>（一）列次填报</w:t>
      </w:r>
      <w:bookmarkEnd w:id="307"/>
      <w:bookmarkEnd w:id="308"/>
      <w:bookmarkEnd w:id="309"/>
    </w:p>
    <w:p>
      <w:pPr>
        <w:pStyle w:val="94"/>
        <w:ind w:firstLine="480"/>
        <w:rPr>
          <w:rFonts w:hint="eastAsia" w:ascii="宋体" w:hAnsi="宋体" w:eastAsia="宋体" w:cs="宋体"/>
        </w:rPr>
      </w:pPr>
      <w:r>
        <w:rPr>
          <w:rFonts w:hint="eastAsia" w:ascii="宋体" w:hAnsi="宋体" w:eastAsia="宋体" w:cs="宋体"/>
        </w:rPr>
        <w:t>1.第1列“项目名称”：填报纳税人享受减免所得优惠的项目在会计核算上的名称。项目名称以纳税人内部规范称谓为准。</w:t>
      </w:r>
    </w:p>
    <w:p>
      <w:pPr>
        <w:pStyle w:val="94"/>
        <w:ind w:firstLine="480"/>
        <w:rPr>
          <w:rFonts w:hint="eastAsia" w:ascii="宋体" w:hAnsi="宋体" w:eastAsia="宋体" w:cs="宋体"/>
        </w:rPr>
      </w:pPr>
      <w:r>
        <w:rPr>
          <w:rFonts w:hint="eastAsia" w:ascii="宋体" w:hAnsi="宋体" w:eastAsia="宋体" w:cs="宋体"/>
        </w:rPr>
        <w:t>2.第2列“优惠事项名称”：按照该项目享受所得减免企业所得税优惠事项的具体政策内容选择填报。具体说明如下：</w:t>
      </w:r>
    </w:p>
    <w:p>
      <w:pPr>
        <w:pStyle w:val="94"/>
        <w:ind w:firstLine="480"/>
        <w:rPr>
          <w:rFonts w:hint="eastAsia" w:ascii="宋体" w:hAnsi="宋体" w:eastAsia="宋体" w:cs="宋体"/>
        </w:rPr>
      </w:pPr>
      <w:r>
        <w:rPr>
          <w:rFonts w:hint="eastAsia" w:ascii="宋体" w:hAnsi="宋体" w:eastAsia="宋体" w:cs="宋体"/>
        </w:rPr>
        <w:t>（1）“一、农、林、牧、渔业项目”</w:t>
      </w:r>
    </w:p>
    <w:p>
      <w:pPr>
        <w:pStyle w:val="94"/>
        <w:ind w:firstLine="480"/>
        <w:rPr>
          <w:rFonts w:hint="eastAsia" w:ascii="宋体" w:hAnsi="宋体" w:eastAsia="宋体" w:cs="宋体"/>
        </w:rPr>
      </w:pPr>
      <w:r>
        <w:rPr>
          <w:rFonts w:hint="eastAsia" w:ascii="宋体" w:hAnsi="宋体" w:eastAsia="宋体" w:cs="宋体"/>
        </w:rPr>
        <w:t>在以下优惠事项中选择填报：1.蔬菜、谷物、薯类、油料、豆类、棉花、麻类、糖料、水果、坚果的种植；2.农作物新品种的选育；3.中药材的种植；4.林木的培育和种植；5.牲畜、家禽的饲养；6.林产品的采集；7.灌溉、兽医、农技推广、农机作业和维修等农、林、牧、渔服务业项目；8.农产品初加工；9.远洋捕捞；10.花卉、茶以及其他饮料作物和香料作物的种植；11.海水养殖、内陆养殖；12.其他。</w:t>
      </w:r>
    </w:p>
    <w:p>
      <w:pPr>
        <w:pStyle w:val="94"/>
        <w:ind w:firstLine="480"/>
        <w:rPr>
          <w:rFonts w:hint="eastAsia" w:ascii="宋体" w:hAnsi="宋体" w:eastAsia="宋体" w:cs="宋体"/>
        </w:rPr>
      </w:pPr>
      <w:r>
        <w:rPr>
          <w:rFonts w:hint="eastAsia" w:ascii="宋体" w:hAnsi="宋体" w:eastAsia="宋体" w:cs="宋体"/>
        </w:rPr>
        <w:t>（2）“二、国家重点扶持的公共基础设施项目”</w:t>
      </w:r>
    </w:p>
    <w:p>
      <w:pPr>
        <w:pStyle w:val="94"/>
        <w:ind w:firstLine="480"/>
        <w:rPr>
          <w:rFonts w:hint="eastAsia" w:ascii="宋体" w:hAnsi="宋体" w:eastAsia="宋体" w:cs="宋体"/>
        </w:rPr>
      </w:pPr>
      <w:r>
        <w:rPr>
          <w:rFonts w:hint="eastAsia" w:ascii="宋体" w:hAnsi="宋体" w:eastAsia="宋体" w:cs="宋体"/>
        </w:rPr>
        <w:t>在以下优惠事项中选择填报：1.港口码头项目；2.机场项目；3.铁路项目；4.公路项目；5.城市公共交通项目；6.电力项目；7.水利项目（不含农村饮水安全工程）；8.农村饮水安全工程；9.其他项目。</w:t>
      </w:r>
    </w:p>
    <w:p>
      <w:pPr>
        <w:pStyle w:val="94"/>
        <w:ind w:firstLine="480"/>
        <w:rPr>
          <w:rFonts w:hint="eastAsia" w:ascii="宋体" w:hAnsi="宋体" w:eastAsia="宋体" w:cs="宋体"/>
        </w:rPr>
      </w:pPr>
      <w:r>
        <w:rPr>
          <w:rFonts w:hint="eastAsia" w:ascii="宋体" w:hAnsi="宋体" w:eastAsia="宋体" w:cs="宋体"/>
        </w:rPr>
        <w:t>（3）“三、符合条件的环境保护、节能节水项目”</w:t>
      </w:r>
    </w:p>
    <w:p>
      <w:pPr>
        <w:pStyle w:val="94"/>
        <w:ind w:firstLine="480"/>
        <w:rPr>
          <w:rFonts w:hint="eastAsia" w:ascii="宋体" w:hAnsi="宋体" w:eastAsia="宋体" w:cs="宋体"/>
        </w:rPr>
      </w:pPr>
      <w:r>
        <w:rPr>
          <w:rFonts w:hint="eastAsia" w:ascii="宋体" w:hAnsi="宋体" w:eastAsia="宋体" w:cs="宋体"/>
        </w:rPr>
        <w:t>适用《环境保护节能节水项目企业所得税优惠目录》（试行）的，在以下优惠事项中选择填报：1.公共污水处理项目；2.公共垃圾处理项目；3.沼气综合开发利用项目；4.节能减排技术改造项目；5.含海水淡化项目；6.其他项目。适用《环境保护、节能节水项目企业所得税优惠目录（2021年版）》的，按照《环境保护、节能节水项目企业所得税优惠目录（2021年版）》的项目名称选择填报。</w:t>
      </w:r>
    </w:p>
    <w:p>
      <w:pPr>
        <w:pStyle w:val="94"/>
        <w:ind w:firstLine="480"/>
        <w:rPr>
          <w:rFonts w:hint="eastAsia" w:ascii="宋体" w:hAnsi="宋体" w:eastAsia="宋体" w:cs="宋体"/>
        </w:rPr>
      </w:pPr>
      <w:r>
        <w:rPr>
          <w:rFonts w:hint="eastAsia" w:ascii="宋体" w:hAnsi="宋体" w:eastAsia="宋体" w:cs="宋体"/>
        </w:rPr>
        <w:t>（4）“四、符合条件的技术转让项目”</w:t>
      </w:r>
    </w:p>
    <w:p>
      <w:pPr>
        <w:pStyle w:val="94"/>
        <w:ind w:firstLine="480"/>
        <w:rPr>
          <w:rFonts w:hint="eastAsia" w:ascii="宋体" w:hAnsi="宋体" w:eastAsia="宋体" w:cs="宋体"/>
        </w:rPr>
      </w:pPr>
      <w:r>
        <w:rPr>
          <w:rFonts w:hint="eastAsia" w:ascii="宋体" w:hAnsi="宋体" w:eastAsia="宋体" w:cs="宋体"/>
        </w:rPr>
        <w:t>纳税人填报“小计”行时，在以下优惠事项中选择填报：1.一般技术转让项目；2.中关村国家自主创新示范区特定区域技术转让项目。其他行次无需填报本列。</w:t>
      </w:r>
    </w:p>
    <w:p>
      <w:pPr>
        <w:pStyle w:val="94"/>
        <w:ind w:firstLine="480"/>
        <w:rPr>
          <w:rFonts w:hint="eastAsia" w:ascii="宋体" w:hAnsi="宋体" w:eastAsia="宋体" w:cs="宋体"/>
        </w:rPr>
      </w:pPr>
      <w:r>
        <w:rPr>
          <w:rFonts w:hint="eastAsia" w:ascii="宋体" w:hAnsi="宋体" w:eastAsia="宋体" w:cs="宋体"/>
        </w:rPr>
        <w:t>（5）“五、清洁发展机制项目”：本列无需填报。</w:t>
      </w:r>
    </w:p>
    <w:p>
      <w:pPr>
        <w:pStyle w:val="94"/>
        <w:ind w:firstLine="480"/>
        <w:rPr>
          <w:rFonts w:hint="eastAsia" w:ascii="宋体" w:hAnsi="宋体" w:eastAsia="宋体" w:cs="宋体"/>
        </w:rPr>
      </w:pPr>
      <w:r>
        <w:rPr>
          <w:rFonts w:hint="eastAsia" w:ascii="宋体" w:hAnsi="宋体" w:eastAsia="宋体" w:cs="宋体"/>
        </w:rPr>
        <w:t>（6）“六、符合条件的节能服务公司实施合同能源管理项目”：本列无需填报。</w:t>
      </w:r>
    </w:p>
    <w:p>
      <w:pPr>
        <w:pStyle w:val="94"/>
        <w:ind w:firstLine="480"/>
        <w:rPr>
          <w:rFonts w:hint="eastAsia" w:ascii="宋体" w:hAnsi="宋体" w:eastAsia="宋体" w:cs="宋体"/>
        </w:rPr>
      </w:pPr>
      <w:r>
        <w:rPr>
          <w:rFonts w:hint="eastAsia" w:ascii="宋体" w:hAnsi="宋体" w:eastAsia="宋体" w:cs="宋体"/>
        </w:rPr>
        <w:t>（7）“七、线宽小于130纳米（含）的集成电路生产项目”：在以下优惠事项中选择填报：“1.国家鼓励的线宽小于130纳米（含）的集成电路生产项目（适用新政策）”和“2.线宽小于130纳米（含）的集成电路生产项目（适用原政策）”。</w:t>
      </w:r>
    </w:p>
    <w:p>
      <w:pPr>
        <w:pStyle w:val="94"/>
        <w:ind w:firstLine="480"/>
        <w:rPr>
          <w:rFonts w:hint="eastAsia" w:ascii="宋体" w:hAnsi="宋体" w:eastAsia="宋体" w:cs="宋体"/>
        </w:rPr>
      </w:pPr>
      <w:r>
        <w:rPr>
          <w:rFonts w:hint="eastAsia" w:ascii="宋体" w:hAnsi="宋体" w:eastAsia="宋体" w:cs="宋体"/>
        </w:rPr>
        <w:t>（8）“八、线宽小于65纳米（含）或投资额超过150亿元的集成电路生产项目”：在以下优惠事项中选择填报：1.国家鼓励的线宽小于65纳米（含）的项目（适用新政策）；2.线宽小于65纳米（含）的项目（适用原政策）；3.投资额超过150亿元的项目（适用原政策）。</w:t>
      </w:r>
    </w:p>
    <w:p>
      <w:pPr>
        <w:pStyle w:val="94"/>
        <w:ind w:firstLine="480"/>
        <w:rPr>
          <w:rFonts w:hint="eastAsia" w:ascii="宋体" w:hAnsi="宋体" w:eastAsia="宋体" w:cs="宋体"/>
        </w:rPr>
      </w:pPr>
      <w:r>
        <w:rPr>
          <w:rFonts w:hint="eastAsia" w:ascii="宋体" w:hAnsi="宋体" w:eastAsia="宋体" w:cs="宋体"/>
        </w:rPr>
        <w:t>（9）“九、线宽小于28纳米（含）的集成电路生产项目”：本列无需填报。</w:t>
      </w:r>
    </w:p>
    <w:p>
      <w:pPr>
        <w:pStyle w:val="94"/>
        <w:ind w:firstLine="480"/>
        <w:rPr>
          <w:rFonts w:hint="eastAsia" w:ascii="宋体" w:hAnsi="宋体" w:eastAsia="宋体" w:cs="宋体"/>
        </w:rPr>
      </w:pPr>
      <w:r>
        <w:rPr>
          <w:rFonts w:hint="eastAsia" w:ascii="宋体" w:hAnsi="宋体" w:eastAsia="宋体" w:cs="宋体"/>
        </w:rPr>
        <w:t>（10）“十、其他”：填报上述所得减免优惠项目以外的其他所得减免优惠政策具体名称。</w:t>
      </w:r>
    </w:p>
    <w:p>
      <w:pPr>
        <w:pStyle w:val="94"/>
        <w:ind w:firstLine="480"/>
        <w:rPr>
          <w:rFonts w:hint="eastAsia" w:ascii="宋体" w:hAnsi="宋体" w:eastAsia="宋体" w:cs="宋体"/>
        </w:rPr>
      </w:pPr>
      <w:r>
        <w:rPr>
          <w:rFonts w:hint="eastAsia" w:ascii="宋体" w:hAnsi="宋体" w:eastAsia="宋体" w:cs="宋体"/>
        </w:rPr>
        <w:t>3.第3列“优惠方式”：填报该项目享受所得减免企业所得税优惠的具体方式。该项目享受免征企业所得税优惠的，填报“免税”；项目享受减半征税企业所得税优惠的，填报“减半征收”。</w:t>
      </w:r>
    </w:p>
    <w:p>
      <w:pPr>
        <w:pStyle w:val="94"/>
        <w:ind w:firstLine="480"/>
        <w:rPr>
          <w:rFonts w:hint="eastAsia" w:ascii="宋体" w:hAnsi="宋体" w:eastAsia="宋体" w:cs="宋体"/>
        </w:rPr>
      </w:pPr>
      <w:r>
        <w:rPr>
          <w:rFonts w:hint="eastAsia" w:ascii="宋体" w:hAnsi="宋体" w:eastAsia="宋体" w:cs="宋体"/>
        </w:rPr>
        <w:t>4.第4列“项目收入”：填报享受所得减免企业所得税优惠项目取得的收入总额。</w:t>
      </w:r>
    </w:p>
    <w:p>
      <w:pPr>
        <w:pStyle w:val="94"/>
        <w:ind w:firstLine="480"/>
        <w:rPr>
          <w:rFonts w:hint="eastAsia" w:ascii="宋体" w:hAnsi="宋体" w:eastAsia="宋体" w:cs="宋体"/>
        </w:rPr>
      </w:pPr>
      <w:r>
        <w:rPr>
          <w:rFonts w:hint="eastAsia" w:ascii="宋体" w:hAnsi="宋体" w:eastAsia="宋体" w:cs="宋体"/>
        </w:rPr>
        <w:t>5.第5列“项目成本”：填报享受所得减免企业所得税优惠项目发生的成本总额。</w:t>
      </w:r>
    </w:p>
    <w:p>
      <w:pPr>
        <w:pStyle w:val="94"/>
        <w:ind w:firstLine="480"/>
        <w:rPr>
          <w:rFonts w:hint="eastAsia" w:ascii="宋体" w:hAnsi="宋体" w:eastAsia="宋体" w:cs="宋体"/>
        </w:rPr>
      </w:pPr>
      <w:r>
        <w:rPr>
          <w:rFonts w:hint="eastAsia" w:ascii="宋体" w:hAnsi="宋体" w:eastAsia="宋体" w:cs="宋体"/>
        </w:rPr>
        <w:t>6.第6列“相关税费”：填报享受所得减免企业所得税优惠项目实际发生的有关税费总额，包括除企业所得税和允许抵扣的增值税以外的各项税金及其附加、合同签订费用、律师费等相关费用及其他支出。</w:t>
      </w:r>
    </w:p>
    <w:p>
      <w:pPr>
        <w:pStyle w:val="94"/>
        <w:ind w:firstLine="480"/>
        <w:rPr>
          <w:rFonts w:hint="eastAsia" w:ascii="宋体" w:hAnsi="宋体" w:eastAsia="宋体" w:cs="宋体"/>
        </w:rPr>
      </w:pPr>
      <w:r>
        <w:rPr>
          <w:rFonts w:hint="eastAsia" w:ascii="宋体" w:hAnsi="宋体" w:eastAsia="宋体" w:cs="宋体"/>
        </w:rPr>
        <w:t>7.第7列“应分摊期间费用”：填报享受所得减免企业所得税优惠项目合理分摊的期间费用总额。合理分摊比例可以按照投资额、销售收入、资产额、人员工资等参数确定，一经确定，不得随意变更。</w:t>
      </w:r>
    </w:p>
    <w:p>
      <w:pPr>
        <w:pStyle w:val="94"/>
        <w:ind w:firstLine="480"/>
        <w:rPr>
          <w:rFonts w:hint="eastAsia" w:ascii="宋体" w:hAnsi="宋体" w:eastAsia="宋体" w:cs="宋体"/>
        </w:rPr>
      </w:pPr>
      <w:r>
        <w:rPr>
          <w:rFonts w:hint="eastAsia" w:ascii="宋体" w:hAnsi="宋体" w:eastAsia="宋体" w:cs="宋体"/>
        </w:rPr>
        <w:t>8.第8列“纳税调整额”：填报纳税人按照税收规定需要调整减免税项目收入、成本、费用的金额，纳税调减以“-”号填列。</w:t>
      </w:r>
    </w:p>
    <w:p>
      <w:pPr>
        <w:pStyle w:val="94"/>
        <w:ind w:firstLine="480"/>
        <w:rPr>
          <w:rFonts w:hint="eastAsia" w:ascii="宋体" w:hAnsi="宋体" w:eastAsia="宋体" w:cs="宋体"/>
        </w:rPr>
      </w:pPr>
      <w:r>
        <w:rPr>
          <w:rFonts w:hint="eastAsia" w:ascii="宋体" w:hAnsi="宋体" w:eastAsia="宋体" w:cs="宋体"/>
        </w:rPr>
        <w:t>9.第9列“项目所得额\免税项目”：填报享受所得减免企业所得税优惠的纳税人计算确认的本期免税项目所得额。本列根据第3列分析填报，第3列填报“免税”的，填报第4-5-6-7+8列金额，当第4-5-6-7+8列＜0时，填报0。</w:t>
      </w:r>
    </w:p>
    <w:p>
      <w:pPr>
        <w:pStyle w:val="94"/>
        <w:ind w:firstLine="480"/>
        <w:rPr>
          <w:rFonts w:hint="eastAsia" w:ascii="宋体" w:hAnsi="宋体" w:eastAsia="宋体" w:cs="宋体"/>
        </w:rPr>
      </w:pPr>
      <w:r>
        <w:rPr>
          <w:rFonts w:hint="eastAsia" w:ascii="宋体" w:hAnsi="宋体" w:eastAsia="宋体" w:cs="宋体"/>
        </w:rPr>
        <w:t>第9列“四、符合条件的技术转让项目”的“小计”行：当第4-5-6-7+8列≤限额时，填报第4-5-6-7+8列金额（超过限额部分的金额填入第10列）；当第4-5-6-7+8列＜0时，填报0。如果本行第2列选择“一般技术转让项目”，限额为500万元；如果选择“中关村国家自主创新示范区特定区域技术转让项目”，限额为2000万元。</w:t>
      </w:r>
    </w:p>
    <w:p>
      <w:pPr>
        <w:pStyle w:val="94"/>
        <w:ind w:firstLine="480"/>
        <w:rPr>
          <w:rFonts w:hint="eastAsia" w:ascii="宋体" w:hAnsi="宋体" w:eastAsia="宋体" w:cs="宋体"/>
        </w:rPr>
      </w:pPr>
      <w:r>
        <w:rPr>
          <w:rFonts w:hint="eastAsia" w:ascii="宋体" w:hAnsi="宋体" w:eastAsia="宋体" w:cs="宋体"/>
        </w:rPr>
        <w:t>10.第10列“项目所得额\减半项目”：填报享受所得减免企业所得税优惠的纳税人本期经计算确认的减半征收项目所得额。本列根据第3列分析填报，第3列填报“减半征税”的，填报第4-5-6-7+8列金额，当第4-5-6-7+8列＜0时，填报0。</w:t>
      </w:r>
    </w:p>
    <w:p>
      <w:pPr>
        <w:pStyle w:val="94"/>
        <w:ind w:firstLine="480"/>
        <w:rPr>
          <w:rFonts w:hint="eastAsia" w:ascii="宋体" w:hAnsi="宋体" w:eastAsia="宋体" w:cs="宋体"/>
        </w:rPr>
      </w:pPr>
      <w:r>
        <w:rPr>
          <w:rFonts w:hint="eastAsia" w:ascii="宋体" w:hAnsi="宋体" w:eastAsia="宋体" w:cs="宋体"/>
        </w:rPr>
        <w:t>第10列“四、符合条件的技术转让项目”的“小计”行：填报第4-5-6-7+8列金额超过限额的部分。如果本行第2列选择“一般技术转让项目”，限额为500万元；如果选择“中关村国家自主创新示范区特定区域技术转让项目”，限额为2000万元。</w:t>
      </w:r>
    </w:p>
    <w:p>
      <w:pPr>
        <w:pStyle w:val="94"/>
        <w:ind w:firstLine="480"/>
        <w:rPr>
          <w:rFonts w:hint="eastAsia" w:ascii="宋体" w:hAnsi="宋体" w:eastAsia="宋体" w:cs="宋体"/>
        </w:rPr>
      </w:pPr>
      <w:r>
        <w:rPr>
          <w:rFonts w:hint="eastAsia" w:ascii="宋体" w:hAnsi="宋体" w:eastAsia="宋体" w:cs="宋体"/>
        </w:rPr>
        <w:t>11.第11列“减免所得额”：享受所得减免企业所得税优惠的企业，填报该项目按照税收规定实际可以享受免征、减征的所得额，按第9列+第10列×50%金额填报。</w:t>
      </w:r>
    </w:p>
    <w:p>
      <w:pPr>
        <w:pStyle w:val="94"/>
        <w:ind w:firstLine="480"/>
        <w:outlineLvl w:val="1"/>
        <w:rPr>
          <w:rFonts w:hint="eastAsia" w:ascii="宋体" w:hAnsi="宋体" w:eastAsia="宋体" w:cs="宋体"/>
        </w:rPr>
      </w:pPr>
      <w:bookmarkStart w:id="310" w:name="_Toc1679270418_WPSOffice_Level2"/>
      <w:bookmarkStart w:id="311" w:name="_Toc213309911_WPSOffice_Level2"/>
      <w:bookmarkStart w:id="312" w:name="_Toc54267952"/>
      <w:r>
        <w:rPr>
          <w:rFonts w:hint="eastAsia" w:ascii="宋体" w:hAnsi="宋体" w:eastAsia="宋体" w:cs="宋体"/>
        </w:rPr>
        <w:t>（二）行次填报</w:t>
      </w:r>
      <w:bookmarkEnd w:id="310"/>
      <w:bookmarkEnd w:id="311"/>
      <w:bookmarkEnd w:id="312"/>
    </w:p>
    <w:p>
      <w:pPr>
        <w:pStyle w:val="94"/>
        <w:ind w:firstLine="480"/>
        <w:rPr>
          <w:rFonts w:hint="eastAsia" w:ascii="宋体" w:hAnsi="宋体" w:eastAsia="宋体" w:cs="宋体"/>
        </w:rPr>
      </w:pPr>
      <w:r>
        <w:rPr>
          <w:rFonts w:hint="eastAsia" w:ascii="宋体" w:hAnsi="宋体" w:eastAsia="宋体" w:cs="宋体"/>
        </w:rPr>
        <w:t>1.第1行至第3行“一、农、林、牧、渔业项目”：按农、林、牧、渔业项目的优惠政策具体内容分别填报，一个项目填报一行，纳税人有多个项目的，可自行增加行次填报。各行相应列次填报金额的合计金额填入“小计”行。根据《财政部 国家税务总局关于发布享受企业所得税优惠政策的农产品初加工范围（试行）的通知》（财税〔2008〕149号）、《国家税务总局关于黑龙江垦区国有农场土地承包费缴纳企业所得税问题的批复》（国税函〔2009〕779号）、《国家税务总局关于“公司＋农户”经营模式企业所得税优惠问题的公告》（2010年第2号）、《财政部 国家税务总局关于享受企业所得税优惠的农产品初加工有关范围的补充通知》（财税〔2011〕26号）、《国家税务总局关于实施农 林 牧 渔业项目企业所得税优惠问题的公告》（2011年第48号）等相关税收政策规定，填报本纳税年度发生的减征、免征企业所得税项目的有关情况。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2.第4行至第6行“二、国家重点扶持的公共基础设施项目”：按国家重点扶持的公共基础设施项目具体内容分别填报，一个项目填报一行，纳税人有多个项目的，可自行增加行次填报。各行相应列次填报金额的合计金额填入“小计”行。根据《财政部 国家税务总局关于执行公共基础设施项目企业所得税优惠目录有关问题的通知》（财税〔2008〕46号）、《财政部 国家税务总局 国家发展改革委关于公布公共基础设施项目企业所得税优惠目录(2008年版)的通知》（财税〔2008〕116号）、《国家税务总局关于实施国家重点扶持的公共基础设施项目企业所得税优惠问题的通知》（国税发〔2009〕80号）、《财政部 国家税务总局关于公共基础设施项目和环境保护节能节水项目企业所得税优惠政策问题的通知》（财税〔2012〕10号）、《国家税务总局关于电网企业电网新建项目享受所得税优惠政策问题的公告》（2013年第26号）、《财政部 国家税务总局关于公共基础设施项目享受企业所得税优惠政策问题的补充通知》（财税〔2014〕55号）、《财政部 税务总局关于继续实行农村饮水安全工程税收优惠政策的公告》（2019年第67号）、《财政部 税务总局关于延长部分税收优惠政策执行期限的公告》（2021年第6号）等相关税收政策规定，从事《公共基础设施项目企业所得税优惠目录》规定的港口码头、机场、铁路、公路、城市公共交通、电力、水利等项目的投资经营的所得，自项目取得第一笔生产经营收入所属纳税年度起，第一年至第三年免征企业所得税，第四年至第六年减半征收企业所得税，不包括企业承包经营、承包建设和内部自建自用该项目的所得。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szCs w:val="22"/>
        </w:rPr>
        <w:t>3.第</w:t>
      </w:r>
      <w:r>
        <w:rPr>
          <w:rFonts w:hint="eastAsia" w:ascii="宋体" w:hAnsi="宋体" w:eastAsia="宋体" w:cs="宋体"/>
        </w:rPr>
        <w:t>7行至第9行“三、符合条件的环境保护、节能节水项目”：按符合条件的环境保护、节能节水项目的具体内容分别填报，一个项目填报一行。纳税人有多个项目的，可自行增加行次填报。各行相应列次填报金额的合计金额填入“小计”行。根据《财政部 国家税务总局 国家发展改革委关于公布环境保护节能节水项目企业所得税优惠目录（试行）的通知》（财税〔2009〕166号）、《财政部 国家税务总局关于公共基础设施项目和环境保护节能节水项目企业所得税优惠政策问题的通知》（财税〔2012〕10号）、《财政部 税务总局 国家发展改革委 生态环境部关于公布〈环境保护、节能节水项目企业所得税优惠目录（2021年版）〉以及〈资源综合利用企业所得税优惠目录（2021年版）〉的公告》（2021年第36号）等相关税收政策规定，从事符合条件的环境保护、节能节水项目的所得，自项目取得第一笔生产经营收入所属纳税年度起，第一年至第三年免征企业所得税，第四年至第六年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4.第10行至第12行“四、符合条件的技术转让项目”：按照不同技术转让项目分别填报，一个项目填报一行，纳税人有多个项目的，可自行增加行次填报。各行相应列次填报金额的合计金额填入“小计”行。根据《国家税务总局关于技术转让所得减免企业所得税有关问题的通知》（国税函〔2009〕212号）、《财政部 国家税务总局关于居民企业技术转让有关企业所得税政策问题的通知》（财税〔2010〕111号）、《国家税务总局关于技术转让所得减免企业所得税有关问题的公告》（2013年第62号）、《国家税务总局关于许可使用权技术转让所得企业所得税有关问题的公告》（2015年第82号）、《财政部 税务总局 科技部 知识产权局关于中关村国家自主创新示范区特定区域技术转让企业所得税试点政策的通知》（财税〔2020〕61号）等相关税收政策规定，一个纳税年度内，居民企业将其拥有的专利技术、计算机软件著作权、集成电路布图设计权、植物新品种权、生物医药新品种，以及财政部和国家税务总局确定的其他技术的所有权或符合规定年限的全球独占许可使用权、符合规定年限的非独占许可使用权转让取得的所得，不超过500（或2000）万元的部分，免征企业所得税；超过500（或2000）万元的部分，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5.第13行至第15行“五、清洁发展机制项目”：按照实施的清洁发展机制的不同项目分别填报，一个项目填报一行，纳税人有多个项目的，可自行增加行次填报。各行相应列次填报金额的合计金额填入“小计”行。根据《财政部 国家税务总局关于中国清洁发展机制基金及清洁发展机制项目实施企业有关企业所得税政策问题的通知》（财税〔2009〕30号）等相关税收政策规定，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6.第16行至第18行“六、符合条件的节能服务公司实施合同能源管理项目”：按照节能服务公司实施合同能源管理的不同项目分别填报，一个项目填报一行，纳税人有多个项目的，可自行增加行次填报。各行相应列次填报金额的合计金额填入“小计”行。根据《财政部 国家税务总局关于促进节能服务产业发展增值税 营业税和企业所得税政策问题的通知》（财税〔2010〕110号）、《国家税务总局 国家发展改革委关于落实节能服务企业合同能源管理项目企业所得税优惠政策有关征收管理问题的公告》（2013年第77号）等相关税收政策规定，符合条件的节能服务公司实施合同能源管理项目，符合税法有关规定的，自项目取得第一笔生产经营收入所属纳税年度起，第一年至第三年免征企业所得税，第四年至第六年按照25%的法定税率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7.第19行至第21行“七、线宽小于130纳米（含）的集成电路生产项目”：按照投资的线宽小于130纳米（含）的集成电路生产项目的不同项目分别填报，一个项目填报一行，纳税人有多个项目的，可自行增加行次填报。各行相应列次填报金额的合计金额填入“小计”行。</w:t>
      </w:r>
    </w:p>
    <w:p>
      <w:pPr>
        <w:pStyle w:val="94"/>
        <w:ind w:firstLine="480"/>
        <w:rPr>
          <w:rFonts w:hint="eastAsia" w:ascii="宋体" w:hAnsi="宋体" w:eastAsia="宋体" w:cs="宋体"/>
        </w:rPr>
      </w:pPr>
      <w:r>
        <w:rPr>
          <w:rFonts w:hint="eastAsia" w:ascii="宋体" w:hAnsi="宋体" w:eastAsia="宋体" w:cs="宋体"/>
        </w:rPr>
        <w:t>根据《财政部 税务总局 国家发展改革委 工业和信息化部关于集成电路生产企业有关企业所得税政策问题的通知》（财税〔2018〕27号）规定，线宽小于130纳米（含），且经营期在10年以上的集成电路生产项目，自项目取得第一笔生产经营收入所属纳税年度起，第一年至第二年免征企业所得税，第三年至第五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130纳米（含），且经营期在10年以上的集成电路生产项目，自项目取得第一笔生产经营收入所属纳税年度起，第一年至第二年免征企业所得税，第三年至第五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rPr>
        <w:t>8.第22行至第24行“八、线宽小于65纳米（含）或投资额超过150亿元的集成电路生产项目”：按照投资的线宽小于65纳米（含）或投资额超过150亿元的集成电路生产项目的不同项目分别填报，一个项目填报一行，纳税人有多个项目的，可自行增加行次填报。各行相应列次填报金额的合计金额填入“小计”行。根据财税〔2018〕27号规定，线宽小于65纳米（含）或投资额超过150亿元，且经营期在15年以上的集成电路生产项目，自项目取得第一笔生产经营收入所属纳税年度起，第一年至第五年免征企业所得税，第六年至第十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65纳米（含），且经营期在15年以上的集成电路生产项目，自项目取得第一笔生产经营收入所属纳税年度起，第一年至第五年免征企业所得税，第六年至第十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szCs w:val="22"/>
        </w:rPr>
        <w:t>9</w:t>
      </w:r>
      <w:r>
        <w:rPr>
          <w:rFonts w:hint="eastAsia" w:ascii="宋体" w:hAnsi="宋体" w:eastAsia="宋体" w:cs="宋体"/>
        </w:rPr>
        <w:t>、第25行至27行“九、线宽小于28纳米（含）的集成电路生产项目减免企业所得税（填写A107042）”：按照投资的线宽小于28纳米（含）的集成电路生产项目的不同项目分别填报，一个项目填报一行，纳税人有多个项目的，可自行增加行次填报。各行相应列次填报金额的合计金额填入“小计”行。根据《财政部 税务总局 发展改革委 工业和信息化部关于促进集成电路和软件产业高质量发展企业所得税政策的公告》（2020年第45号）规定，国家鼓励的集成电路线宽小于28纳米（含），且经营期在15年以上的集成电路生产项目，第一年至第十年免征企业所得税。本行填报本纳税年度发生的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rPr>
        <w:t>10.第28行至第30行“十、其他”：填报纳税人享受的其他专项减免项目名称、优惠事项名称及减免税代码、项目收入等。按照享受所得减免企业所得税优惠的其他项目内容分别填报，一个项目填报一行，纳税人有多个项目的，可自行增加行次填报。各行相应列次填报金额的合计金额填入“小计”行。</w:t>
      </w:r>
    </w:p>
    <w:p>
      <w:pPr>
        <w:pStyle w:val="94"/>
        <w:ind w:firstLine="480"/>
        <w:rPr>
          <w:rFonts w:hint="eastAsia" w:ascii="宋体" w:hAnsi="宋体" w:eastAsia="宋体" w:cs="宋体"/>
        </w:rPr>
      </w:pPr>
      <w:r>
        <w:rPr>
          <w:rFonts w:hint="eastAsia" w:ascii="宋体" w:hAnsi="宋体" w:eastAsia="宋体" w:cs="宋体"/>
        </w:rPr>
        <w:t>11.第31行“合计”：填报第一项至第十项“小计”行的合计金额。</w:t>
      </w:r>
    </w:p>
    <w:p>
      <w:pPr>
        <w:pStyle w:val="94"/>
        <w:ind w:firstLine="480"/>
        <w:outlineLvl w:val="0"/>
        <w:rPr>
          <w:rFonts w:hint="eastAsia" w:ascii="宋体" w:hAnsi="宋体" w:eastAsia="宋体" w:cs="宋体"/>
        </w:rPr>
      </w:pPr>
      <w:bookmarkStart w:id="313" w:name="_Toc54267953"/>
      <w:bookmarkStart w:id="314" w:name="_Toc1796329572_WPSOffice_Level1"/>
      <w:bookmarkStart w:id="315" w:name="_Toc1041913392_WPSOffice_Level1"/>
      <w:r>
        <w:rPr>
          <w:rFonts w:hint="eastAsia" w:ascii="宋体" w:hAnsi="宋体" w:eastAsia="宋体" w:cs="宋体"/>
        </w:rPr>
        <w:t>二、表内、表间关系</w:t>
      </w:r>
      <w:bookmarkEnd w:id="313"/>
      <w:bookmarkEnd w:id="314"/>
      <w:bookmarkEnd w:id="315"/>
    </w:p>
    <w:p>
      <w:pPr>
        <w:pStyle w:val="94"/>
        <w:ind w:firstLine="480"/>
        <w:outlineLvl w:val="1"/>
        <w:rPr>
          <w:rFonts w:hint="eastAsia" w:ascii="宋体" w:hAnsi="宋体" w:eastAsia="宋体" w:cs="宋体"/>
        </w:rPr>
      </w:pPr>
      <w:bookmarkStart w:id="316" w:name="_Toc1231307770_WPSOffice_Level2"/>
      <w:bookmarkStart w:id="317" w:name="_Toc1625409562_WPSOffice_Level2"/>
      <w:bookmarkStart w:id="318" w:name="_Toc54267954"/>
      <w:r>
        <w:rPr>
          <w:rFonts w:hint="eastAsia" w:ascii="宋体" w:hAnsi="宋体" w:eastAsia="宋体" w:cs="宋体"/>
        </w:rPr>
        <w:t>（一）表内关系（以表样列示行次为例）</w:t>
      </w:r>
      <w:bookmarkEnd w:id="316"/>
      <w:bookmarkEnd w:id="317"/>
      <w:bookmarkEnd w:id="318"/>
    </w:p>
    <w:p>
      <w:pPr>
        <w:pStyle w:val="94"/>
        <w:ind w:firstLine="480"/>
        <w:rPr>
          <w:rFonts w:hint="eastAsia" w:ascii="宋体" w:hAnsi="宋体" w:eastAsia="宋体" w:cs="宋体"/>
        </w:rPr>
      </w:pPr>
      <w:r>
        <w:rPr>
          <w:rFonts w:hint="eastAsia" w:ascii="宋体" w:hAnsi="宋体" w:eastAsia="宋体" w:cs="宋体"/>
        </w:rPr>
        <w:t>1.第3行＝第1+2行。</w:t>
      </w:r>
    </w:p>
    <w:p>
      <w:pPr>
        <w:pStyle w:val="94"/>
        <w:ind w:firstLine="480"/>
        <w:rPr>
          <w:rFonts w:hint="eastAsia" w:ascii="宋体" w:hAnsi="宋体" w:eastAsia="宋体" w:cs="宋体"/>
        </w:rPr>
      </w:pPr>
      <w:r>
        <w:rPr>
          <w:rFonts w:hint="eastAsia" w:ascii="宋体" w:hAnsi="宋体" w:eastAsia="宋体" w:cs="宋体"/>
        </w:rPr>
        <w:t>2.第6行＝第4+5行。</w:t>
      </w:r>
    </w:p>
    <w:p>
      <w:pPr>
        <w:pStyle w:val="94"/>
        <w:ind w:firstLine="480"/>
        <w:rPr>
          <w:rFonts w:hint="eastAsia" w:ascii="宋体" w:hAnsi="宋体" w:eastAsia="宋体" w:cs="宋体"/>
        </w:rPr>
      </w:pPr>
      <w:r>
        <w:rPr>
          <w:rFonts w:hint="eastAsia" w:ascii="宋体" w:hAnsi="宋体" w:eastAsia="宋体" w:cs="宋体"/>
        </w:rPr>
        <w:t>3.第9行＝第7+8行。</w:t>
      </w:r>
    </w:p>
    <w:p>
      <w:pPr>
        <w:pStyle w:val="94"/>
        <w:ind w:firstLine="480"/>
        <w:rPr>
          <w:rFonts w:hint="eastAsia" w:ascii="宋体" w:hAnsi="宋体" w:eastAsia="宋体" w:cs="宋体"/>
        </w:rPr>
      </w:pPr>
      <w:r>
        <w:rPr>
          <w:rFonts w:hint="eastAsia" w:ascii="宋体" w:hAnsi="宋体" w:eastAsia="宋体" w:cs="宋体"/>
        </w:rPr>
        <w:t>4.第12行＝第10+11行。</w:t>
      </w:r>
    </w:p>
    <w:p>
      <w:pPr>
        <w:pStyle w:val="94"/>
        <w:ind w:firstLine="480"/>
        <w:rPr>
          <w:rFonts w:hint="eastAsia" w:ascii="宋体" w:hAnsi="宋体" w:eastAsia="宋体" w:cs="宋体"/>
        </w:rPr>
      </w:pPr>
      <w:r>
        <w:rPr>
          <w:rFonts w:hint="eastAsia" w:ascii="宋体" w:hAnsi="宋体" w:eastAsia="宋体" w:cs="宋体"/>
        </w:rPr>
        <w:t>5.第15行＝第13+14行。</w:t>
      </w:r>
    </w:p>
    <w:p>
      <w:pPr>
        <w:pStyle w:val="94"/>
        <w:ind w:firstLine="480"/>
        <w:rPr>
          <w:rFonts w:hint="eastAsia" w:ascii="宋体" w:hAnsi="宋体" w:eastAsia="宋体" w:cs="宋体"/>
        </w:rPr>
      </w:pPr>
      <w:r>
        <w:rPr>
          <w:rFonts w:hint="eastAsia" w:ascii="宋体" w:hAnsi="宋体" w:eastAsia="宋体" w:cs="宋体"/>
        </w:rPr>
        <w:t>6.第18行＝第16+17行。</w:t>
      </w:r>
    </w:p>
    <w:p>
      <w:pPr>
        <w:pStyle w:val="94"/>
        <w:ind w:firstLine="480"/>
        <w:rPr>
          <w:rFonts w:hint="eastAsia" w:ascii="宋体" w:hAnsi="宋体" w:eastAsia="宋体" w:cs="宋体"/>
        </w:rPr>
      </w:pPr>
      <w:r>
        <w:rPr>
          <w:rFonts w:hint="eastAsia" w:ascii="宋体" w:hAnsi="宋体" w:eastAsia="宋体" w:cs="宋体"/>
        </w:rPr>
        <w:t>7.第21行＝第19+20行。</w:t>
      </w:r>
    </w:p>
    <w:p>
      <w:pPr>
        <w:pStyle w:val="94"/>
        <w:ind w:firstLine="480"/>
        <w:rPr>
          <w:rFonts w:hint="eastAsia" w:ascii="宋体" w:hAnsi="宋体" w:eastAsia="宋体" w:cs="宋体"/>
        </w:rPr>
      </w:pPr>
      <w:r>
        <w:rPr>
          <w:rFonts w:hint="eastAsia" w:ascii="宋体" w:hAnsi="宋体" w:eastAsia="宋体" w:cs="宋体"/>
        </w:rPr>
        <w:t>8.第24行＝第22+23行。</w:t>
      </w:r>
    </w:p>
    <w:p>
      <w:pPr>
        <w:pStyle w:val="94"/>
        <w:ind w:firstLine="480"/>
        <w:rPr>
          <w:rFonts w:hint="eastAsia" w:ascii="宋体" w:hAnsi="宋体" w:eastAsia="宋体" w:cs="宋体"/>
        </w:rPr>
      </w:pPr>
      <w:r>
        <w:rPr>
          <w:rFonts w:hint="eastAsia" w:ascii="宋体" w:hAnsi="宋体" w:eastAsia="宋体" w:cs="宋体"/>
        </w:rPr>
        <w:t>9.第27行＝第25+26行。</w:t>
      </w:r>
    </w:p>
    <w:p>
      <w:pPr>
        <w:pStyle w:val="94"/>
        <w:ind w:firstLine="480"/>
        <w:rPr>
          <w:rFonts w:hint="eastAsia" w:ascii="宋体" w:hAnsi="宋体" w:eastAsia="宋体" w:cs="宋体"/>
        </w:rPr>
      </w:pPr>
      <w:r>
        <w:rPr>
          <w:rFonts w:hint="eastAsia" w:ascii="宋体" w:hAnsi="宋体" w:eastAsia="宋体" w:cs="宋体"/>
        </w:rPr>
        <w:t>10.第30行＝第28+29行。</w:t>
      </w:r>
    </w:p>
    <w:p>
      <w:pPr>
        <w:pStyle w:val="94"/>
        <w:ind w:firstLine="480"/>
        <w:rPr>
          <w:rFonts w:hint="eastAsia" w:ascii="宋体" w:hAnsi="宋体" w:eastAsia="宋体" w:cs="宋体"/>
        </w:rPr>
      </w:pPr>
      <w:r>
        <w:rPr>
          <w:rFonts w:hint="eastAsia" w:ascii="宋体" w:hAnsi="宋体" w:eastAsia="宋体" w:cs="宋体"/>
        </w:rPr>
        <w:t>11.第31行＝第3+6+9+12+15+18+21+24+27+30行。</w:t>
      </w:r>
    </w:p>
    <w:p>
      <w:pPr>
        <w:pStyle w:val="94"/>
        <w:ind w:firstLine="480"/>
        <w:rPr>
          <w:rFonts w:hint="eastAsia" w:ascii="宋体" w:hAnsi="宋体" w:eastAsia="宋体" w:cs="宋体"/>
        </w:rPr>
      </w:pPr>
      <w:r>
        <w:rPr>
          <w:rFonts w:hint="eastAsia" w:ascii="宋体" w:hAnsi="宋体" w:eastAsia="宋体" w:cs="宋体"/>
        </w:rPr>
        <w:t>12.当第3列选择“免税”时，第9列＝第4-5-6-7+8列；当第4-5-6-7+8列＜0时，第9列＝0。</w:t>
      </w:r>
    </w:p>
    <w:p>
      <w:pPr>
        <w:pStyle w:val="94"/>
        <w:ind w:firstLine="480"/>
        <w:rPr>
          <w:rFonts w:hint="eastAsia" w:ascii="宋体" w:hAnsi="宋体" w:eastAsia="宋体" w:cs="宋体"/>
        </w:rPr>
      </w:pPr>
      <w:r>
        <w:rPr>
          <w:rFonts w:hint="eastAsia" w:ascii="宋体" w:hAnsi="宋体" w:eastAsia="宋体" w:cs="宋体"/>
        </w:rPr>
        <w:t>第12行第2列选择“一般技术专项项目”：当第12行第4-5-6-7+8列≤5000000时，第12行第9列＝第4-5-6-7+8列；当第12行第4-5-6-7+8列＞5000000时，第12行第9列＝5000000。</w:t>
      </w:r>
    </w:p>
    <w:p>
      <w:pPr>
        <w:pStyle w:val="94"/>
        <w:ind w:firstLine="480"/>
        <w:rPr>
          <w:rFonts w:hint="eastAsia" w:ascii="宋体" w:hAnsi="宋体" w:eastAsia="宋体" w:cs="宋体"/>
        </w:rPr>
      </w:pPr>
      <w:r>
        <w:rPr>
          <w:rFonts w:hint="eastAsia" w:ascii="宋体" w:hAnsi="宋体" w:eastAsia="宋体" w:cs="宋体"/>
        </w:rPr>
        <w:t>第12行第2列选择“中关村国家自主创新示范区特定区域技术转让项目”：当第12行第4-5-6-7+8列≤20000000时，第12行第9列＝第4-5-6-7+8列；当第12行第4-5-6-7+8列＞20000000时，第12行第9列＝20000000。</w:t>
      </w:r>
    </w:p>
    <w:p>
      <w:pPr>
        <w:pStyle w:val="94"/>
        <w:ind w:firstLine="480"/>
        <w:rPr>
          <w:rFonts w:hint="eastAsia" w:ascii="宋体" w:hAnsi="宋体" w:eastAsia="宋体" w:cs="宋体"/>
        </w:rPr>
      </w:pPr>
      <w:r>
        <w:rPr>
          <w:rFonts w:hint="eastAsia" w:ascii="宋体" w:hAnsi="宋体" w:eastAsia="宋体" w:cs="宋体"/>
        </w:rPr>
        <w:t>13.当第3列选择“减半征税”时，第10列＝第4-5-6-7+8列；当第4-5-6-7+8列＜0时，第10列＝0。</w:t>
      </w:r>
    </w:p>
    <w:p>
      <w:pPr>
        <w:pStyle w:val="94"/>
        <w:ind w:firstLine="480"/>
        <w:rPr>
          <w:rFonts w:hint="eastAsia" w:ascii="宋体" w:hAnsi="宋体" w:eastAsia="宋体" w:cs="宋体"/>
        </w:rPr>
      </w:pPr>
      <w:r>
        <w:rPr>
          <w:rFonts w:hint="eastAsia" w:ascii="宋体" w:hAnsi="宋体" w:eastAsia="宋体" w:cs="宋体"/>
        </w:rPr>
        <w:t>第12行第2列选择“一般技术专项项目”：当第12行第4-5-6-7+8列≤5000000时，第12行第10列＝0；当第12行第4-5-6-7+8列＞5000000时，第12行第10列＝第4-5-6-7+8列-5000000。</w:t>
      </w:r>
    </w:p>
    <w:p>
      <w:pPr>
        <w:pStyle w:val="94"/>
        <w:ind w:firstLine="480"/>
        <w:rPr>
          <w:rFonts w:hint="eastAsia" w:ascii="宋体" w:hAnsi="宋体" w:eastAsia="宋体" w:cs="宋体"/>
        </w:rPr>
      </w:pPr>
      <w:r>
        <w:rPr>
          <w:rFonts w:hint="eastAsia" w:ascii="宋体" w:hAnsi="宋体" w:eastAsia="宋体" w:cs="宋体"/>
        </w:rPr>
        <w:t>第12行第2列选择“中关村国家自主创新示范区特定区域技术转让项目”：当第12行第4-5-6-7+8列≤20000000时，第12行第10列＝0；当第12行第4-5-6-7+8列＞20000000时，第12行第10列＝第4-5-6-7+8列-20000000。</w:t>
      </w:r>
    </w:p>
    <w:p>
      <w:pPr>
        <w:pStyle w:val="94"/>
        <w:ind w:firstLine="480"/>
        <w:rPr>
          <w:rFonts w:hint="eastAsia" w:ascii="宋体" w:hAnsi="宋体" w:eastAsia="宋体" w:cs="宋体"/>
        </w:rPr>
      </w:pPr>
      <w:r>
        <w:rPr>
          <w:rFonts w:hint="eastAsia" w:ascii="宋体" w:hAnsi="宋体" w:eastAsia="宋体" w:cs="宋体"/>
        </w:rPr>
        <w:t>14.第11列＝第9列+第10列×50%；当第9列+第10列×50%＜0时，第11列＝0。</w:t>
      </w:r>
    </w:p>
    <w:p>
      <w:pPr>
        <w:pStyle w:val="94"/>
        <w:ind w:firstLine="480"/>
        <w:outlineLvl w:val="1"/>
        <w:rPr>
          <w:rFonts w:hint="eastAsia" w:ascii="宋体" w:hAnsi="宋体" w:eastAsia="宋体" w:cs="宋体"/>
        </w:rPr>
      </w:pPr>
      <w:bookmarkStart w:id="319" w:name="_Toc676784895_WPSOffice_Level2"/>
      <w:bookmarkStart w:id="320" w:name="_Toc1015399474_WPSOffice_Level2"/>
      <w:bookmarkStart w:id="321" w:name="_Toc54267955"/>
      <w:r>
        <w:rPr>
          <w:rFonts w:hint="eastAsia" w:ascii="宋体" w:hAnsi="宋体" w:eastAsia="宋体" w:cs="宋体"/>
        </w:rPr>
        <w:t>（二）表间关系</w:t>
      </w:r>
      <w:bookmarkEnd w:id="319"/>
      <w:bookmarkEnd w:id="320"/>
      <w:bookmarkEnd w:id="321"/>
    </w:p>
    <w:p>
      <w:pPr>
        <w:pStyle w:val="94"/>
        <w:ind w:firstLine="480"/>
        <w:rPr>
          <w:rFonts w:hint="eastAsia" w:ascii="宋体" w:hAnsi="宋体" w:eastAsia="宋体" w:cs="宋体"/>
        </w:rPr>
      </w:pPr>
      <w:r>
        <w:rPr>
          <w:rFonts w:hint="eastAsia" w:ascii="宋体" w:hAnsi="宋体" w:eastAsia="宋体" w:cs="宋体"/>
          <w:szCs w:val="22"/>
        </w:rPr>
        <w:t>1</w:t>
      </w:r>
      <w:r>
        <w:rPr>
          <w:rFonts w:hint="eastAsia" w:ascii="宋体" w:hAnsi="宋体" w:eastAsia="宋体" w:cs="宋体"/>
        </w:rPr>
        <w:t>.当本表合计行第11列≥0，且本表合计行第11列≤表A100000第19行时， 合计行第11列＝表A100000第20行。</w:t>
      </w:r>
    </w:p>
    <w:p>
      <w:pPr>
        <w:pStyle w:val="94"/>
        <w:ind w:firstLine="480"/>
        <w:rPr>
          <w:rFonts w:hint="eastAsia" w:ascii="宋体" w:hAnsi="宋体" w:cs="宋体"/>
          <w:sz w:val="24"/>
        </w:rPr>
        <w:sectPr>
          <w:pgSz w:w="11906" w:h="16838"/>
          <w:pgMar w:top="1984" w:right="1418" w:bottom="1786" w:left="1418" w:header="851" w:footer="992" w:gutter="113"/>
          <w:pgNumType w:fmt="decimal"/>
          <w:cols w:space="720" w:num="1"/>
          <w:docGrid w:linePitch="312" w:charSpace="0"/>
        </w:sectPr>
      </w:pPr>
      <w:r>
        <w:rPr>
          <w:rFonts w:hint="eastAsia" w:ascii="宋体" w:hAnsi="宋体" w:eastAsia="宋体" w:cs="宋体"/>
        </w:rPr>
        <w:t>2.当本表合计行第11列≥0，且本表合计行第11列＞表A100000第19行时，表A100000第20行＝表A100000第19行。</w:t>
      </w:r>
    </w:p>
    <w:bookmarkEnd w:id="283"/>
    <w:bookmarkEnd w:id="284"/>
    <w:bookmarkEnd w:id="301"/>
    <w:p>
      <w:pPr>
        <w:pStyle w:val="80"/>
      </w:pPr>
      <w:bookmarkStart w:id="322" w:name="_Toc26195"/>
      <w:r>
        <w:rPr>
          <w:rFonts w:hint="eastAsia"/>
        </w:rPr>
        <w:t>A107030</w:t>
      </w:r>
      <w:r>
        <w:tab/>
      </w:r>
      <w:r>
        <w:rPr>
          <w:rFonts w:hint="eastAsia"/>
        </w:rPr>
        <w:t>抵扣应纳税所得额明细表</w:t>
      </w:r>
      <w:bookmarkEnd w:id="322"/>
    </w:p>
    <w:tbl>
      <w:tblPr>
        <w:tblStyle w:val="25"/>
        <w:tblW w:w="14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gridCol w:w="2500"/>
        <w:gridCol w:w="2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vMerge w:val="restart"/>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8640"/>
              </w:rPr>
              <w:t>项</w:t>
            </w:r>
            <w:r>
              <w:rPr>
                <w:rFonts w:hint="eastAsia" w:ascii="宋体" w:hAnsi="宋体" w:cs="宋体"/>
                <w:spacing w:val="0"/>
                <w:kern w:val="0"/>
                <w:sz w:val="20"/>
                <w:szCs w:val="20"/>
                <w:fitText w:val="1400" w:id="1540528640"/>
              </w:rPr>
              <w:t>目</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合计金额</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投资于未上市中小高新技术企业</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投资于种子期、初创期科技型企业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6760" w:type="dxa"/>
            <w:vMerge w:val="continue"/>
            <w:vAlign w:val="center"/>
          </w:tcPr>
          <w:p>
            <w:pPr>
              <w:widowControl/>
              <w:jc w:val="left"/>
              <w:rPr>
                <w:rFonts w:ascii="宋体" w:hAnsi="宋体" w:cs="宋体"/>
                <w:kern w:val="0"/>
                <w:sz w:val="20"/>
                <w:szCs w:val="20"/>
              </w:rPr>
            </w:pP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1=2+3</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一、创业投资企业直接投资按投资额一定比例抵扣应纳税所得额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本年新增的符合条件的股权投资额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税收规定的抵扣率</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本年新增的可抵扣的股权投资额（1×2）</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以前年度结转的尚未抵扣的股权投资余额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本年可抵扣的股权投资额（3+4）</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本年可用于抵扣的应纳税所得额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二、通过有限合伙制创业投资企业投资按一定比例抵扣分得的应纳税所得额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本年从有限合伙创投企业应分得的应纳税所得额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以前年度结转的可抵扣投资额余额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本年可抵扣投资额（10+11）</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三、抵扣应纳税所得额合计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合计（7+13）</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noWrap/>
            <w:vAlign w:val="center"/>
          </w:tcPr>
          <w:p>
            <w:pPr>
              <w:widowControl/>
              <w:jc w:val="center"/>
              <w:rPr>
                <w:rFonts w:ascii="宋体" w:hAnsi="宋体" w:cs="宋体"/>
                <w:kern w:val="0"/>
                <w:sz w:val="24"/>
              </w:rPr>
            </w:pPr>
          </w:p>
        </w:tc>
      </w:tr>
    </w:tbl>
    <w:p>
      <w:pPr>
        <w:tabs>
          <w:tab w:val="left" w:pos="219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323" w:name="_Toc26283"/>
      <w:bookmarkStart w:id="324" w:name="_Toc390864029"/>
      <w:bookmarkStart w:id="325" w:name="_Toc393471139"/>
      <w:r>
        <w:rPr>
          <w:rFonts w:hint="eastAsia" w:ascii="宋体" w:eastAsia="宋体"/>
          <w:b/>
        </w:rPr>
        <w:t>A107030《抵扣应纳税所得额明细表》填报说明</w:t>
      </w:r>
      <w:bookmarkEnd w:id="323"/>
    </w:p>
    <w:p>
      <w:pPr>
        <w:pStyle w:val="65"/>
      </w:pPr>
      <w:r>
        <w:rPr>
          <w:rFonts w:hint="eastAsia"/>
        </w:rPr>
        <w:t>本表适用于享受创业投资企业抵扣应纳税所得额优惠（含结转）的纳税人填报。纳税人根据税法、《国家税务总局关于实施创业投资企业所得税优惠问题的通知》（国税发〔2009〕87号）、《财政部 国家税务总局关于执行企业所得税优惠政策若干问题的通知》（财税〔2009〕69号）、《财政部 国家税务总局关于将国家自主创新示范区有关税收试点政策推广到全国范围实施的通知》（财税〔2015〕116号）、《国家税务总局关于有限合伙制创业投资企业法人合伙人企业所得税有关问题的公告》（国家税务总局公告2015年第81号）、《财政部 税务总局关于创业投资企业和天使投资个人有关税收试点政策的通知》（财税〔2017〕38号）、《国家税务总局关于创业投资企业和天使投资个人税收试点政策有关问题的公告》（国家税务总局公告2017年第20号）等规定，填报本年度发生的创业投资企业抵扣应纳税所得额优惠情况。企业只要本年有新增符合条件的投资额、从有限合伙制创业投资企业分得的应纳税所得额或以前年度结转的尚未抵扣的股权投资余额，无论本年是否抵扣应纳税所得额，均需填报本表。</w:t>
      </w:r>
    </w:p>
    <w:p>
      <w:pPr>
        <w:pStyle w:val="69"/>
        <w:ind w:firstLine="482"/>
        <w:outlineLvl w:val="0"/>
      </w:pPr>
      <w:r>
        <w:rPr>
          <w:rFonts w:hint="eastAsia"/>
        </w:rPr>
        <w:t>一、有关项目填报说明</w:t>
      </w:r>
    </w:p>
    <w:p>
      <w:pPr>
        <w:pStyle w:val="65"/>
        <w:rPr>
          <w:rFonts w:hint="eastAsia"/>
        </w:rPr>
      </w:pPr>
      <w:r>
        <w:rPr>
          <w:rFonts w:hint="eastAsia"/>
        </w:rPr>
        <w:t>企业同时存在创业投资企业直接投资和通过有限合伙制创业投资企业投资两种情形的，应先填写本表的“二、通过有限合伙制创业投资企业投资按一定比例抵扣分得的应纳税所得额”。</w:t>
      </w:r>
    </w:p>
    <w:p>
      <w:pPr>
        <w:pStyle w:val="65"/>
      </w:pPr>
      <w:r>
        <w:rPr>
          <w:rFonts w:hint="eastAsia"/>
        </w:rPr>
        <w:t>（一）“一、创业投资企业直接投资按投资额一定比例抵扣应纳税所得额”：由创业投资企业（非合伙制）纳税人填报其以股权投资方式直接投资未上市的中小高新技术企业和投资于种子期、初创期科技型企业2年（24个月，下同）以上限额抵免应纳税所得额的金额。对于通过有限合伙制创业投资企业间接投资未上市的中小高新技术企业和投资于种子期、初创期科技型企业享受优惠政策填写本表第9行至第14行。具体行次如下：</w:t>
      </w:r>
    </w:p>
    <w:p>
      <w:pPr>
        <w:pStyle w:val="65"/>
      </w:pPr>
      <w:r>
        <w:rPr>
          <w:rFonts w:hint="eastAsia"/>
        </w:rPr>
        <w:t>1.第1行“本年新增的符合条件的股权投资额”：填报创业投资企业采取股权投资方式投资于未上市的中小高新技术企业和投资于种子期、初创期科技型企业满2年的，本年新增的符合条件的股权投资额。本行第1列＝本行第2列+本行第3列。无论企业本年是否盈利，有符合条件的投资额即填报本表，以后年度盈利时填写第4行“以前年度结转的尚未抵扣的股权投资余额”。</w:t>
      </w:r>
    </w:p>
    <w:p>
      <w:pPr>
        <w:pStyle w:val="65"/>
      </w:pPr>
      <w:r>
        <w:rPr>
          <w:rFonts w:hint="eastAsia"/>
        </w:rPr>
        <w:t>2.第3行“本年新增的可抵扣的股权投资额”：本行填报第1×2行金额。本行第1列＝本行第2列+本行第3列。</w:t>
      </w:r>
    </w:p>
    <w:p>
      <w:pPr>
        <w:pStyle w:val="65"/>
      </w:pPr>
      <w:r>
        <w:rPr>
          <w:rFonts w:hint="eastAsia"/>
        </w:rPr>
        <w:t>3.第4行“以前年度结转的尚未抵扣的股权投资余额”：填报以前年度符合条件的尚未抵扣的股权投资余额。</w:t>
      </w:r>
    </w:p>
    <w:p>
      <w:pPr>
        <w:pStyle w:val="65"/>
      </w:pPr>
      <w:r>
        <w:rPr>
          <w:rFonts w:hint="eastAsia"/>
        </w:rPr>
        <w:t>4.第5行“本年可抵扣的股权投资额”：本行填报第3+4行的合计金额。</w:t>
      </w:r>
    </w:p>
    <w:p>
      <w:pPr>
        <w:pStyle w:val="65"/>
      </w:pPr>
      <w:r>
        <w:rPr>
          <w:rFonts w:hint="eastAsia"/>
        </w:rPr>
        <w:t>5.第6行“本年可用于抵扣的应纳税所得额合计金额”：本行第1列填报表A100000第19-20-21行-本表第13行第1列“本年实际抵扣应分得的应纳税所得额”的金额，若金额小于零，则填报零。</w:t>
      </w:r>
    </w:p>
    <w:p>
      <w:pPr>
        <w:pStyle w:val="65"/>
      </w:pPr>
      <w:r>
        <w:rPr>
          <w:rFonts w:hint="eastAsia"/>
        </w:rPr>
        <w:t>6.第7行“本年实际抵扣应纳税所得额”：若第5行第1列≤第6行第1列，则本行第1列＝第5行第1列；若第5行第1列＞第6行第1列，则本行第1列＝第6行第1列。本行第1列＝本行第2列+本行第3列。</w:t>
      </w:r>
    </w:p>
    <w:p>
      <w:pPr>
        <w:pStyle w:val="65"/>
      </w:pPr>
      <w:r>
        <w:rPr>
          <w:rFonts w:hint="eastAsia"/>
        </w:rPr>
        <w:t>7.第8行“结转以后年度抵扣的股权投资余额”：填报本年可抵扣的股权投资额大于本年实际抵扣应纳税所得额时，抵扣后余额部分结转以后年度抵扣的金额。</w:t>
      </w:r>
    </w:p>
    <w:p>
      <w:pPr>
        <w:pStyle w:val="65"/>
      </w:pPr>
      <w:r>
        <w:rPr>
          <w:rFonts w:hint="eastAsia"/>
        </w:rPr>
        <w:t>（二）“二、通过有限合伙制创业投资企业投资按一定比例抵扣分得的应纳税所得额”：企业作为有限合伙制创业投资企业的合伙人，通过合伙企业间接投资未上市中小高新技术企业和种子期、初创期科技型企业，享受有限合伙制创业投资企业法人合伙人按投资额的一定比例抵扣应纳税所得额政策，在本部分填报。</w:t>
      </w:r>
    </w:p>
    <w:p>
      <w:pPr>
        <w:pStyle w:val="65"/>
      </w:pPr>
      <w:r>
        <w:rPr>
          <w:rFonts w:hint="eastAsia"/>
        </w:rPr>
        <w:t>1.第9行“本年从有限合伙创投企业应分得的应纳税所得额”：填写企业作为法人合伙人，通过有限合伙制创业投资企业投资未上市的中小高新技术企业或者投资于种子期、初创期科技型企业，无论本年是否盈利、是否抵扣应纳税所得额，只要本年从有限合伙制创业投资企业中分配归属于该法人合伙人的应纳税所得额，需填写本行。本行第1列＝本行第2列+本行第3列。</w:t>
      </w:r>
    </w:p>
    <w:p>
      <w:pPr>
        <w:pStyle w:val="65"/>
      </w:pPr>
      <w:r>
        <w:rPr>
          <w:rFonts w:hint="eastAsia"/>
        </w:rPr>
        <w:t>2.第10行“本年新增的可抵扣投资额”：填写企业作为法人合伙人，通过有限合伙制创业投资企业投资未上市中小高新技术企业和种子期、初创期科技型企业，本年投资满2年符合条件的可抵扣投资额中归属于该法人合伙人的本年新增可抵扣投资额。无论本年是否盈利、是否需要抵扣应纳税所得额，均需填写本行。本行第1列＝本行第2列+本行第3列。</w:t>
      </w:r>
    </w:p>
    <w:p>
      <w:pPr>
        <w:pStyle w:val="65"/>
      </w:pPr>
      <w:r>
        <w:rPr>
          <w:rFonts w:hint="eastAsia"/>
        </w:rPr>
        <w:t>有限合伙制创业投资企业的法人合伙人对未上市中小高新技术企业和种子期、初创期科技型企业的投资额，按照有限合伙制创业投资企业的投资额和合伙协议约定的法人合伙人占有限合伙制创业投资企业的出资比例计算确定。其中，有限合伙制创业投资企业的投资额按实缴投资额计算；法人合伙人占有限合伙制创业投资企业的出资比例按法人合伙人对有限合伙制创业投资企业的实缴出资额占该有限合伙制创业投资企业的全部实缴出资额的比例计算。</w:t>
      </w:r>
    </w:p>
    <w:p>
      <w:pPr>
        <w:pStyle w:val="65"/>
      </w:pPr>
      <w:r>
        <w:rPr>
          <w:rFonts w:hint="eastAsia"/>
        </w:rPr>
        <w:t>3.第11行“以前年度结转的可抵扣投资额”：填写法人合伙人上年度未抵扣，可以结转到本年及以后年度的抵扣投资额。</w:t>
      </w:r>
    </w:p>
    <w:p>
      <w:pPr>
        <w:pStyle w:val="65"/>
      </w:pPr>
      <w:r>
        <w:rPr>
          <w:rFonts w:hint="eastAsia"/>
        </w:rPr>
        <w:t>4.第12行“本年可抵扣投资额”：填写本年法人合伙人可用于抵扣的投资额合计，包括本年新增和以前年度结转两部分，等于第10行+第11行。</w:t>
      </w:r>
    </w:p>
    <w:p>
      <w:pPr>
        <w:pStyle w:val="65"/>
      </w:pPr>
      <w:r>
        <w:rPr>
          <w:rFonts w:hint="eastAsia"/>
        </w:rPr>
        <w:t>5.第13行“本年实际抵扣应分得的应纳税所得额”：填写本年法人合伙人享受优惠实际抵扣的投资额，本行第1列为第9行第1列“本年从有限合伙创投企业应分得的应纳税所得额”、第12行第1列“本年可抵扣投资额”、主表第19-20-21行的三者孰小值，若金额小于零，则填报零。本行第1列＝第2+3列。</w:t>
      </w:r>
    </w:p>
    <w:p>
      <w:pPr>
        <w:pStyle w:val="65"/>
      </w:pPr>
      <w:r>
        <w:rPr>
          <w:rFonts w:hint="eastAsia"/>
        </w:rPr>
        <w:t>6.第14行“结转以后年度抵扣的投资额余额”：本年可抵扣投资额大于应分得的应纳税所得额时，抵扣后余额部分结转以后年度抵扣的金额。</w:t>
      </w:r>
    </w:p>
    <w:p>
      <w:pPr>
        <w:pStyle w:val="65"/>
      </w:pPr>
      <w:r>
        <w:rPr>
          <w:rFonts w:hint="eastAsia"/>
        </w:rPr>
        <w:t>（三）“三、抵扣应纳税所得额合计”：上述优惠合计额，带入表A100000表计算应纳税所得额。</w:t>
      </w:r>
    </w:p>
    <w:p>
      <w:pPr>
        <w:pStyle w:val="65"/>
      </w:pPr>
      <w:r>
        <w:rPr>
          <w:rFonts w:hint="eastAsia"/>
        </w:rPr>
        <w:t>第15行“合计”＝7行+13行。本行第1列＝本行第2列+本行第3列。</w:t>
      </w:r>
    </w:p>
    <w:p>
      <w:pPr>
        <w:pStyle w:val="65"/>
      </w:pPr>
      <w:r>
        <w:rPr>
          <w:rFonts w:hint="eastAsia"/>
        </w:rPr>
        <w:t>（四）列次填报：第1列填报抵扣应纳税所得额的整体情况，第2列填报投资于未上市中小高新技术企业部分，第3列填报投资于种子期、初创期科技型企业部分。</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1.第3行＝第1×2行。</w:t>
      </w:r>
    </w:p>
    <w:p>
      <w:pPr>
        <w:pStyle w:val="65"/>
      </w:pPr>
      <w:r>
        <w:rPr>
          <w:rFonts w:hint="eastAsia"/>
        </w:rPr>
        <w:t>2.第5行＝第3+4行。</w:t>
      </w:r>
    </w:p>
    <w:p>
      <w:pPr>
        <w:pStyle w:val="65"/>
      </w:pPr>
      <w:r>
        <w:rPr>
          <w:rFonts w:hint="eastAsia"/>
        </w:rPr>
        <w:t>3.第7行：若第5行≤第6行，则本行第1列＝第5行；第5行＞第6行，则本行第1列＝第6行。</w:t>
      </w:r>
    </w:p>
    <w:p>
      <w:pPr>
        <w:pStyle w:val="65"/>
      </w:pPr>
      <w:r>
        <w:rPr>
          <w:rFonts w:hint="eastAsia"/>
        </w:rPr>
        <w:t>4.第8行：第5行＞第6行时，本行＝第5-7行；第5行≤第6行时，本行＝0。</w:t>
      </w:r>
    </w:p>
    <w:p>
      <w:pPr>
        <w:pStyle w:val="65"/>
      </w:pPr>
      <w:r>
        <w:rPr>
          <w:rFonts w:hint="eastAsia"/>
        </w:rPr>
        <w:t>5.第12行＝第10+11行。</w:t>
      </w:r>
    </w:p>
    <w:p>
      <w:pPr>
        <w:pStyle w:val="65"/>
      </w:pPr>
      <w:r>
        <w:rPr>
          <w:rFonts w:hint="eastAsia"/>
        </w:rPr>
        <w:t>6.第14行＝第12-13行。</w:t>
      </w:r>
    </w:p>
    <w:p>
      <w:pPr>
        <w:pStyle w:val="65"/>
      </w:pPr>
      <w:r>
        <w:rPr>
          <w:rFonts w:hint="eastAsia"/>
        </w:rPr>
        <w:t>7.第15行＝第7+13行。</w:t>
      </w:r>
    </w:p>
    <w:p>
      <w:pPr>
        <w:pStyle w:val="65"/>
      </w:pPr>
      <w:r>
        <w:rPr>
          <w:rFonts w:hint="eastAsia"/>
        </w:rPr>
        <w:t>8.第1列＝第2列+第3列。</w:t>
      </w:r>
    </w:p>
    <w:p>
      <w:pPr>
        <w:pStyle w:val="79"/>
        <w:outlineLvl w:val="1"/>
      </w:pPr>
      <w:r>
        <w:rPr>
          <w:rFonts w:hint="eastAsia"/>
        </w:rPr>
        <w:t>（二）表间关系</w:t>
      </w:r>
    </w:p>
    <w:p>
      <w:pPr>
        <w:pStyle w:val="65"/>
      </w:pPr>
      <w:r>
        <w:rPr>
          <w:rFonts w:hint="eastAsia"/>
        </w:rPr>
        <w:t>1.第6行第1列＝表A100000第19-20-21行-本表第13行第1列；若表A100000第19-20-21行-本表第13行第1列＜0，第6行第1列＝0。</w:t>
      </w:r>
    </w:p>
    <w:p>
      <w:pPr>
        <w:pStyle w:val="65"/>
      </w:pPr>
      <w:r>
        <w:rPr>
          <w:rFonts w:hint="eastAsia"/>
        </w:rPr>
        <w:t>2.第15行第1列＝表A100000第22行。</w:t>
      </w:r>
    </w:p>
    <w:p>
      <w:pPr>
        <w:pStyle w:val="65"/>
        <w:rPr>
          <w:bCs/>
        </w:rPr>
      </w:pPr>
      <w:r>
        <w:rPr>
          <w:rFonts w:hint="eastAsia"/>
        </w:rPr>
        <w:t>3.第13行第1列＝本表第9行第1列、第12行第1列、表A100000第19-20-21行三者的孰小值；若上述孰小值＜0，第13行第1列＝0。</w:t>
      </w:r>
    </w:p>
    <w:p>
      <w:pPr>
        <w:pStyle w:val="66"/>
        <w:sectPr>
          <w:pgSz w:w="11906" w:h="16838"/>
          <w:pgMar w:top="1985" w:right="1418" w:bottom="1928" w:left="1418" w:header="851" w:footer="992" w:gutter="113"/>
          <w:pgNumType w:fmt="decimal"/>
          <w:cols w:space="720" w:num="1"/>
          <w:titlePg/>
          <w:docGrid w:linePitch="312" w:charSpace="0"/>
        </w:sectPr>
      </w:pPr>
    </w:p>
    <w:p>
      <w:pPr>
        <w:pStyle w:val="66"/>
        <w:jc w:val="both"/>
        <w:rPr>
          <w:rFonts w:hint="eastAsia"/>
        </w:rPr>
      </w:pPr>
      <w:bookmarkStart w:id="326" w:name="_Toc54267956"/>
      <w:bookmarkStart w:id="327" w:name="_Toc15051"/>
      <w:bookmarkStart w:id="328" w:name="_Toc299740296_WPSOffice_Level1"/>
      <w:bookmarkStart w:id="329" w:name="_Toc1119407279_WPSOffice_Level1"/>
      <w:bookmarkStart w:id="330" w:name="_Toc24965072"/>
      <w:bookmarkStart w:id="331" w:name="_Toc527722754"/>
      <w:r>
        <w:rPr>
          <w:rFonts w:hint="eastAsia"/>
        </w:rPr>
        <w:t>A107040</w:t>
      </w:r>
      <w:r>
        <w:rPr>
          <w:rFonts w:hint="eastAsia"/>
        </w:rPr>
        <w:tab/>
      </w:r>
      <w:r>
        <w:rPr>
          <w:rFonts w:hint="eastAsia"/>
        </w:rPr>
        <w:t>减免所得税优惠明细表</w:t>
      </w:r>
      <w:bookmarkEnd w:id="326"/>
      <w:bookmarkEnd w:id="327"/>
    </w:p>
    <w:bookmarkEnd w:id="328"/>
    <w:bookmarkEnd w:id="329"/>
    <w:tbl>
      <w:tblPr>
        <w:tblStyle w:val="25"/>
        <w:tblW w:w="105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8752"/>
        <w:gridCol w:w="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020"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bookmarkStart w:id="332" w:name="_Hlk57571464"/>
            <w:r>
              <w:rPr>
                <w:rFonts w:hint="eastAsia" w:ascii="宋体" w:hAnsi="宋体" w:cs="宋体"/>
                <w:kern w:val="0"/>
                <w:sz w:val="20"/>
                <w:szCs w:val="20"/>
              </w:rPr>
              <w:t>行次</w:t>
            </w:r>
          </w:p>
        </w:tc>
        <w:tc>
          <w:tcPr>
            <w:tcW w:w="8752"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770"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一、符合条件的小型微利企业减免企业所得税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二、国家需要重点扶持的高新技术企业减按15%的税率征收企业所得税（填写A107041）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352" w:hanging="352" w:hangingChars="176"/>
              <w:jc w:val="left"/>
              <w:rPr>
                <w:rFonts w:ascii="宋体" w:hAnsi="宋体" w:cs="宋体"/>
                <w:kern w:val="0"/>
                <w:sz w:val="20"/>
                <w:szCs w:val="20"/>
              </w:rPr>
            </w:pPr>
            <w:r>
              <w:rPr>
                <w:rFonts w:hint="eastAsia" w:ascii="宋体" w:hAnsi="宋体" w:cs="宋体"/>
                <w:kern w:val="0"/>
                <w:sz w:val="20"/>
                <w:szCs w:val="20"/>
              </w:rPr>
              <w:t>三、经济特区和上海浦东新区新设立的高新技术企业在区内取得的所得定期减免企业所得税（填写A107041）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四、受灾地区农村信用社免征企业所得税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五、动漫企业自主开发、生产动漫产品定期减免企业所得税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六、线宽小于0.8微米（含）的集成电路生产企业减免企业所得税（填写A107042）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七、线宽小于0.25微米的集成电路生产企业减按15%税率征收企业所得税（填写A107042）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八、投资额超过80亿元的集成电路生产企业减按15%税率征收企业所得税（填写A107042）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九、线宽小于0.25微米的集成电路生产企业减免企业所得税（填写A107042）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十、投资额超过80亿元的集成电路生产企业减免企业所得税（填写A107042）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十一、新办集成电路设计企业减免企业所得税（填写A107042）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十二、国家规划布局内集成电路设计企业可减按10%的税率征收企业所得税（填写A107042）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十三、符合条件的软件企业减免企业所得税（填写A107042）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十四、国家规划布局内重点软件企业可减按10%的税率征收企业所得税（填写A107042）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十五、符合条件的集成电路封装测试企业定期减免企业所得税（填写A107042）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562" w:hanging="562" w:hangingChars="281"/>
              <w:jc w:val="left"/>
              <w:rPr>
                <w:rFonts w:ascii="宋体" w:hAnsi="宋体" w:cs="宋体"/>
                <w:kern w:val="0"/>
                <w:sz w:val="20"/>
                <w:szCs w:val="20"/>
              </w:rPr>
            </w:pPr>
            <w:r>
              <w:rPr>
                <w:rFonts w:hint="eastAsia" w:ascii="宋体" w:hAnsi="宋体" w:cs="宋体"/>
                <w:kern w:val="0"/>
                <w:sz w:val="20"/>
                <w:szCs w:val="20"/>
              </w:rPr>
              <w:t>十六、符合条件的集成电路关键专用材料生产企业、集成电路专用设备生产企业定期减免企业所得税（填写A107042）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十七、经营性文化事业单位转制为企业的免征企业所得税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十八、符合条件的生产和装配伤残人员专门用品企业免征企业所得税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十九、技术先进型服务企业（服务外包类）减按15%的税率征收企业所得税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二十、技术先进型服务企业（服务贸易类）减按15%的税率征收企业所得税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二十一、设在西部地区的鼓励类产业企业减按15%的税率征收企业所得税</w:t>
            </w:r>
            <w:r>
              <w:rPr>
                <w:rFonts w:hint="eastAsia" w:ascii="宋体" w:hAnsi="宋体" w:cs="宋体"/>
                <w:sz w:val="20"/>
                <w:szCs w:val="20"/>
              </w:rPr>
              <w:t>(主营业务收入占比</w:t>
            </w:r>
            <w:r>
              <w:rPr>
                <w:rFonts w:hint="eastAsia" w:ascii="宋体" w:hAnsi="宋体" w:cs="宋体"/>
                <w:sz w:val="20"/>
                <w:szCs w:val="20"/>
                <w:u w:val="single"/>
              </w:rPr>
              <w:t>____</w:t>
            </w:r>
            <w:r>
              <w:rPr>
                <w:rFonts w:hint="eastAsia" w:ascii="宋体" w:hAnsi="宋体" w:cs="宋体"/>
                <w:sz w:val="20"/>
                <w:szCs w:val="20"/>
              </w:rPr>
              <w:t>%)</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二十二、新疆困难地区新办企业定期减免企业所得税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二十三、新疆喀什、霍尔果斯特殊经济开发区新办企业定期免征企业所得税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732" w:hanging="732" w:hangingChars="366"/>
              <w:jc w:val="left"/>
              <w:rPr>
                <w:rFonts w:ascii="宋体" w:hAnsi="宋体" w:cs="宋体"/>
                <w:kern w:val="0"/>
                <w:sz w:val="20"/>
                <w:szCs w:val="20"/>
              </w:rPr>
            </w:pPr>
            <w:r>
              <w:rPr>
                <w:rFonts w:hint="eastAsia" w:ascii="宋体" w:hAnsi="宋体" w:cs="宋体"/>
                <w:kern w:val="0"/>
                <w:sz w:val="20"/>
                <w:szCs w:val="20"/>
              </w:rPr>
              <w:t>二十四、广东横琴、福建平潭、深圳前海、广东南沙等地区的鼓励类产业企业减按15%税率征收企业所得税（24.1+24.2+24.3+24.4）</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（一）横琴粤澳深度合作区的鼓励类产业企业减按15%税率征收企业所得税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（二）平潭综合实验区的鼓励类产业企业减按15%税率征收企业所得税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（三）前海深港现代服务业合作区的鼓励类产业企业减按15%税率征收企业所得税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（四）南沙先行启动区的鼓励类产业企业减按15%税率征收企业所得税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二十五、北京冬奥组委、北京冬奥会测试赛赛事组委会免征企业所得税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二十六、线宽小于130纳米（含）的集成电路生产企业减免企业所得税（原政策，填写A107042）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二十七、线宽小于65纳米（含）或投资额超过150亿元的集成电路生产企业减免企业所得税（原政策，填写A107042）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二十八、其他（28.1+28.2+28.3+28.4+28.5+28.6）</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（一）从事污染防治的第三方企业减按15%的税率征收企业所得税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（二）上海自贸试验区临港新片区的重点产业企业减按15%的税率征收企业所得税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（三）海南自由贸易港鼓励类企业减按15%的税率征收企业所得税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（四）国家鼓励的集成电路和软件企业减免企业所得税政策（28.4.1+…+28.4.10）</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1.线宽小于28纳米（含）集成电路生产企业减免企业所得税（填写A107042）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2.线宽小于65纳米（含）集成电路生产企业减免企业所得税（填写A107042）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3.线宽小于130纳米（含）集成电路生产企业减免企业所得税（填写A107042）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4.集成电路设计企业减免企业所得税（填写A107042）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5.重点集成电路设计企业减免企业所得税（填写A107042）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6.集成电路装备企业减免企业所得税（填写A107042）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7.集成电路材料企业减免企业所得税（填写A107042）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8.集成电路封装、测试企业减免企业所得税（填写A107042）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9.软件企业减免企业所得税（填写A107042）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28.4.10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10.重点软件企业减免企业所得税（填写A107042）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二十九、减：项目所得额按法定税率减半征收企业所得税叠加享受减免税优惠</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三十、支持和促进重点群体创业就业企业限额减征企业所得税(30.1+30.2)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（一）企业招用建档立卡贫困人口就业扣减企业所得税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（二）企业招用登记失业半年以上人员就业扣减企业所得税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三十一、扶持自主就业退役士兵创业就业企业限额减征企业所得税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三十二、符合条件的公司型创投企业按照企业年末个人股东持股比例减免企业所得税（个人股东持股比例____%）</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blHeader/>
          <w:jc w:val="center"/>
        </w:trPr>
        <w:tc>
          <w:tcPr>
            <w:tcW w:w="10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8752" w:type="dxa"/>
            <w:tcBorders>
              <w:top w:val="single" w:color="auto" w:sz="6" w:space="0"/>
              <w:left w:val="single" w:color="auto" w:sz="6" w:space="0"/>
              <w:bottom w:val="single" w:color="auto" w:sz="12"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合计（1+2+…+28-29+30+31+32）</w:t>
            </w:r>
          </w:p>
        </w:tc>
        <w:tc>
          <w:tcPr>
            <w:tcW w:w="770" w:type="dxa"/>
            <w:tcBorders>
              <w:top w:val="single" w:color="auto" w:sz="6"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20"/>
                <w:szCs w:val="20"/>
              </w:rPr>
            </w:pPr>
          </w:p>
        </w:tc>
      </w:tr>
      <w:bookmarkEnd w:id="332"/>
    </w:tbl>
    <w:p>
      <w:pPr>
        <w:pStyle w:val="2"/>
        <w:jc w:val="left"/>
        <w:rPr>
          <w:rFonts w:hint="eastAsia"/>
        </w:rPr>
        <w:sectPr>
          <w:pgSz w:w="11906" w:h="16838"/>
          <w:pgMar w:top="1417" w:right="1418" w:bottom="1417" w:left="1418" w:header="851" w:footer="992" w:gutter="113"/>
          <w:pgNumType w:fmt="decimal"/>
          <w:cols w:space="720" w:num="1"/>
          <w:docGrid w:linePitch="312" w:charSpace="0"/>
        </w:sectPr>
      </w:pPr>
    </w:p>
    <w:p>
      <w:pPr>
        <w:pStyle w:val="93"/>
        <w:spacing w:before="120" w:after="120"/>
        <w:rPr>
          <w:rFonts w:hint="eastAsia" w:ascii="宋体" w:hAnsi="宋体" w:eastAsia="宋体" w:cs="宋体"/>
        </w:rPr>
      </w:pPr>
      <w:bookmarkStart w:id="333" w:name="_Toc1621501129_WPSOffice_Level1"/>
      <w:bookmarkStart w:id="334" w:name="_Toc1218109235_WPSOffice_Level1"/>
      <w:bookmarkStart w:id="335" w:name="_Toc30308"/>
      <w:r>
        <w:rPr>
          <w:rFonts w:hint="eastAsia" w:ascii="宋体" w:hAnsi="宋体" w:eastAsia="宋体" w:cs="宋体"/>
        </w:rPr>
        <w:t>A107040</w:t>
      </w:r>
      <w:r>
        <w:rPr>
          <w:rFonts w:hint="eastAsia" w:ascii="宋体" w:hAnsi="宋体" w:eastAsia="宋体" w:cs="宋体"/>
        </w:rPr>
        <w:tab/>
      </w:r>
      <w:r>
        <w:rPr>
          <w:rFonts w:hint="eastAsia" w:ascii="宋体" w:hAnsi="宋体" w:eastAsia="宋体" w:cs="宋体"/>
        </w:rPr>
        <w:t>《减免所得税优惠明细表》填报说明</w:t>
      </w:r>
      <w:bookmarkEnd w:id="333"/>
      <w:bookmarkEnd w:id="334"/>
      <w:bookmarkEnd w:id="335"/>
    </w:p>
    <w:p>
      <w:pPr>
        <w:spacing w:line="360" w:lineRule="auto"/>
        <w:ind w:firstLine="480" w:firstLineChars="200"/>
        <w:rPr>
          <w:rFonts w:ascii="宋体" w:hAnsi="宋体" w:cs="宋体"/>
          <w:sz w:val="24"/>
        </w:rPr>
      </w:pPr>
      <w:r>
        <w:rPr>
          <w:rFonts w:hint="eastAsia" w:ascii="宋体" w:hAnsi="宋体" w:cs="宋体"/>
          <w:sz w:val="24"/>
        </w:rPr>
        <w:t>本表适用于享受减免所得税优惠政策的纳税人填报。纳税人根据税法和相关税收政策规定，填报本年享受减免所得税优惠情况。</w:t>
      </w:r>
    </w:p>
    <w:p>
      <w:pPr>
        <w:spacing w:line="360" w:lineRule="auto"/>
        <w:ind w:firstLine="482" w:firstLineChars="200"/>
        <w:outlineLvl w:val="0"/>
        <w:rPr>
          <w:rFonts w:ascii="宋体" w:hAnsi="宋体" w:cs="宋体"/>
          <w:b/>
          <w:bCs/>
          <w:sz w:val="24"/>
        </w:rPr>
      </w:pPr>
      <w:bookmarkStart w:id="336" w:name="_Toc237026491_WPSOffice_Level1"/>
      <w:bookmarkStart w:id="337" w:name="_Toc1694472039_WPSOffice_Level1"/>
      <w:bookmarkStart w:id="338" w:name="_Toc54267958"/>
      <w:bookmarkStart w:id="339" w:name="_Toc195043718_WPSOffice_Level1"/>
      <w:bookmarkStart w:id="340" w:name="_Toc1751409712_WPSOffice_Level1"/>
      <w:r>
        <w:rPr>
          <w:rFonts w:hint="eastAsia" w:ascii="宋体" w:hAnsi="宋体" w:cs="宋体"/>
          <w:b/>
          <w:bCs/>
          <w:sz w:val="24"/>
        </w:rPr>
        <w:t>一、有关项目填报说明</w:t>
      </w:r>
      <w:bookmarkEnd w:id="336"/>
      <w:bookmarkEnd w:id="337"/>
      <w:bookmarkEnd w:id="338"/>
      <w:bookmarkEnd w:id="339"/>
      <w:bookmarkEnd w:id="340"/>
    </w:p>
    <w:p>
      <w:pPr>
        <w:spacing w:line="360" w:lineRule="auto"/>
        <w:ind w:firstLine="480" w:firstLineChars="200"/>
        <w:rPr>
          <w:rFonts w:ascii="宋体" w:hAnsi="宋体" w:cs="宋体"/>
          <w:sz w:val="24"/>
        </w:rPr>
      </w:pPr>
      <w:r>
        <w:rPr>
          <w:rFonts w:hint="eastAsia" w:ascii="宋体" w:hAnsi="宋体" w:cs="宋体"/>
          <w:sz w:val="24"/>
        </w:rPr>
        <w:t>1.第1行“一、符合条件的小型微利企业减免所得税”：填报享受小型微利企业普惠性所得税减免政策减免企业所得税的金额。本行填报根据本期《中华人民共和国企业所得税年度纳税申报表（A类）》（A100000）第23行计算的减免企业所得税的本年金额。</w:t>
      </w:r>
    </w:p>
    <w:p>
      <w:pPr>
        <w:spacing w:line="360" w:lineRule="auto"/>
        <w:ind w:firstLine="480" w:firstLineChars="200"/>
        <w:rPr>
          <w:rFonts w:ascii="宋体" w:hAnsi="宋体" w:cs="宋体"/>
          <w:sz w:val="24"/>
        </w:rPr>
      </w:pPr>
      <w:r>
        <w:rPr>
          <w:rFonts w:hint="eastAsia" w:ascii="宋体" w:hAnsi="宋体" w:cs="宋体"/>
          <w:sz w:val="24"/>
        </w:rPr>
        <w:t>2.第2行“二、国家需要重点扶持的高新技术企业减按15%的税率征收企业所得税”：根据税法、《国家税务总局关于实施高新技术企业所得税优惠政策有关问题的公告》（2017年第24号）文件等规定, 国家需要重点扶持的高新技术企业减按15%的税率征收企业所得税。本行填报表A107041第31行金额。</w:t>
      </w:r>
    </w:p>
    <w:p>
      <w:pPr>
        <w:spacing w:line="360" w:lineRule="auto"/>
        <w:ind w:firstLine="480" w:firstLineChars="200"/>
        <w:rPr>
          <w:rFonts w:ascii="宋体" w:hAnsi="宋体" w:cs="宋体"/>
          <w:sz w:val="24"/>
        </w:rPr>
      </w:pPr>
      <w:r>
        <w:rPr>
          <w:rFonts w:hint="eastAsia" w:ascii="宋体" w:hAnsi="宋体" w:cs="宋体"/>
          <w:sz w:val="24"/>
        </w:rPr>
        <w:t>3.第3行“三、经济特区和上海浦东新区新设立的高新技术企业在区内取得的所得定期减免企业所得税”：根据《国务院关于经济特区和上海浦东新区新设立高新技术企业实行过渡性税收优惠的通知》（国发〔2007〕40号）等规定，经济特区和上海浦东新区内，在2008年1月1日（含）之后完成登记注册的国家需要重点扶持的高新技术企业，在经济特区和上海浦东新区内取得的所得，自取得第一笔生产经营收入所属纳税年度起，第一年至第二年免征企业所得税，第三年至第五年按照25%法定税率减半征收企业所得税。本行填报表A107041第32行金额。</w:t>
      </w:r>
    </w:p>
    <w:p>
      <w:pPr>
        <w:spacing w:line="360" w:lineRule="auto"/>
        <w:ind w:firstLine="480" w:firstLineChars="200"/>
        <w:rPr>
          <w:rFonts w:ascii="宋体" w:hAnsi="宋体" w:cs="宋体"/>
          <w:sz w:val="24"/>
        </w:rPr>
      </w:pPr>
      <w:r>
        <w:rPr>
          <w:rFonts w:hint="eastAsia" w:ascii="宋体" w:hAnsi="宋体" w:cs="宋体"/>
          <w:sz w:val="24"/>
        </w:rPr>
        <w:t>4.第4行“四、受灾地区农村信用社免征企业所得税”：填报受灾地区农村信用社按相关规定免征企业所得税的金额。本行不得填报。</w:t>
      </w:r>
    </w:p>
    <w:p>
      <w:pPr>
        <w:spacing w:line="360" w:lineRule="auto"/>
        <w:ind w:firstLine="480" w:firstLineChars="200"/>
        <w:rPr>
          <w:rFonts w:ascii="宋体" w:hAnsi="宋体" w:cs="宋体"/>
          <w:sz w:val="24"/>
        </w:rPr>
      </w:pPr>
      <w:r>
        <w:rPr>
          <w:rFonts w:hint="eastAsia" w:ascii="宋体" w:hAnsi="宋体" w:cs="宋体"/>
          <w:sz w:val="24"/>
        </w:rPr>
        <w:t>5.第5行“五、动漫企业自主开发、生产动漫产品定期减免企业所得税”：根据《财政部 国家税务总局关于扶持动漫产业发展有关税收政策问题的通知》（财税〔2009〕65号）、《文化部 财政部 国家税务总局关于印发〈动漫企业认定管理办法（试行）〉的通知》（文市发〔2008〕51号）、《文化部 财政部 国家税务总局关于实施〈动漫企业认定管理办法（试行）〉有关问题的通知》（文产发〔2009〕18号）等规定，经认定的动漫企业自主开发、生产动漫产品，享受软件企业所得税优惠政策。自获利年度起，第一年至第二年免征所得税，第三年至第五年按照25%的法定税率减半征收所得税。本行填报根据表A100000第23行计算的免征、减征企业所得税金额。</w:t>
      </w:r>
    </w:p>
    <w:p>
      <w:pPr>
        <w:spacing w:line="360" w:lineRule="auto"/>
        <w:ind w:firstLine="480" w:firstLineChars="200"/>
        <w:rPr>
          <w:rFonts w:ascii="宋体" w:hAnsi="宋体" w:cs="宋体"/>
          <w:sz w:val="24"/>
        </w:rPr>
      </w:pPr>
      <w:r>
        <w:rPr>
          <w:rFonts w:hint="eastAsia" w:ascii="宋体" w:hAnsi="宋体" w:cs="宋体"/>
          <w:sz w:val="24"/>
        </w:rPr>
        <w:t>6.第6行“六、线宽小于0.8微米（含）的集成电路生产企业减免企业所得税”：根据《财政部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集成电路线宽小于0.8微米（含）的集成电路生产企业，自获利年度起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110集成电路生产企业（线宽小于0.8微米（含）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7.第7行“七、线宽小于0.25微米的集成电路生产企业减按15%税率征收企业所得税”：根据《财政部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8.第8行“八、投资额超过80亿元的集成电路生产企业减按15%税率征收企业所得税”：根据《财政部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9.第9行“九、线宽小于0.25微米的集成电路生产企业减免企业所得税”：根据《财政部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线宽小于0.25微米的集成电路生产企业，经营期在15年以上的，自获利年度起计算优惠期，第一年至第五年免征企业所得税，第六年至第十年按照25%的法定税率减半征收企业所得税。符合上述政策条件且在2019年（含）之前已经进入优惠期的企业，2020年（含）起可按政策规定享受至期满为止。A000000表“208软件、集成电路企业类型”填报“120集成电路生产企业（线宽小于0.25微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10.第10行：“十、投资额超过80亿元的集成电路生产企业减免企业所得税”：根据《财政部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投资额超过80亿元的集成电路生产企业，经营期在15年以上的，自获利年度起计算优惠期，第一年至第五年免征企业所得税，第六年至第十年按照25%的法定税率减半征收企业所得税。符合上述政策条件且在2019年（含）之前已经进入优惠期的企业，2020年（含）起可按政策规定享受至期满为止。表A000000“208软件、集成电路企业类型”填报“130集成电路生产企业（投资额超过80亿元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11.第11行：“十一、新办集成电路设计企业减免企业所得税”：根据</w:t>
      </w:r>
      <w:bookmarkStart w:id="341" w:name="_Hlk57708209"/>
      <w:r>
        <w:rPr>
          <w:rFonts w:hint="eastAsia" w:ascii="宋体" w:hAnsi="宋体" w:cs="宋体"/>
          <w:sz w:val="24"/>
        </w:rPr>
        <w:t>《财政部 国家税务总局关于进一步鼓励软件产业和集成电路产业发展企业所得税政策的通知》</w:t>
      </w:r>
      <w:bookmarkEnd w:id="341"/>
      <w:r>
        <w:rPr>
          <w:rFonts w:hint="eastAsia" w:ascii="宋体" w:hAnsi="宋体" w:cs="宋体"/>
          <w:sz w:val="24"/>
        </w:rPr>
        <w:t>（财税〔2012〕27号）、《财政部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等规定，我国境内新办的集成电路设计企业，自获利年度起计算优惠期，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240集成电路设计企业（集成电路设计企业）” ，且A107042表选择“延续适用原有优惠政策”的纳税人填报本项，本行填报表A107042第16行金额。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12.第12行“十二、国家规划布局内集成电路设计企业可减按10%的税率征收企业所得税”：根据《财政部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13.第13行“十三、符合条件的软件企业减免企业所得税”：根据《财政部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等规定，我国境内新办的符合条件的软件企业，自获利年度起计算优惠期，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330软件企业（软件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14.第14行“十四、国家规划布局内重点软件企业可减按10%的税率征收企业所得税”：根据《财政部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15.第15行“十五、符合条件的集成电路封装测试企业定期减免企业所得税”：根据《财政部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规定，符合原有政策条件的集成电路封装、测试企业，在2017年（含2017年）前实现获利的，自获利年度起第一年至第二年免征企业所得税，第三年至第五年按照25%的法定税率减半征收企业所得税；2017年前未实现获利的，自2017年起计算优惠期。符合上述政策条件且在已经进入优惠期的企业，2020年（含）起可按政策规定享受至期满为止。该项政策已执行期满，本行不得填报。</w:t>
      </w:r>
    </w:p>
    <w:p>
      <w:pPr>
        <w:spacing w:line="360" w:lineRule="auto"/>
        <w:ind w:firstLine="480" w:firstLineChars="200"/>
        <w:rPr>
          <w:rFonts w:ascii="宋体" w:hAnsi="宋体" w:cs="宋体"/>
          <w:sz w:val="24"/>
        </w:rPr>
      </w:pPr>
      <w:r>
        <w:rPr>
          <w:rFonts w:hint="eastAsia" w:ascii="宋体" w:hAnsi="宋体" w:cs="宋体"/>
          <w:sz w:val="24"/>
        </w:rPr>
        <w:t>16.第16行“十六、符合条件的集成电路关键专用材料生产企业、集成电路专用设备生产企业定期减免企业所得税”：根据《财政部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规定，符合条件的集成电路关键专用材料生产企业、集成电路专用设备生产企业，在2017年（含2017年）前实现获利的，自获利年度起第一年至第二年免征企业所得税，第三年至第五年按照25%的法定税率减半征收企业所得税；2017年前未实现获利的，自2017年起计算优惠期。符合上述政策条件且在已经进入优惠期的企业，2020年（含）起可按政策规定享受至期满为止。该项政策已执行期满，本行不得填报。</w:t>
      </w:r>
    </w:p>
    <w:p>
      <w:pPr>
        <w:spacing w:line="360" w:lineRule="auto"/>
        <w:ind w:firstLine="480" w:firstLineChars="200"/>
        <w:rPr>
          <w:rFonts w:ascii="宋体" w:hAnsi="宋体" w:cs="宋体"/>
          <w:sz w:val="24"/>
        </w:rPr>
      </w:pPr>
      <w:r>
        <w:rPr>
          <w:rFonts w:hint="eastAsia" w:ascii="宋体" w:hAnsi="宋体" w:cs="宋体"/>
          <w:sz w:val="24"/>
        </w:rPr>
        <w:t>17.第17行“十七、经营性文化事业单位转制为企业的免征企业所得税”：根据《财政部 税务总局 中央宣传部关于继续实施文化体制改革中经营性文化事业单位转制为企业若干税收政策的通知》（财税〔2019〕16号）等规定，从事新闻出版、广播影视和文化艺术的经营性文化事业单位转制为企业的，自转制注册之日起五年内免征企业所得税。2018年12月31日之前已完成转制的企业，自2019年1月1日起可继续免征五年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18.第18行“十八、符合条件的生产和装配伤残人员专门用品企业免征企业所得税”：根据《财政部 税务总局 民政部关于生产和装配伤残人员专门用品企业免征企业所得税的公告》（2021年第14号）等规定，符合条件的生产和装配伤残人员专门用品的企业免征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19.第19行“十九、技术先进型服务企业（服务外包类）减按15%的税率征收企业所得税”：根据《财政部 税务总局 商务部 科技部 国家发展改革委关于将技术先进型服务企业所得税政策推广至全国实施的通知》（财税〔2017〕79号）等规定，对经认定的技术先进型服务企业，减按15%的税率征收企业所得税。表A000000“206技术先进型服务企业类型”填报“110信息技术外包服务（ITO）”“120技术性业务流程外包服务（BPO）”“130技术性知识流程外包服务（KPO）”的纳税人可以填报本项，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 xml:space="preserve">20.第20行“二十、技术先进型服务企业（服务贸易类）减按15%的税率征收企业所得税”：根据《财政部 税务总局 </w:t>
      </w:r>
      <w:r>
        <w:rPr>
          <w:rFonts w:ascii="宋体" w:hAnsi="宋体" w:cs="宋体"/>
          <w:sz w:val="24"/>
        </w:rPr>
        <w:fldChar w:fldCharType="begin"/>
      </w:r>
      <w:r>
        <w:rPr>
          <w:rFonts w:ascii="宋体" w:hAnsi="宋体" w:cs="宋体"/>
          <w:sz w:val="24"/>
        </w:rPr>
        <w:instrText xml:space="preserve"> HYPERLINK "https://www.yidianzixun.com/channel/w/商务部" </w:instrText>
      </w:r>
      <w:r>
        <w:rPr>
          <w:rFonts w:ascii="宋体" w:hAnsi="宋体" w:cs="宋体"/>
          <w:sz w:val="24"/>
        </w:rPr>
        <w:fldChar w:fldCharType="separate"/>
      </w:r>
      <w:r>
        <w:rPr>
          <w:rFonts w:hint="eastAsia" w:ascii="宋体" w:hAnsi="宋体" w:cs="宋体"/>
          <w:sz w:val="24"/>
        </w:rPr>
        <w:t>商务部</w:t>
      </w:r>
      <w:r>
        <w:rPr>
          <w:rFonts w:hint="eastAsia" w:ascii="宋体" w:hAnsi="宋体" w:cs="宋体"/>
          <w:sz w:val="24"/>
        </w:rPr>
        <w:fldChar w:fldCharType="end"/>
      </w:r>
      <w:r>
        <w:rPr>
          <w:rFonts w:hint="eastAsia" w:ascii="宋体" w:hAnsi="宋体" w:cs="宋体"/>
          <w:sz w:val="24"/>
        </w:rPr>
        <w:t xml:space="preserve"> 科技部 国家发展改革委关于将服务贸易创新发展试点地区</w:t>
      </w:r>
      <w:r>
        <w:rPr>
          <w:rFonts w:ascii="宋体" w:hAnsi="宋体" w:cs="宋体"/>
          <w:sz w:val="24"/>
        </w:rPr>
        <w:fldChar w:fldCharType="begin"/>
      </w:r>
      <w:r>
        <w:rPr>
          <w:rFonts w:ascii="宋体" w:hAnsi="宋体" w:cs="宋体"/>
          <w:sz w:val="24"/>
        </w:rPr>
        <w:instrText xml:space="preserve"> HYPERLINK "https://www.yidianzixun.com/channel/w/技术先进型" </w:instrText>
      </w:r>
      <w:r>
        <w:rPr>
          <w:rFonts w:ascii="宋体" w:hAnsi="宋体" w:cs="宋体"/>
          <w:sz w:val="24"/>
        </w:rPr>
        <w:fldChar w:fldCharType="separate"/>
      </w:r>
      <w:r>
        <w:rPr>
          <w:rFonts w:hint="eastAsia" w:ascii="宋体" w:hAnsi="宋体" w:cs="宋体"/>
          <w:sz w:val="24"/>
        </w:rPr>
        <w:t>技术先进型</w:t>
      </w:r>
      <w:r>
        <w:rPr>
          <w:rFonts w:hint="eastAsia" w:ascii="宋体" w:hAnsi="宋体" w:cs="宋体"/>
          <w:sz w:val="24"/>
        </w:rPr>
        <w:fldChar w:fldCharType="end"/>
      </w:r>
      <w:r>
        <w:rPr>
          <w:rFonts w:hint="eastAsia" w:ascii="宋体" w:hAnsi="宋体" w:cs="宋体"/>
          <w:sz w:val="24"/>
        </w:rPr>
        <w:t>服务</w:t>
      </w:r>
      <w:r>
        <w:rPr>
          <w:rFonts w:ascii="宋体" w:hAnsi="宋体" w:cs="宋体"/>
          <w:sz w:val="24"/>
        </w:rPr>
        <w:fldChar w:fldCharType="begin"/>
      </w:r>
      <w:r>
        <w:rPr>
          <w:rFonts w:ascii="宋体" w:hAnsi="宋体" w:cs="宋体"/>
          <w:sz w:val="24"/>
        </w:rPr>
        <w:instrText xml:space="preserve"> HYPERLINK "https://www.yidianzixun.com/channel/w/企业所得税" </w:instrText>
      </w:r>
      <w:r>
        <w:rPr>
          <w:rFonts w:ascii="宋体" w:hAnsi="宋体" w:cs="宋体"/>
          <w:sz w:val="24"/>
        </w:rPr>
        <w:fldChar w:fldCharType="separate"/>
      </w:r>
      <w:r>
        <w:rPr>
          <w:rFonts w:hint="eastAsia" w:ascii="宋体" w:hAnsi="宋体" w:cs="宋体"/>
          <w:sz w:val="24"/>
        </w:rPr>
        <w:t>企业所得税</w:t>
      </w:r>
      <w:r>
        <w:rPr>
          <w:rFonts w:hint="eastAsia" w:ascii="宋体" w:hAnsi="宋体" w:cs="宋体"/>
          <w:sz w:val="24"/>
        </w:rPr>
        <w:fldChar w:fldCharType="end"/>
      </w:r>
      <w:r>
        <w:rPr>
          <w:rFonts w:hint="eastAsia" w:ascii="宋体" w:hAnsi="宋体" w:cs="宋体"/>
          <w:sz w:val="24"/>
        </w:rPr>
        <w:t>政策推广至全国实施的通知》（财税〔2018〕44号）等规定，对经认定的技术先进型服务企业（服务贸易类），减按15%的税率征收企业所得税。表A000000“206技术先进型服务企业类型”填报“210计算机和信息服务”“220研究开发和技术服务”“230文化技术服务”“240中医药医疗服务”的纳税人可以填报本项，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21.第21行“二十一、设在西部地区的鼓励类产业企业减按15%的税率征收企业所得税(主营业务收入占比____%)”：根据《财政部 税务总局 国家发展改革委关于延续西部大开发企业所得税政策的公告》（2020年第23号）、《国家税务总局关于深入实施西部大开发战略有关企业所得税问题的公告》（2012年第12号）、《西部地区鼓励类产业目录》(中华人民共和国国家发展和改革委员会令第15号)、《国家税务总局关于执行&lt;西部地区鼓励类产业目录&gt;有关企业所得税问题的公告》（2015年第14号）等规定，对设在西部地区的鼓励类产业企业减按15%的税率征收企业所得税。湖南省湘西土家族苗族自治州、湖北省恩施土家族苗族自治州、吉林省延边朝鲜族自治州和江西省赣州市，可以比照西部地区的企业所得税政策执行。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跨地区经营汇总纳税企业总机构和分支机构因享受该项优惠政策适用不同税率的，本行填报按照《国家税务总局关于印发〈跨地区经营汇总纳税企业所得税征收管理办法〉的公告》（2012年第57号）第十八条规定计算的减免税额。</w:t>
      </w:r>
    </w:p>
    <w:p>
      <w:pPr>
        <w:spacing w:line="360" w:lineRule="auto"/>
        <w:ind w:firstLine="480" w:firstLineChars="200"/>
        <w:rPr>
          <w:rFonts w:ascii="宋体" w:hAnsi="宋体" w:cs="宋体"/>
          <w:sz w:val="24"/>
        </w:rPr>
      </w:pPr>
      <w:r>
        <w:rPr>
          <w:rFonts w:hint="eastAsia" w:ascii="宋体" w:hAnsi="宋体" w:cs="宋体"/>
          <w:sz w:val="24"/>
        </w:rPr>
        <w:t>纳税人填报该行次时，需填报符合《西部地区鼓励类产业目录》的主营业务收入占比，保留至小数点后四位，并按百分数填报。</w:t>
      </w:r>
    </w:p>
    <w:p>
      <w:pPr>
        <w:spacing w:line="360" w:lineRule="auto"/>
        <w:ind w:firstLine="480" w:firstLineChars="200"/>
        <w:rPr>
          <w:rFonts w:ascii="宋体" w:hAnsi="宋体" w:cs="宋体"/>
          <w:sz w:val="24"/>
        </w:rPr>
      </w:pPr>
      <w:r>
        <w:rPr>
          <w:rFonts w:hint="eastAsia" w:ascii="宋体" w:hAnsi="宋体" w:cs="宋体"/>
          <w:sz w:val="24"/>
        </w:rPr>
        <w:t>22.第22行“二十二、新疆困难地区新办企业定期减免企业所得税”：根据《财政部 国家税务总局关于新疆困难地区新办企业所得税优惠政策的通知》（财税〔2011〕53号）、《财政部 国家税务总局 国家发展改革委 工业和信息化部关于完善新疆困难地区重点鼓励发展产业企业所得税优惠目录的通知》（财税〔2016〕85号）、《财政部 税务总局关于新疆困难地区及喀什、霍尔果斯两个特殊经济开发区新办企业所得税优惠政策的通知》(财税〔2021〕27号)、《财政部 税务总局 发展改革委 工业和信息化部关于印发新疆困难地区重点鼓励发展产业企业所得税优惠目录的通知》（财税〔2021〕42号）等规定，对在新疆困难地区新办的属于《新疆困难地区重点鼓励发展产业企业所得税优惠目录》范围内的企业，自取得第一笔生产经营收入所属纳税年度起，第一年至第二年免征企业所得税，第三年至第五年减半征收企业所得税。本行填报根据表A100000第23行计算的免征、减征企业所得税金额。</w:t>
      </w:r>
    </w:p>
    <w:p>
      <w:pPr>
        <w:spacing w:line="360" w:lineRule="auto"/>
        <w:ind w:firstLine="480" w:firstLineChars="200"/>
        <w:rPr>
          <w:rFonts w:ascii="宋体" w:hAnsi="宋体" w:cs="宋体"/>
          <w:sz w:val="24"/>
        </w:rPr>
      </w:pPr>
      <w:r>
        <w:rPr>
          <w:rFonts w:hint="eastAsia" w:ascii="宋体" w:hAnsi="宋体" w:cs="宋体"/>
          <w:sz w:val="24"/>
        </w:rPr>
        <w:t>23.第23行“二十三、新疆喀什、霍尔果斯特殊经济开发区新办企业定期免征企业所得税”：根据《财政部 国家税务总局关于新疆喀什霍尔果斯两个特殊经济开发区企业所得税优惠政策的通知》（财税〔2011〕112号）、《财政部 国家税务总局 国家发展改革委 工业和信息化部关于完善新疆困难地区重点鼓励发展产业企业所得税优惠目录的通知》（财税〔2016〕85号）、《财政部 税务总局关于新疆困难地区及喀什、霍尔果斯两个特殊经济开发区新办企业所得税优惠政策的通知》(财税〔2021〕27号)、《财政部 税务总局 发展改革委 工业和信息化部关于印发新疆困难地区重点鼓励发展产业企业所得税优惠目录的通知》（财税〔2021〕42号）等规定，对在新疆喀什、霍尔果斯两个特殊经济开发区内新办的属于《新疆困难地区重点鼓励发展产业企业所得税优惠目录》范围内的企业，自取得第一笔生产经营收入所属纳税年度起，五年内免征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24.第24行“二十四、广东横琴、福建平潭、深圳前海、广东南沙等地区的鼓励类产业企业减按15%税率征收企业所得税”：根据相关行次计算结果填报。本行＝第24.1+24.2+24.3+24.4行，各行按照以下要求填报：</w:t>
      </w:r>
    </w:p>
    <w:p>
      <w:pPr>
        <w:spacing w:line="360" w:lineRule="auto"/>
        <w:ind w:firstLine="480" w:firstLineChars="200"/>
        <w:rPr>
          <w:rFonts w:ascii="宋体" w:hAnsi="宋体" w:cs="宋体"/>
          <w:sz w:val="24"/>
        </w:rPr>
      </w:pPr>
      <w:r>
        <w:rPr>
          <w:rFonts w:hint="eastAsia" w:ascii="宋体" w:hAnsi="宋体" w:cs="宋体"/>
          <w:sz w:val="24"/>
        </w:rPr>
        <w:t>第24.1行“（一）横琴粤澳深度合作区的鼓励类产业企业减按15%税率征收企业所得税”：根据《财政部 税务总局关于横琴粤澳深度合作区企业所得税优惠政策的通知》（财税〔2022〕19号）规定，对设在横琴粤澳深度合作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第24.2行“（二）平潭综合实验区的鼓励类产业企业减按15%税率征收企业所得税”：根据《财政部 税务总局关于延续福建平潭综合实验区企业所得税优惠政策的通知》（财税〔2021〕29号）规定，对设在平潭综合实验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第24.3行“（三）前海深港现代服务业合作区的鼓励类产业企业减按15%税率征收企业所得税”：根据《财政部 税务总局关于延续深圳前海深港现代服务业合作区企业所得税优惠政策的通知》（财税〔2021〕30号）规定，对设在前海深港现代服务业合作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第24.4行“（四）南沙先行启动区的鼓励类产业企业减按15%税率征收企业所得税”：根据《财政部 税务总局关于广州南沙企业所得税优惠政策的通知》（财税〔2022〕40号）规定，对设在南沙先行启动区的符合条件的企业减按15%的税率征收企业所得税。本行填报根据表A100000第23行计算的减征企业所得税金额。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25.第25行“二十五、北京冬奥组委、北京冬奥会测试赛赛事组委会免征企业所得税”：根据《财政部 税务总局 海关总署关于北京2022年冬奥会和冬残奥会税收政策的通知》（财税〔2017〕60号）等规定，为支持发展奥林匹克运动，确保北京2022年冬奥会和冬残奥会顺利举办，对北京冬奥组委免征应缴纳的企业所得税,北京冬奥会测试赛赛事组委会取得的收入及发生的涉税支出比照执行北京冬奥组委的税收政策。本行填报北京冬奥组委、北京冬奥会测试赛赛事组委会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26.第26行“二十六、线宽小于130纳米（含）的集成电路生产企业减免企业所得税”：根据《财政部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w:t>
      </w:r>
      <w:bookmarkStart w:id="342" w:name="_Hlk57475267"/>
      <w:r>
        <w:rPr>
          <w:rFonts w:hint="eastAsia" w:ascii="宋体" w:hAnsi="宋体" w:cs="宋体"/>
          <w:sz w:val="24"/>
        </w:rPr>
        <w:t>集成电路线宽小于130纳米（含），且经营期在10年以上的集成电路生产企业，自企业获利年度起，第一年至第二年免征企业所得税，第三年至第五年按照25%的法定税率减半征收企业所得税</w:t>
      </w:r>
      <w:bookmarkEnd w:id="342"/>
      <w:r>
        <w:rPr>
          <w:rFonts w:hint="eastAsia" w:ascii="宋体" w:hAnsi="宋体" w:cs="宋体"/>
          <w:sz w:val="24"/>
        </w:rPr>
        <w:t>。符合上述政策条件且在2019年（含）之前已经进入优惠期的企业，2020年（含）起可按政策规定享受至期满为止。A000000表“208软件、集成电路企业类型”填报“140集成电路生产企业（线宽小于130纳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27.第27行“二十七、线宽小于65纳米（含）或投资额超过150亿元的集成电路生产企业减免企业所得税”：根据《财政部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集成电路线宽小于65纳米（含）或投资额超过150亿元，且经营期在15年以上的集成电路生产企业，自企业获利年度起，第一年至第五年免征企业所得税，第六年至第十年按照25%的法定税率减半征收企业所得税。符合上述政策条件且在2019年（含）之前已经进入优惠期的企业，2020年（含）起可按政策规定享受至期满为止。表A000000“208软件、集成电路企业类型”填报“131集成电路生产企业（投资额超过150亿元的企业）”或“151集成电路生产企业（线宽小于65纳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28.第28行“二十八、其他”：根据相关行次计算结果填报。本行＝第28.1+28.2+28.3+28.4+28.5+28.6行，各行按照以下要求填报：</w:t>
      </w:r>
    </w:p>
    <w:p>
      <w:pPr>
        <w:spacing w:line="360" w:lineRule="auto"/>
        <w:ind w:firstLine="480" w:firstLineChars="200"/>
        <w:rPr>
          <w:rFonts w:ascii="宋体" w:hAnsi="宋体" w:cs="宋体"/>
          <w:sz w:val="24"/>
        </w:rPr>
      </w:pPr>
      <w:r>
        <w:rPr>
          <w:rFonts w:hint="eastAsia" w:ascii="宋体" w:hAnsi="宋体" w:cs="宋体"/>
          <w:sz w:val="24"/>
        </w:rPr>
        <w:t>第28.1行“（一）从事污染防治的第三方企业减按15%的税率征收企业所得税”：根据《财政部 税务总局 国家发展改革委 生态环境部关于从事污染防治的第三方企业所得税政策问题的公告》（2019年第60号）、《国家税务总局 国家发展改革委 生态环境部关于落实从事污染防治的第三方企业所得税政策有关问题的公告》（2021年第11号）规定，对符合条件的从事污染防治的第三方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第28.2行“（二）上海自贸试验区临港新片区的重点企业减按15%的税率征收企业所得税”：根据《财政部 国家税务总局关于中国（上海）自贸试验区临港新片区重点产业企业所得税政策的通知》（财税〔2020〕38号）规定，对新片区内从事集成电路、人工智能、生物医药、民用航空等关键领域核心环节相关产品（技术）业务，并开展实质性生产或研发活动的符合条件的法人企业，自设立之日起，5年内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第28.3行“（三）海南自由贸易港鼓励类企业减按15%的税率征收企业所得税”：根据《财政部 税务总局关于海南自由贸易港企业所得税优惠政策的通知》（财税〔2020〕31号）规定，注册在海南自由贸易港并实质性运营的鼓励类产业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第28.4行“（四）国家鼓励的集成电路和软件企业减免企业所得税政策”：根据《财政部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规定，国家鼓励的集成电路和软件企业可享受一系列企业所得税减免政策，本项为汇总项，纳税人应根据企业享受的具体政策情况在下列项目中选择一项填报：</w:t>
      </w:r>
    </w:p>
    <w:p>
      <w:pPr>
        <w:spacing w:line="360" w:lineRule="auto"/>
        <w:ind w:firstLine="480" w:firstLineChars="200"/>
        <w:rPr>
          <w:rFonts w:ascii="宋体" w:hAnsi="宋体" w:cs="宋体"/>
          <w:sz w:val="24"/>
        </w:rPr>
      </w:pPr>
      <w:r>
        <w:rPr>
          <w:rFonts w:hint="eastAsia" w:ascii="宋体" w:hAnsi="宋体" w:cs="宋体"/>
          <w:sz w:val="24"/>
        </w:rPr>
        <w:t>第28.4.1行“1.线宽小于28纳米（含）集成电路生产企业减免企业所得税”：国家鼓励的集成电路线宽小于28纳米（含）且经营期在15年以上的集成电路生产企业，自获利年度起，第一年至第十年免征企业所得税。表A000000“208软件、集成电路企业类型”填报“160集成电路生产企业（线宽小于28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28.4.2行“2.线宽小于65纳米（含）集成电路生产企业减免企业所得税”：国家鼓励的集成电路线宽小于65纳米（含）且经营期在15年以上的集成电路生产企业，自获利年度起，第一年至第五年免征企业所得税，第六年至第十年按照25%的法定税率减半征收企业所得税。表A000000“208软件、集成电路企业类型”填报“151集成电路生产企业（线宽小于65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28.4.3行“3.线宽小于130纳米（含）集成电路生产企业减免企业所得税”：国家鼓励的集成电路线宽小于130纳米（含）且经营期在10年以上的集成电路生产企业，自获利年度起，第一年至第二年免征企业所得税，第三年至第五年按照25%的法定税率减半征收企业所得税。表A000000“208软件、集成电路企业类型”填报“140集成电路生产企业（线宽小于130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28.4.4行“4.集成电路设计企业减免企业所得税”：国家鼓励的集成电路设计企业，自获利年度起，第一年至第二年免征企业所得税，第三年至第五年按照25%的法定税率减半征收企业所得税。表A000000“208软件、集成电路企业类型”填报“240集成电路设计企业（集成电路设计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第28.4.5行“5.重点集成电路设计企业减免企业所得税”：</w:t>
      </w:r>
      <w:bookmarkStart w:id="343" w:name="_Hlk57718400"/>
      <w:r>
        <w:rPr>
          <w:rFonts w:hint="eastAsia" w:ascii="宋体" w:hAnsi="宋体" w:cs="宋体"/>
          <w:sz w:val="24"/>
        </w:rPr>
        <w:t>国家鼓励的重点集成电路设计企业，自获利年度起，第一年至第五年免征企业所得税政策，接续年度减按10%税率征收企业所得税。表A000000“208软件、集成电路企业类型”填报“250集成电路设计企业（重点集成电路设计企业）”，且A107042表选择“适用新出台优惠政策”的纳税人填报本项，本行填报表A107042第16行金额。</w:t>
      </w:r>
    </w:p>
    <w:bookmarkEnd w:id="343"/>
    <w:p>
      <w:pPr>
        <w:spacing w:line="360" w:lineRule="auto"/>
        <w:ind w:firstLine="480" w:firstLineChars="200"/>
        <w:rPr>
          <w:rFonts w:ascii="宋体" w:hAnsi="宋体" w:cs="宋体"/>
          <w:sz w:val="24"/>
        </w:rPr>
      </w:pPr>
      <w:r>
        <w:rPr>
          <w:rFonts w:hint="eastAsia" w:ascii="宋体" w:hAnsi="宋体" w:cs="宋体"/>
          <w:sz w:val="24"/>
        </w:rPr>
        <w:t>第28.4.6行“6.集成电路装备企业减免企业所得税”：国家鼓励的集成电路装备企业，自获利年度起，第一年至第二年免征企业所得税，第三年至第五年按照25%的法定税率减半征收企业所得税。表A000000“208软件、集成电路企业类型”填报“600集成电路装备（含专用设备）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28.4.7行“7.集成电路材料企业减免企业所得税”：国家鼓励的集成电路材料企业，自获利年度起，第一年至第二年免征企业所得税，第三年至第五年按照25%的法定税率减半征收企业所得税。表A000000“208软件、集成电路企业类型”填报“500集成电路材料（含关键专用材料）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28.4.8行“8.集成电路封装、测试企业减免企业所得税”：国家鼓励的集成电路封装、测试企业，自获利年度起，第一年至第二年免征企业所得税，第三年至第五年按照25%的法定税率减半征收企业所得税。表A000000“208软件、集成电路企业类型”填报“400集成电路封装、测试（含封装测试）企业减免企业所得税”，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28.4.9行“9.软件企业减免企业所得税”：国家鼓励的软件企业，自获利年度起，第一年至第二年免征企业所得税，第三年至第五年按照25%的法定税率减半征收企业所得税。表A000000“208软件、集成电路企业类型”填报“330软件企业（软件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28.4.10行“10.重点软件企业减免企业所得税”：国家鼓励的重点软件企业，自获利年度起，第一年至第五年免征企业所得税政策，接续年度减按10%税率征收企业所得税。表A000000“208软件、集成电路企业类型”填报“340软件企业（重点软件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第28.5行“（五）其他1”：填报当年新出台且本表未列明的其他税收优惠政策，需填报项目名称、减免税代码及免征、减征企业所得税金额。</w:t>
      </w:r>
    </w:p>
    <w:p>
      <w:pPr>
        <w:spacing w:line="360" w:lineRule="auto"/>
        <w:ind w:firstLine="480" w:firstLineChars="200"/>
        <w:rPr>
          <w:rFonts w:ascii="宋体" w:hAnsi="宋体" w:cs="宋体"/>
          <w:sz w:val="24"/>
        </w:rPr>
      </w:pPr>
      <w:r>
        <w:rPr>
          <w:rFonts w:hint="eastAsia" w:ascii="宋体" w:hAnsi="宋体" w:cs="宋体"/>
          <w:sz w:val="24"/>
        </w:rPr>
        <w:t>第28.6行“（五）其他2”：填报国务院根据税法授权制定的及本表未列明的其他税收优惠政策，需填报项目名称、减免税代码及免征、减征企业所得税金额。</w:t>
      </w:r>
    </w:p>
    <w:p>
      <w:pPr>
        <w:spacing w:line="360" w:lineRule="auto"/>
        <w:ind w:firstLine="480" w:firstLineChars="200"/>
        <w:rPr>
          <w:rFonts w:ascii="宋体" w:hAnsi="宋体" w:cs="宋体"/>
          <w:sz w:val="24"/>
        </w:rPr>
      </w:pPr>
      <w:r>
        <w:rPr>
          <w:rFonts w:hint="eastAsia" w:ascii="宋体" w:hAnsi="宋体" w:cs="宋体"/>
          <w:sz w:val="24"/>
        </w:rPr>
        <w:t>29.第29行“二十九、项目所得额按法定税率减半征收企业所得税叠加享受减免税优惠”：纳税人同时享受优惠税率和所得项目减半情形下，在填报本表低税率优惠时，在本行填报所得项目按照优惠税率减半计算多享受优惠的部分。</w:t>
      </w:r>
    </w:p>
    <w:p>
      <w:pPr>
        <w:spacing w:line="360" w:lineRule="auto"/>
        <w:ind w:firstLine="480" w:firstLineChars="200"/>
        <w:rPr>
          <w:rFonts w:ascii="宋体" w:hAnsi="宋体" w:cs="宋体"/>
          <w:sz w:val="24"/>
        </w:rPr>
      </w:pPr>
      <w:r>
        <w:rPr>
          <w:rFonts w:hint="eastAsia" w:ascii="宋体" w:hAnsi="宋体" w:cs="宋体"/>
          <w:sz w:val="24"/>
        </w:rPr>
        <w:t>企业从事农林牧渔业项目、国家重点扶持的公共基础设施项目、符合条件的环境保护及节能节水项目、符合条件的技术转让、集成电路生产项目、其他专项优惠等所得额应按法定税率25%减半征收，同时享受小型微利企业、高新技术企业、技术先进型服务企业、集成电路生产企业、重点软件企业和重点集成电路设计企业等优惠税率政策，由于申报表填报顺序，按优惠税率减半叠加享受减免税优惠部分，应对该部分金额进行调整。计算公式如下：</w:t>
      </w:r>
    </w:p>
    <w:p>
      <w:pPr>
        <w:spacing w:line="360" w:lineRule="auto"/>
        <w:ind w:firstLine="480" w:firstLineChars="200"/>
        <w:rPr>
          <w:rFonts w:ascii="宋体" w:hAnsi="宋体" w:cs="宋体"/>
          <w:sz w:val="24"/>
        </w:rPr>
      </w:pPr>
      <w:r>
        <w:rPr>
          <w:rFonts w:hint="eastAsia" w:ascii="宋体" w:hAnsi="宋体" w:cs="宋体"/>
          <w:sz w:val="24"/>
        </w:rPr>
        <w:t>A=需要进行叠加调整的减免所得税优惠金额</w:t>
      </w:r>
    </w:p>
    <w:p>
      <w:pPr>
        <w:spacing w:line="360" w:lineRule="auto"/>
        <w:ind w:firstLine="480" w:firstLineChars="200"/>
        <w:rPr>
          <w:rFonts w:ascii="宋体" w:hAnsi="宋体" w:cs="宋体"/>
          <w:sz w:val="24"/>
        </w:rPr>
      </w:pPr>
      <w:r>
        <w:rPr>
          <w:rFonts w:hint="eastAsia" w:ascii="宋体" w:hAnsi="宋体" w:cs="宋体"/>
          <w:sz w:val="24"/>
        </w:rPr>
        <w:t>B=A×[（减半项目所得×50%）÷（纳税调整后所得-所得减免）]</w:t>
      </w:r>
    </w:p>
    <w:p>
      <w:pPr>
        <w:spacing w:line="360" w:lineRule="auto"/>
        <w:ind w:firstLine="480" w:firstLineChars="200"/>
        <w:rPr>
          <w:rFonts w:ascii="宋体" w:hAnsi="宋体" w:cs="宋体"/>
          <w:sz w:val="24"/>
        </w:rPr>
      </w:pPr>
      <w:r>
        <w:rPr>
          <w:rFonts w:hint="eastAsia" w:ascii="宋体" w:hAnsi="宋体" w:cs="宋体"/>
          <w:sz w:val="24"/>
        </w:rPr>
        <w:t>本行填报A和B的孰小值。</w:t>
      </w:r>
    </w:p>
    <w:p>
      <w:pPr>
        <w:spacing w:line="360" w:lineRule="auto"/>
        <w:ind w:firstLine="480" w:firstLineChars="200"/>
        <w:rPr>
          <w:rFonts w:ascii="宋体" w:hAnsi="宋体" w:cs="宋体"/>
          <w:sz w:val="24"/>
        </w:rPr>
      </w:pPr>
      <w:r>
        <w:rPr>
          <w:rFonts w:hint="eastAsia" w:ascii="宋体" w:hAnsi="宋体" w:cs="宋体"/>
          <w:sz w:val="24"/>
        </w:rPr>
        <w:t>其中，需要进行叠加调整的减免所得税优惠金额为本表中第1行到第28行的优惠金额，不包括免税行次和第21行。</w:t>
      </w:r>
    </w:p>
    <w:p>
      <w:pPr>
        <w:spacing w:line="360" w:lineRule="auto"/>
        <w:ind w:firstLine="480" w:firstLineChars="200"/>
        <w:rPr>
          <w:rFonts w:ascii="宋体" w:hAnsi="宋体" w:cs="宋体"/>
          <w:sz w:val="24"/>
        </w:rPr>
      </w:pPr>
      <w:r>
        <w:rPr>
          <w:rFonts w:hint="eastAsia" w:ascii="宋体" w:hAnsi="宋体" w:cs="宋体"/>
          <w:sz w:val="24"/>
        </w:rPr>
        <w:t>30.第30行“三十、支持和促进重点群体创业就业企业限额减征企业所得税”：根据《财政部 税务总局 人力资源社会保障部 国务院扶贫办关于进一步支持和促进重点群体创业就业有关税收政策的通知》（财税〔2019〕22号）、《财政部 税务总局 人力资源社会保障部 国家乡村振兴局关于延长部分扶贫税收优惠政策执行期限的公告》（2021年第18号）等规定，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本行填报企业纳税年度终了时实际减免的增值税、城市维护建设税、教育费附加和地方教育附加小于核定的减免税总额部分，在企业所得税汇算清缴时扣减的企业所得税金额。当年扣减不完的，不再结转以后年度扣减。本行填报第30.1+30.2行的合计金额。</w:t>
      </w:r>
    </w:p>
    <w:p>
      <w:pPr>
        <w:spacing w:line="360" w:lineRule="auto"/>
        <w:ind w:firstLine="480" w:firstLineChars="200"/>
        <w:rPr>
          <w:rFonts w:ascii="宋体" w:hAnsi="宋体" w:cs="宋体"/>
          <w:sz w:val="24"/>
        </w:rPr>
      </w:pPr>
      <w:r>
        <w:rPr>
          <w:rFonts w:hint="eastAsia" w:ascii="宋体" w:hAnsi="宋体" w:cs="宋体"/>
          <w:sz w:val="24"/>
        </w:rPr>
        <w:t>企业招用建档立卡贫困人口就业扣减企业所得税、企业招用登记失业半年以上人员就业扣减企业所得税，分别填报第30.1行、第30.2行。</w:t>
      </w:r>
    </w:p>
    <w:p>
      <w:pPr>
        <w:spacing w:line="360" w:lineRule="auto"/>
        <w:ind w:firstLine="480" w:firstLineChars="200"/>
        <w:rPr>
          <w:rFonts w:ascii="宋体" w:hAnsi="宋体" w:cs="宋体"/>
          <w:sz w:val="24"/>
        </w:rPr>
      </w:pPr>
      <w:r>
        <w:rPr>
          <w:rFonts w:hint="eastAsia" w:ascii="宋体" w:hAnsi="宋体" w:cs="宋体"/>
          <w:sz w:val="24"/>
        </w:rPr>
        <w:t>31.第31行“三十一、扶持自主就业退役士兵创业就业企业限额减征企业所得税”：根据《财政部 税务总局 退役军人部关于进一步扶持自主就业退役士兵创业就业有关税收政策的通知》（财税〔2019〕21号）等规定，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本行填报企业纳税年度终了时实际减免的增值税、城市维护建设税、教育费附加和地方教育附加小于核定的减免税总额部分，在企业所得税汇算清缴时扣减的企业所得税金额。当年扣减不完的，不再结转以后年度扣减。</w:t>
      </w:r>
    </w:p>
    <w:p>
      <w:pPr>
        <w:spacing w:line="360" w:lineRule="auto"/>
        <w:ind w:firstLine="480" w:firstLineChars="200"/>
        <w:rPr>
          <w:rFonts w:ascii="宋体" w:hAnsi="宋体" w:cs="宋体"/>
          <w:sz w:val="24"/>
        </w:rPr>
      </w:pPr>
      <w:r>
        <w:rPr>
          <w:rFonts w:hint="eastAsia" w:ascii="宋体" w:hAnsi="宋体" w:cs="宋体"/>
          <w:sz w:val="24"/>
        </w:rPr>
        <w:t xml:space="preserve"> 32.第32行“三十二、符合条件的公司型创投企业按照企业年末个人股东持股比例减免企业所得税（年末个人股东持股比例____%）”：根据《财政部 税务总局 发展改革委 证监会关于中关村国家自主创新示范区公司型创业投资企业有关企业所得税试点政策的通知》（财税〔2020〕63号）、《财政部 税务总局 发展改革委 证监会关于上海市浦东新区特定区域公司型创业投资企业有关企业所得税试点政策的通知》（财税〔2021〕53号）规定，符合条件的公司型创投企业按照企业年末个人股东持股比例减免企业所得税。本行填报企业所得税免征额。</w:t>
      </w:r>
    </w:p>
    <w:p>
      <w:pPr>
        <w:spacing w:line="360" w:lineRule="auto"/>
        <w:ind w:firstLine="480" w:firstLineChars="200"/>
        <w:rPr>
          <w:rFonts w:ascii="宋体" w:hAnsi="宋体" w:cs="宋体"/>
          <w:sz w:val="24"/>
        </w:rPr>
      </w:pPr>
      <w:r>
        <w:rPr>
          <w:rFonts w:hint="eastAsia" w:ascii="宋体" w:hAnsi="宋体" w:cs="宋体"/>
          <w:sz w:val="24"/>
        </w:rPr>
        <w:t>纳税人填报该行次时，需填报符合条件的年末个人股东持股比例，保留至小数点后四位，并按百分数填报。</w:t>
      </w:r>
    </w:p>
    <w:p>
      <w:pPr>
        <w:spacing w:line="360" w:lineRule="auto"/>
        <w:ind w:firstLine="480" w:firstLineChars="200"/>
        <w:rPr>
          <w:rFonts w:ascii="宋体" w:hAnsi="宋体" w:cs="宋体"/>
          <w:sz w:val="24"/>
        </w:rPr>
      </w:pPr>
      <w:r>
        <w:rPr>
          <w:rFonts w:hint="eastAsia" w:ascii="宋体" w:hAnsi="宋体" w:cs="宋体"/>
          <w:sz w:val="24"/>
        </w:rPr>
        <w:t>33.第33行“合计”：填报第1+2+…+28-29+30+31+32行的合计金额。</w:t>
      </w:r>
    </w:p>
    <w:p>
      <w:pPr>
        <w:spacing w:line="360" w:lineRule="auto"/>
        <w:ind w:firstLine="482" w:firstLineChars="200"/>
        <w:outlineLvl w:val="0"/>
        <w:rPr>
          <w:rFonts w:ascii="宋体" w:hAnsi="宋体" w:cs="宋体"/>
          <w:b/>
          <w:bCs/>
          <w:sz w:val="24"/>
        </w:rPr>
      </w:pPr>
      <w:bookmarkStart w:id="344" w:name="_Toc529160647_WPSOffice_Level1"/>
      <w:bookmarkStart w:id="345" w:name="_Toc495642217_WPSOffice_Level1"/>
      <w:bookmarkStart w:id="346" w:name="_Toc54267959"/>
      <w:bookmarkStart w:id="347" w:name="_Toc1622587048_WPSOffice_Level1"/>
      <w:bookmarkStart w:id="348" w:name="_Toc1422749512_WPSOffice_Level1"/>
      <w:r>
        <w:rPr>
          <w:rFonts w:hint="eastAsia" w:ascii="宋体" w:hAnsi="宋体" w:cs="宋体"/>
          <w:b/>
          <w:bCs/>
          <w:sz w:val="24"/>
        </w:rPr>
        <w:t>二、表内、表间关系</w:t>
      </w:r>
      <w:bookmarkEnd w:id="344"/>
      <w:bookmarkEnd w:id="345"/>
      <w:bookmarkEnd w:id="346"/>
      <w:bookmarkEnd w:id="347"/>
      <w:bookmarkEnd w:id="348"/>
    </w:p>
    <w:p>
      <w:pPr>
        <w:spacing w:line="360" w:lineRule="auto"/>
        <w:ind w:firstLine="480" w:firstLineChars="200"/>
        <w:outlineLvl w:val="1"/>
        <w:rPr>
          <w:rFonts w:ascii="宋体" w:hAnsi="宋体" w:cs="宋体"/>
          <w:sz w:val="24"/>
        </w:rPr>
      </w:pPr>
      <w:bookmarkStart w:id="349" w:name="_Toc420151867_WPSOffice_Level2"/>
      <w:bookmarkStart w:id="350" w:name="_Toc54267960"/>
      <w:bookmarkStart w:id="351" w:name="_Toc226630110_WPSOffice_Level2"/>
      <w:r>
        <w:rPr>
          <w:rFonts w:hint="eastAsia" w:ascii="宋体" w:hAnsi="宋体" w:cs="宋体"/>
          <w:sz w:val="24"/>
        </w:rPr>
        <w:t>（一）表内关系</w:t>
      </w:r>
      <w:bookmarkEnd w:id="349"/>
      <w:bookmarkEnd w:id="350"/>
      <w:bookmarkEnd w:id="351"/>
    </w:p>
    <w:p>
      <w:pPr>
        <w:spacing w:line="360" w:lineRule="auto"/>
        <w:ind w:firstLine="480" w:firstLineChars="200"/>
        <w:rPr>
          <w:rFonts w:ascii="宋体" w:hAnsi="宋体" w:cs="宋体"/>
          <w:sz w:val="24"/>
        </w:rPr>
      </w:pPr>
      <w:r>
        <w:rPr>
          <w:rFonts w:hint="eastAsia" w:ascii="宋体" w:hAnsi="宋体" w:cs="宋体"/>
          <w:sz w:val="24"/>
        </w:rPr>
        <w:t>1.第24行＝第24.1+24.2+24.3+24.4行。</w:t>
      </w:r>
    </w:p>
    <w:p>
      <w:pPr>
        <w:spacing w:line="360" w:lineRule="auto"/>
        <w:ind w:firstLine="480" w:firstLineChars="200"/>
        <w:rPr>
          <w:rFonts w:ascii="宋体" w:hAnsi="宋体" w:cs="宋体"/>
          <w:sz w:val="24"/>
        </w:rPr>
      </w:pPr>
      <w:r>
        <w:rPr>
          <w:rFonts w:hint="eastAsia" w:ascii="宋体" w:hAnsi="宋体" w:cs="宋体"/>
          <w:sz w:val="24"/>
        </w:rPr>
        <w:t>2.第28行＝第28.1+28.2+28.3+28.4+28.5+28.6行。</w:t>
      </w:r>
    </w:p>
    <w:p>
      <w:pPr>
        <w:spacing w:line="360" w:lineRule="auto"/>
        <w:ind w:firstLine="480" w:firstLineChars="200"/>
        <w:rPr>
          <w:rFonts w:ascii="宋体" w:hAnsi="宋体" w:cs="宋体"/>
          <w:sz w:val="24"/>
        </w:rPr>
      </w:pPr>
      <w:r>
        <w:rPr>
          <w:rFonts w:hint="eastAsia" w:ascii="宋体" w:hAnsi="宋体" w:cs="宋体"/>
          <w:sz w:val="24"/>
        </w:rPr>
        <w:t>3.第28.4行＝第28.4.1+28.4.2+…+28.4.10行。</w:t>
      </w:r>
    </w:p>
    <w:p>
      <w:pPr>
        <w:spacing w:line="360" w:lineRule="auto"/>
        <w:ind w:firstLine="480" w:firstLineChars="200"/>
        <w:rPr>
          <w:rFonts w:ascii="宋体" w:hAnsi="宋体" w:cs="宋体"/>
          <w:sz w:val="24"/>
        </w:rPr>
      </w:pPr>
      <w:r>
        <w:rPr>
          <w:rFonts w:hint="eastAsia" w:ascii="宋体" w:hAnsi="宋体" w:cs="宋体"/>
          <w:sz w:val="24"/>
        </w:rPr>
        <w:t>4.第30行＝第30.1+30.2行。</w:t>
      </w:r>
    </w:p>
    <w:p>
      <w:pPr>
        <w:spacing w:line="360" w:lineRule="auto"/>
        <w:ind w:firstLine="480" w:firstLineChars="200"/>
        <w:rPr>
          <w:rFonts w:ascii="宋体" w:hAnsi="宋体" w:cs="宋体"/>
          <w:sz w:val="24"/>
        </w:rPr>
      </w:pPr>
      <w:r>
        <w:rPr>
          <w:rFonts w:hint="eastAsia" w:ascii="宋体" w:hAnsi="宋体" w:cs="宋体"/>
          <w:sz w:val="24"/>
        </w:rPr>
        <w:t>5.第33行＝第1+2+…+28-29+30+31+32行。</w:t>
      </w:r>
    </w:p>
    <w:p>
      <w:pPr>
        <w:spacing w:line="360" w:lineRule="auto"/>
        <w:ind w:firstLine="480" w:firstLineChars="200"/>
        <w:outlineLvl w:val="1"/>
        <w:rPr>
          <w:rFonts w:ascii="宋体" w:hAnsi="宋体" w:cs="宋体"/>
          <w:sz w:val="24"/>
        </w:rPr>
      </w:pPr>
      <w:bookmarkStart w:id="352" w:name="_Toc54267961"/>
      <w:bookmarkStart w:id="353" w:name="_Toc57514556_WPSOffice_Level2"/>
      <w:bookmarkStart w:id="354" w:name="_Toc1200333052_WPSOffice_Level2"/>
      <w:r>
        <w:rPr>
          <w:rFonts w:hint="eastAsia" w:ascii="宋体" w:hAnsi="宋体" w:cs="宋体"/>
          <w:sz w:val="24"/>
        </w:rPr>
        <w:t>（二）表间关系</w:t>
      </w:r>
      <w:bookmarkEnd w:id="352"/>
      <w:bookmarkEnd w:id="353"/>
      <w:bookmarkEnd w:id="354"/>
    </w:p>
    <w:p>
      <w:pPr>
        <w:spacing w:line="360" w:lineRule="auto"/>
        <w:ind w:firstLine="480" w:firstLineChars="200"/>
        <w:rPr>
          <w:rFonts w:ascii="宋体" w:hAnsi="宋体" w:cs="宋体"/>
          <w:sz w:val="24"/>
        </w:rPr>
      </w:pPr>
      <w:r>
        <w:rPr>
          <w:rFonts w:hint="eastAsia" w:ascii="宋体" w:hAnsi="宋体" w:cs="宋体"/>
          <w:sz w:val="24"/>
        </w:rPr>
        <w:t>1.第2行＝表A107041第31行。</w:t>
      </w:r>
    </w:p>
    <w:p>
      <w:pPr>
        <w:spacing w:line="360" w:lineRule="auto"/>
        <w:ind w:firstLine="480" w:firstLineChars="200"/>
        <w:rPr>
          <w:rFonts w:ascii="宋体" w:hAnsi="宋体" w:cs="宋体"/>
          <w:sz w:val="24"/>
        </w:rPr>
      </w:pPr>
      <w:r>
        <w:rPr>
          <w:rFonts w:hint="eastAsia" w:ascii="宋体" w:hAnsi="宋体" w:cs="宋体"/>
          <w:sz w:val="24"/>
        </w:rPr>
        <w:t>2.第3行＝表A107041第32行。</w:t>
      </w:r>
    </w:p>
    <w:p>
      <w:pPr>
        <w:spacing w:line="360" w:lineRule="auto"/>
        <w:ind w:firstLine="480" w:firstLineChars="200"/>
        <w:rPr>
          <w:rFonts w:ascii="宋体" w:hAnsi="宋体" w:cs="宋体"/>
          <w:sz w:val="24"/>
        </w:rPr>
      </w:pPr>
      <w:r>
        <w:rPr>
          <w:rFonts w:hint="eastAsia" w:ascii="宋体" w:hAnsi="宋体" w:cs="宋体"/>
          <w:sz w:val="24"/>
        </w:rPr>
        <w:t>3.当表A000000“208软件、集成电路企业类型”填报“110集成电路生产企业（线宽小于0.8微米（含）的企业）”且A107042“选择适用优惠政策”勾选“延续适用原有优惠政策”时，本表第6行＝表A107042第16行。</w:t>
      </w:r>
    </w:p>
    <w:p>
      <w:pPr>
        <w:spacing w:line="360" w:lineRule="auto"/>
        <w:ind w:firstLine="480" w:firstLineChars="200"/>
        <w:rPr>
          <w:rFonts w:ascii="宋体" w:hAnsi="宋体" w:cs="宋体"/>
          <w:sz w:val="24"/>
        </w:rPr>
      </w:pPr>
      <w:r>
        <w:rPr>
          <w:rFonts w:hint="eastAsia" w:ascii="宋体" w:hAnsi="宋体" w:cs="宋体"/>
          <w:sz w:val="24"/>
        </w:rPr>
        <w:t>4.当表A000000“208软件、集成电路企业类型”填报“120集成电路生产企业（线宽小于0.25微米的企业）”且A107042“选择适用优惠政策”勾选“延续适用原有优惠政策”时，本表第9行＝表A107042第16行。</w:t>
      </w:r>
    </w:p>
    <w:p>
      <w:pPr>
        <w:spacing w:line="360" w:lineRule="auto"/>
        <w:ind w:firstLine="480" w:firstLineChars="200"/>
        <w:rPr>
          <w:rFonts w:ascii="宋体" w:hAnsi="宋体" w:cs="宋体"/>
          <w:sz w:val="24"/>
        </w:rPr>
      </w:pPr>
      <w:r>
        <w:rPr>
          <w:rFonts w:hint="eastAsia" w:ascii="宋体" w:hAnsi="宋体" w:cs="宋体"/>
          <w:sz w:val="24"/>
        </w:rPr>
        <w:t>5.当表A000000“208软件、集成电路企业类型”填报“130集成电路生产企业（投资额超过80亿元的企业）”且A107042“选择适用优惠政策”勾选“延续适用原有优惠政策”时，第10行＝表A107042第16行。</w:t>
      </w:r>
    </w:p>
    <w:p>
      <w:pPr>
        <w:spacing w:line="360" w:lineRule="auto"/>
        <w:ind w:firstLine="480" w:firstLineChars="200"/>
        <w:rPr>
          <w:rFonts w:ascii="宋体" w:hAnsi="宋体" w:cs="宋体"/>
          <w:sz w:val="24"/>
        </w:rPr>
      </w:pPr>
      <w:r>
        <w:rPr>
          <w:rFonts w:hint="eastAsia" w:ascii="宋体" w:hAnsi="宋体" w:cs="宋体"/>
          <w:sz w:val="24"/>
        </w:rPr>
        <w:t>6.当表A000000“208软件、集成电路企业类型”填报“240集成电路设计企业（集成电路设计企业）” 且A107042“选择适用优惠政策”勾选“延续适用原有优惠政策”时，第11行＝表A107042第16行。</w:t>
      </w:r>
    </w:p>
    <w:p>
      <w:pPr>
        <w:spacing w:line="360" w:lineRule="auto"/>
        <w:ind w:firstLine="480" w:firstLineChars="200"/>
        <w:rPr>
          <w:rFonts w:ascii="宋体" w:hAnsi="宋体" w:cs="宋体"/>
          <w:sz w:val="24"/>
        </w:rPr>
      </w:pPr>
      <w:r>
        <w:rPr>
          <w:rFonts w:hint="eastAsia" w:ascii="宋体" w:hAnsi="宋体" w:cs="宋体"/>
          <w:sz w:val="24"/>
        </w:rPr>
        <w:t>7.当表A000000“208软件、集成电路企业类型”填报“330软件企业（软件企业）” 且A107042“选择适用优惠政策”勾选“延续适用原有优惠政策”时，第13行＝表A107042第16行。</w:t>
      </w:r>
    </w:p>
    <w:p>
      <w:pPr>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.当表A000000“208软件、集成电路企业类型”填报“140集成电路生产企业（线宽小于130纳米的企业）” 且A107042“选择适用优惠政策”勾选“延续适用原有优惠政策”时，第26行＝表A107042第16行。</w:t>
      </w:r>
    </w:p>
    <w:p>
      <w:pPr>
        <w:spacing w:line="360" w:lineRule="auto"/>
        <w:ind w:firstLine="480" w:firstLineChars="200"/>
        <w:rPr>
          <w:rFonts w:ascii="宋体" w:hAnsi="宋体" w:cs="宋体"/>
          <w:sz w:val="24"/>
        </w:rPr>
      </w:pPr>
      <w:r>
        <w:rPr>
          <w:rFonts w:ascii="宋体" w:hAnsi="宋体" w:cs="宋体"/>
          <w:sz w:val="24"/>
        </w:rPr>
        <w:t>9</w:t>
      </w:r>
      <w:r>
        <w:rPr>
          <w:rFonts w:hint="eastAsia" w:ascii="宋体" w:hAnsi="宋体" w:cs="宋体"/>
          <w:sz w:val="24"/>
        </w:rPr>
        <w:t>.当表A000000“208软件、集成电路企业类型”填报“131集成电路生产企业（投资额超过150亿元的企业）” 或“151集成电路生产企业（线宽小于65纳米的企业）” 且A107042“选择适用优惠政策”勾选“延续适用原有优惠政策”时，第27行＝表A107042第16行。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.当表A000000“208软件、集成电路企业类型”填报“160集成电路生产企业（线宽小于28纳米的企业）”且A107042“选择适用优惠政策”勾选“适用新出台优惠政策”时，第28.4.1行＝表A107042第16行。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.当表A000000“208软件、集成电路企业类型”填报“151集成电路生产企业（线宽小于65纳米的企业）”且A107042“选择适用优惠政策”勾选“适用新出台优惠政策”时，第28.4.2行＝表A107042第16行。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.当表A000000“208软件、集成电路企业类型”填报“140集成电路生产企业（线宽小于130纳米的企业）”且A107042“选择适用优惠政策”勾选“适用新出台优惠政策”时，第28.4.3行＝表A107042第16行。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.当表A000000“208软件、集成电路企业类型”填报“240集成电路设计企业（集成电路设计企业）”且A107042“选择适用优惠政策”勾选“适用新出台优惠政策”时，第28.4.4行＝表A107042第16行。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.当表A000000“208软件、集成电路企业类型”填报“250集成电路设计企业（重点集成电路设计企业）”且A107042“选择适用优惠政策”勾选“适用新出台优惠政策”时，第28.4.5行＝表A107042第16行。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.当表A000000“208软件、集成电路企业类型”填报“600集成电路装备（含专用设备）企业”且A107042“选择适用优惠政策”勾选“适用新出台优惠政策”时，第28.4.6行＝表A107042第16行。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.当表A000000“208软件、集成电路企业类型”填报“500集成电路材料（含关键专用材料）企业”且A107042“选择适用优惠政策”勾选“适用新出台优惠政策”时，第28.4.7行＝表A107042第16行。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.当表A000000“208软件、集成电路企业类型”填报“400集成电路封装、测试（含封装测试）企业”且A107042“选择适用优惠政策”勾选“适用新出台优惠政策”时，第28.4.8行＝表A107042第16行。</w:t>
      </w:r>
    </w:p>
    <w:p>
      <w:pPr>
        <w:spacing w:line="360" w:lineRule="auto"/>
        <w:ind w:firstLine="480" w:firstLineChars="200"/>
        <w:rPr>
          <w:rFonts w:ascii="宋体" w:hAnsi="宋体" w:cs="宋体"/>
          <w:sz w:val="24"/>
        </w:rPr>
      </w:pPr>
      <w:r>
        <w:rPr>
          <w:rFonts w:ascii="宋体" w:hAnsi="宋体" w:cs="宋体"/>
          <w:sz w:val="24"/>
        </w:rPr>
        <w:t>18</w:t>
      </w:r>
      <w:r>
        <w:rPr>
          <w:rFonts w:hint="eastAsia" w:ascii="宋体" w:hAnsi="宋体" w:cs="宋体"/>
          <w:sz w:val="24"/>
        </w:rPr>
        <w:t>.当表A000000“208软件、集成电路企业类型”填报“330软件企业（软件企业）””且A107042“选择适用优惠政策”勾选“适用新出台优惠政策”时，第28.4.9行＝表A107042第16行。</w:t>
      </w:r>
    </w:p>
    <w:p>
      <w:pPr>
        <w:spacing w:line="360" w:lineRule="auto"/>
        <w:ind w:firstLine="480" w:firstLineChars="200"/>
        <w:rPr>
          <w:rFonts w:ascii="宋体" w:hAnsi="宋体" w:cs="宋体"/>
          <w:sz w:val="24"/>
        </w:rPr>
      </w:pPr>
      <w:r>
        <w:rPr>
          <w:rFonts w:ascii="宋体" w:hAnsi="宋体" w:cs="宋体"/>
          <w:sz w:val="24"/>
        </w:rPr>
        <w:t>19</w:t>
      </w:r>
      <w:r>
        <w:rPr>
          <w:rFonts w:hint="eastAsia" w:ascii="宋体" w:hAnsi="宋体" w:cs="宋体"/>
          <w:sz w:val="24"/>
        </w:rPr>
        <w:t>.当表A000000“208软件、集成电路企业类型”填报“340软件企业（重点软件企业）”且A107042“选择适用优惠政策”勾选“适用新出台优惠政策”时，第28.4.10行＝表A107042第16行。</w:t>
      </w:r>
    </w:p>
    <w:p>
      <w:pPr>
        <w:pStyle w:val="94"/>
        <w:ind w:firstLine="480"/>
        <w:rPr>
          <w:rFonts w:hint="eastAsia"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.第33行＝表A100000第26行</w:t>
      </w:r>
      <w:r>
        <w:rPr>
          <w:rFonts w:hint="eastAsia" w:ascii="宋体" w:hAnsi="宋体" w:eastAsia="宋体" w:cs="宋体"/>
        </w:rPr>
        <w:t>。</w:t>
      </w:r>
    </w:p>
    <w:bookmarkEnd w:id="330"/>
    <w:bookmarkEnd w:id="331"/>
    <w:p>
      <w:pPr>
        <w:spacing w:line="360" w:lineRule="auto"/>
        <w:ind w:firstLine="480" w:firstLineChars="200"/>
        <w:rPr>
          <w:rFonts w:hint="eastAsia" w:ascii="宋体" w:hAnsi="宋体" w:cs="宋体"/>
          <w:sz w:val="24"/>
        </w:rPr>
      </w:pPr>
      <w:bookmarkStart w:id="355" w:name="_Toc399770024"/>
    </w:p>
    <w:bookmarkEnd w:id="355"/>
    <w:p>
      <w:pPr>
        <w:pStyle w:val="65"/>
        <w:sectPr>
          <w:pgSz w:w="11906" w:h="16838"/>
          <w:pgMar w:top="1985" w:right="1361" w:bottom="1928" w:left="1418" w:header="851" w:footer="992" w:gutter="113"/>
          <w:pgNumType w:fmt="decimal"/>
          <w:cols w:space="720" w:num="1"/>
          <w:docGrid w:linePitch="312" w:charSpace="0"/>
        </w:sectPr>
      </w:pPr>
    </w:p>
    <w:p>
      <w:pPr>
        <w:tabs>
          <w:tab w:val="center" w:pos="4678"/>
        </w:tabs>
        <w:spacing w:line="360" w:lineRule="auto"/>
        <w:jc w:val="left"/>
        <w:outlineLvl w:val="0"/>
        <w:rPr>
          <w:rFonts w:ascii="宋体" w:hAnsi="宋体"/>
          <w:b/>
          <w:bCs/>
          <w:kern w:val="0"/>
          <w:sz w:val="28"/>
          <w:szCs w:val="28"/>
        </w:rPr>
      </w:pPr>
      <w:bookmarkStart w:id="356" w:name="_Toc527722756"/>
      <w:bookmarkStart w:id="357" w:name="_Toc13657"/>
      <w:r>
        <w:rPr>
          <w:rFonts w:ascii="宋体" w:hAnsi="宋体" w:cs="宋体"/>
          <w:b/>
          <w:bCs/>
          <w:kern w:val="0"/>
          <w:sz w:val="28"/>
          <w:szCs w:val="28"/>
        </w:rPr>
        <w:t>A107041</w:t>
      </w:r>
      <w:r>
        <w:rPr>
          <w:rFonts w:ascii="宋体" w:hAnsi="宋体" w:cs="宋体"/>
          <w:b/>
          <w:bCs/>
          <w:kern w:val="0"/>
          <w:sz w:val="28"/>
          <w:szCs w:val="28"/>
        </w:rPr>
        <w:tab/>
      </w:r>
      <w:r>
        <w:rPr>
          <w:rFonts w:hint="eastAsia" w:ascii="宋体" w:hAnsi="宋体" w:cs="宋体"/>
          <w:b/>
          <w:bCs/>
          <w:kern w:val="0"/>
          <w:sz w:val="28"/>
          <w:szCs w:val="28"/>
        </w:rPr>
        <w:t>高新技术企业优惠情况及明细表</w:t>
      </w:r>
      <w:bookmarkEnd w:id="356"/>
      <w:bookmarkEnd w:id="357"/>
    </w:p>
    <w:tbl>
      <w:tblPr>
        <w:tblStyle w:val="25"/>
        <w:tblW w:w="96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1"/>
        <w:gridCol w:w="628"/>
        <w:gridCol w:w="1756"/>
        <w:gridCol w:w="1659"/>
        <w:gridCol w:w="856"/>
        <w:gridCol w:w="335"/>
        <w:gridCol w:w="746"/>
        <w:gridCol w:w="1083"/>
        <w:gridCol w:w="1081"/>
        <w:gridCol w:w="10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2384" w:type="dxa"/>
            <w:gridSpan w:val="2"/>
            <w:vMerge w:val="restart"/>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r>
              <w:rPr>
                <w:rFonts w:hint="eastAsia" w:ascii="宋体" w:hAnsi="宋体" w:cs="宋体"/>
                <w:kern w:val="0"/>
                <w:sz w:val="20"/>
                <w:szCs w:val="20"/>
              </w:rPr>
              <w:t>企业主要产品（服务）发挥核心支持作用的技术所属范围</w:t>
            </w:r>
          </w:p>
        </w:tc>
        <w:tc>
          <w:tcPr>
            <w:tcW w:w="1659" w:type="dxa"/>
            <w:vMerge w:val="restart"/>
            <w:tcBorders>
              <w:top w:val="single" w:color="auto" w:sz="6" w:space="0"/>
              <w:left w:val="single" w:color="auto" w:sz="6" w:space="0"/>
              <w:bottom w:val="single" w:color="auto" w:sz="6"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国家重点支持的高新技术领域</w:t>
            </w: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一级领域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2384" w:type="dxa"/>
            <w:gridSpan w:val="2"/>
            <w:vMerge w:val="continue"/>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p>
        </w:tc>
        <w:tc>
          <w:tcPr>
            <w:tcW w:w="1659" w:type="dxa"/>
            <w:vMerge w:val="continue"/>
            <w:tcBorders>
              <w:top w:val="single" w:color="auto" w:sz="6" w:space="0"/>
              <w:left w:val="single" w:color="auto" w:sz="6" w:space="0"/>
              <w:bottom w:val="single" w:color="auto" w:sz="6" w:space="0"/>
              <w:right w:val="single" w:color="auto" w:sz="4" w:space="0"/>
            </w:tcBorders>
            <w:vAlign w:val="center"/>
          </w:tcPr>
          <w:p>
            <w:pPr>
              <w:jc w:val="left"/>
              <w:rPr>
                <w:rFonts w:ascii="宋体"/>
                <w:kern w:val="0"/>
                <w:sz w:val="20"/>
                <w:szCs w:val="20"/>
              </w:rPr>
            </w:pP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二级领域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2384" w:type="dxa"/>
            <w:gridSpan w:val="2"/>
            <w:vMerge w:val="continue"/>
            <w:tcBorders>
              <w:top w:val="single" w:color="auto" w:sz="6" w:space="0"/>
              <w:left w:val="single" w:color="auto" w:sz="4" w:space="0"/>
              <w:bottom w:val="single" w:color="auto" w:sz="12" w:space="0"/>
              <w:right w:val="single" w:color="auto" w:sz="6" w:space="0"/>
            </w:tcBorders>
            <w:vAlign w:val="center"/>
          </w:tcPr>
          <w:p>
            <w:pPr>
              <w:widowControl/>
              <w:jc w:val="left"/>
              <w:rPr>
                <w:rFonts w:ascii="宋体"/>
                <w:kern w:val="0"/>
                <w:sz w:val="20"/>
                <w:szCs w:val="20"/>
              </w:rPr>
            </w:pPr>
          </w:p>
        </w:tc>
        <w:tc>
          <w:tcPr>
            <w:tcW w:w="1659" w:type="dxa"/>
            <w:vMerge w:val="continue"/>
            <w:tcBorders>
              <w:top w:val="single" w:color="auto" w:sz="6" w:space="0"/>
              <w:left w:val="single" w:color="auto" w:sz="6" w:space="0"/>
              <w:bottom w:val="single" w:color="auto" w:sz="12" w:space="0"/>
              <w:right w:val="single" w:color="auto" w:sz="4" w:space="0"/>
            </w:tcBorders>
            <w:vAlign w:val="center"/>
          </w:tcPr>
          <w:p>
            <w:pPr>
              <w:widowControl/>
              <w:jc w:val="left"/>
              <w:rPr>
                <w:rFonts w:ascii="宋体"/>
                <w:kern w:val="0"/>
                <w:sz w:val="20"/>
                <w:szCs w:val="20"/>
              </w:rPr>
            </w:pPr>
          </w:p>
        </w:tc>
        <w:tc>
          <w:tcPr>
            <w:tcW w:w="1191" w:type="dxa"/>
            <w:gridSpan w:val="2"/>
            <w:tcBorders>
              <w:top w:val="single" w:color="auto" w:sz="6" w:space="0"/>
              <w:left w:val="single" w:color="auto" w:sz="4" w:space="0"/>
              <w:bottom w:val="single" w:color="auto" w:sz="12"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三级领域</w:t>
            </w:r>
          </w:p>
        </w:tc>
        <w:tc>
          <w:tcPr>
            <w:tcW w:w="4001" w:type="dxa"/>
            <w:gridSpan w:val="4"/>
            <w:tcBorders>
              <w:top w:val="single" w:color="auto" w:sz="6" w:space="0"/>
              <w:left w:val="single" w:color="auto" w:sz="6" w:space="0"/>
              <w:bottom w:val="single" w:color="auto" w:sz="12"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税收优惠有关情况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收入指标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一、本年高新技术产品（服务）收入（</w:t>
            </w:r>
            <w:r>
              <w:rPr>
                <w:rFonts w:ascii="宋体" w:hAnsi="宋体" w:cs="宋体"/>
                <w:kern w:val="0"/>
                <w:sz w:val="20"/>
                <w:szCs w:val="20"/>
              </w:rPr>
              <w:t>5+6</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其中：产品（服务）收入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技术性收入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二、本年企业总收入</w:t>
            </w:r>
            <w:r>
              <w:rPr>
                <w:rFonts w:ascii="宋体" w:hAnsi="宋体" w:cs="宋体"/>
                <w:kern w:val="0"/>
                <w:sz w:val="20"/>
                <w:szCs w:val="20"/>
              </w:rPr>
              <w:t>(8-9)</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其中：收入总额</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不征税收入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三、本年高新技术产品（服务）收入占企业总收入的比例（</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7</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271"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628"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091"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tabs>
          <w:tab w:val="left" w:pos="2625"/>
        </w:tabs>
        <w:sectPr>
          <w:pgSz w:w="11906" w:h="16838"/>
          <w:pgMar w:top="1985" w:right="1418" w:bottom="1928" w:left="1418" w:header="851" w:footer="992" w:gutter="113"/>
          <w:pgNumType w:fmt="decimal"/>
          <w:cols w:space="720" w:num="1"/>
          <w:docGrid w:linePitch="312" w:charSpace="0"/>
        </w:sectPr>
      </w:pPr>
    </w:p>
    <w:bookmarkEnd w:id="324"/>
    <w:bookmarkEnd w:id="325"/>
    <w:p>
      <w:pPr>
        <w:keepNext/>
        <w:keepLines/>
        <w:spacing w:before="240" w:beforeLines="100" w:after="360" w:afterLines="150" w:line="360" w:lineRule="auto"/>
        <w:jc w:val="center"/>
        <w:outlineLvl w:val="0"/>
        <w:rPr>
          <w:rFonts w:ascii="宋体" w:hAnsi="宋体"/>
          <w:b/>
          <w:kern w:val="44"/>
          <w:sz w:val="28"/>
          <w:szCs w:val="28"/>
        </w:rPr>
      </w:pPr>
      <w:bookmarkStart w:id="358" w:name="_Toc527722757"/>
      <w:bookmarkStart w:id="359" w:name="_Toc5675"/>
      <w:bookmarkStart w:id="360" w:name="_Toc393471149"/>
      <w:r>
        <w:rPr>
          <w:rFonts w:ascii="宋体" w:hAnsi="宋体" w:cs="方正小标宋简体"/>
          <w:b/>
          <w:kern w:val="44"/>
          <w:sz w:val="28"/>
          <w:szCs w:val="28"/>
        </w:rPr>
        <w:t>A107041</w:t>
      </w:r>
      <w:r>
        <w:rPr>
          <w:rFonts w:hint="eastAsia" w:ascii="宋体" w:hAnsi="宋体" w:cs="方正小标宋简体"/>
          <w:b/>
          <w:kern w:val="44"/>
          <w:sz w:val="28"/>
          <w:szCs w:val="28"/>
        </w:rPr>
        <w:t>《高新技术企业优惠情况及明细表》填报说明</w:t>
      </w:r>
      <w:bookmarkEnd w:id="358"/>
      <w:bookmarkEnd w:id="359"/>
    </w:p>
    <w:p>
      <w:pPr>
        <w:spacing w:line="360" w:lineRule="auto"/>
        <w:ind w:firstLine="523" w:firstLineChars="218"/>
        <w:rPr>
          <w:rFonts w:ascii="宋体"/>
          <w:sz w:val="24"/>
        </w:rPr>
      </w:pPr>
      <w:r>
        <w:rPr>
          <w:rFonts w:hint="eastAsia" w:ascii="宋体" w:hAnsi="宋体" w:cs="宋体"/>
          <w:sz w:val="24"/>
        </w:rPr>
        <w:t>本表适用于具备高新技术企业资格的纳税人填报。纳税人根据税法、《科技部</w:t>
      </w:r>
      <w:r>
        <w:rPr>
          <w:rFonts w:ascii="宋体" w:hAnsi="宋体" w:cs="宋体"/>
          <w:sz w:val="24"/>
        </w:rPr>
        <w:t xml:space="preserve"> </w:t>
      </w:r>
      <w:r>
        <w:rPr>
          <w:rFonts w:hint="eastAsia" w:ascii="宋体" w:hAnsi="宋体" w:cs="宋体"/>
          <w:sz w:val="24"/>
        </w:rPr>
        <w:t>财政部</w:t>
      </w:r>
      <w:r>
        <w:rPr>
          <w:rFonts w:ascii="宋体" w:hAnsi="宋体" w:cs="宋体"/>
          <w:sz w:val="24"/>
        </w:rPr>
        <w:t xml:space="preserve"> </w:t>
      </w:r>
      <w:r>
        <w:rPr>
          <w:rFonts w:hint="eastAsia" w:ascii="宋体" w:hAnsi="宋体" w:cs="宋体"/>
          <w:sz w:val="24"/>
        </w:rPr>
        <w:t>国家税务总局关于修订印发〈高新技术企业认定管理办法〉的通知》（国科发火〔</w:t>
      </w:r>
      <w:r>
        <w:rPr>
          <w:rFonts w:ascii="宋体" w:hAnsi="宋体" w:cs="宋体"/>
          <w:sz w:val="24"/>
        </w:rPr>
        <w:t>2016</w:t>
      </w:r>
      <w:r>
        <w:rPr>
          <w:rFonts w:hint="eastAsia" w:ascii="宋体" w:hAnsi="宋体" w:cs="宋体"/>
          <w:sz w:val="24"/>
        </w:rPr>
        <w:t>〕</w:t>
      </w:r>
      <w:r>
        <w:rPr>
          <w:rFonts w:ascii="宋体" w:hAnsi="宋体" w:cs="宋体"/>
          <w:sz w:val="24"/>
        </w:rPr>
        <w:t>32</w:t>
      </w:r>
      <w:r>
        <w:rPr>
          <w:rFonts w:hint="eastAsia" w:ascii="宋体" w:hAnsi="宋体" w:cs="宋体"/>
          <w:sz w:val="24"/>
        </w:rPr>
        <w:t>号）、《科学技术部</w:t>
      </w:r>
      <w:r>
        <w:rPr>
          <w:rFonts w:ascii="宋体" w:hAnsi="宋体" w:cs="宋体"/>
          <w:sz w:val="24"/>
        </w:rPr>
        <w:t xml:space="preserve"> </w:t>
      </w:r>
      <w:r>
        <w:rPr>
          <w:rFonts w:hint="eastAsia" w:ascii="宋体" w:hAnsi="宋体" w:cs="宋体"/>
          <w:sz w:val="24"/>
        </w:rPr>
        <w:t>财政部</w:t>
      </w:r>
      <w:r>
        <w:rPr>
          <w:rFonts w:ascii="宋体" w:hAnsi="宋体" w:cs="宋体"/>
          <w:sz w:val="24"/>
        </w:rPr>
        <w:t xml:space="preserve"> </w:t>
      </w:r>
      <w:r>
        <w:rPr>
          <w:rFonts w:hint="eastAsia" w:ascii="宋体" w:hAnsi="宋体" w:cs="宋体"/>
          <w:sz w:val="24"/>
        </w:rPr>
        <w:t>国家税务总局关于修订印发〈高新技术企业认定管理工作指引〉的通知》（国科发火〔</w:t>
      </w:r>
      <w:r>
        <w:rPr>
          <w:rFonts w:ascii="宋体" w:hAnsi="宋体" w:cs="宋体"/>
          <w:sz w:val="24"/>
        </w:rPr>
        <w:t>2016</w:t>
      </w:r>
      <w:r>
        <w:rPr>
          <w:rFonts w:hint="eastAsia" w:ascii="宋体" w:hAnsi="宋体" w:cs="宋体"/>
          <w:sz w:val="24"/>
        </w:rPr>
        <w:t>〕</w:t>
      </w:r>
      <w:r>
        <w:rPr>
          <w:rFonts w:ascii="宋体" w:hAnsi="宋体" w:cs="宋体"/>
          <w:sz w:val="24"/>
        </w:rPr>
        <w:t>195</w:t>
      </w:r>
      <w:r>
        <w:rPr>
          <w:rFonts w:hint="eastAsia" w:ascii="宋体" w:hAnsi="宋体" w:cs="宋体"/>
          <w:sz w:val="24"/>
        </w:rPr>
        <w:t>号）、《国家税务总局关于实施高新技术企业所得税优惠政策有关问题的公告》（国家税务总局公告</w:t>
      </w:r>
      <w:r>
        <w:rPr>
          <w:rFonts w:ascii="宋体" w:hAnsi="宋体" w:cs="宋体"/>
          <w:sz w:val="24"/>
        </w:rPr>
        <w:t>2017</w:t>
      </w:r>
      <w:r>
        <w:rPr>
          <w:rFonts w:hint="eastAsia" w:ascii="宋体" w:hAnsi="宋体" w:cs="宋体"/>
          <w:sz w:val="24"/>
        </w:rPr>
        <w:t>年第</w:t>
      </w:r>
      <w:r>
        <w:rPr>
          <w:rFonts w:ascii="宋体" w:hAnsi="宋体" w:cs="宋体"/>
          <w:sz w:val="24"/>
        </w:rPr>
        <w:t>24</w:t>
      </w:r>
      <w:r>
        <w:rPr>
          <w:rFonts w:hint="eastAsia" w:ascii="宋体" w:hAnsi="宋体" w:cs="宋体"/>
          <w:sz w:val="24"/>
        </w:rPr>
        <w:t>号）等相关税收政策规定，填报高新技术企业基本信息和本年优惠情况。不论是否享受优惠政策，高新技术企业资格在有效期内的纳税人均需填报本表。</w:t>
      </w:r>
    </w:p>
    <w:p>
      <w:pPr>
        <w:spacing w:before="120" w:beforeLines="50"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523" w:firstLineChars="218"/>
        <w:rPr>
          <w:snapToGrid w:val="0"/>
          <w:kern w:val="0"/>
          <w:sz w:val="24"/>
        </w:rPr>
      </w:pPr>
      <w:r>
        <w:rPr>
          <w:rFonts w:ascii="宋体" w:hAnsi="宋体" w:cs="宋体"/>
          <w:sz w:val="24"/>
        </w:rPr>
        <w:t>1</w:t>
      </w:r>
      <w:r>
        <w:rPr>
          <w:rFonts w:ascii="宋体" w:cs="宋体"/>
          <w:sz w:val="24"/>
        </w:rPr>
        <w:t>.</w:t>
      </w:r>
      <w:r>
        <w:rPr>
          <w:rFonts w:hint="eastAsia" w:ascii="宋体" w:hAnsi="宋体" w:cs="宋体"/>
          <w:sz w:val="24"/>
        </w:rPr>
        <w:t>第</w:t>
      </w:r>
      <w:r>
        <w:rPr>
          <w:rFonts w:ascii="宋体" w:hAnsi="宋体" w:cs="宋体"/>
          <w:sz w:val="24"/>
        </w:rPr>
        <w:t>1</w:t>
      </w:r>
      <w:r>
        <w:rPr>
          <w:rFonts w:hint="eastAsia" w:ascii="宋体" w:hAnsi="宋体" w:cs="宋体"/>
          <w:sz w:val="24"/>
        </w:rPr>
        <w:t>行至第</w:t>
      </w:r>
      <w:r>
        <w:rPr>
          <w:rFonts w:ascii="宋体" w:hAnsi="宋体" w:cs="宋体"/>
          <w:sz w:val="24"/>
        </w:rPr>
        <w:t>3</w:t>
      </w:r>
      <w:r>
        <w:rPr>
          <w:rFonts w:hint="eastAsia" w:ascii="宋体" w:hAnsi="宋体" w:cs="宋体"/>
          <w:sz w:val="24"/>
        </w:rPr>
        <w:t>行：“企业主要产品（服务）发挥核心支持作用的技术所属范围”：填报对企业主要产品（服务）发挥核心支持作用的技术属于《国家重点支持的高新技术领域》规定的具体范围，填报至三级明细领域，如“一、电子信息技术（一）软件</w:t>
      </w:r>
      <w:r>
        <w:rPr>
          <w:rFonts w:ascii="宋体" w:hAnsi="宋体" w:cs="宋体"/>
          <w:sz w:val="24"/>
        </w:rPr>
        <w:t>1</w:t>
      </w:r>
      <w:r>
        <w:rPr>
          <w:rFonts w:ascii="宋体" w:cs="宋体"/>
          <w:sz w:val="24"/>
        </w:rPr>
        <w:t>.</w:t>
      </w:r>
      <w:r>
        <w:rPr>
          <w:rFonts w:hint="eastAsia" w:ascii="宋体" w:hAnsi="宋体" w:cs="宋体"/>
          <w:sz w:val="24"/>
        </w:rPr>
        <w:t>系统软件”。</w:t>
      </w:r>
    </w:p>
    <w:p>
      <w:pPr>
        <w:spacing w:line="360" w:lineRule="auto"/>
        <w:ind w:firstLine="523" w:firstLineChars="218"/>
        <w:rPr>
          <w:rFonts w:ascii="宋体"/>
          <w:sz w:val="24"/>
        </w:rPr>
      </w:pPr>
      <w:r>
        <w:rPr>
          <w:rFonts w:ascii="宋体" w:hAnsi="宋体" w:cs="宋体"/>
          <w:sz w:val="24"/>
        </w:rPr>
        <w:t>2</w:t>
      </w:r>
      <w:r>
        <w:rPr>
          <w:rFonts w:ascii="宋体" w:cs="宋体"/>
          <w:sz w:val="24"/>
        </w:rPr>
        <w:t>.</w:t>
      </w:r>
      <w:r>
        <w:rPr>
          <w:rFonts w:hint="eastAsia" w:ascii="宋体" w:hAnsi="宋体" w:cs="宋体"/>
          <w:sz w:val="24"/>
        </w:rPr>
        <w:t>第</w:t>
      </w:r>
      <w:r>
        <w:rPr>
          <w:rFonts w:ascii="宋体" w:hAnsi="宋体" w:cs="宋体"/>
          <w:sz w:val="24"/>
        </w:rPr>
        <w:t>4</w:t>
      </w:r>
      <w:r>
        <w:rPr>
          <w:rFonts w:hint="eastAsia" w:ascii="宋体" w:hAnsi="宋体" w:cs="宋体"/>
          <w:sz w:val="24"/>
        </w:rPr>
        <w:t>行“一、本年高新技术产品（服务）收入”：填报第</w:t>
      </w:r>
      <w:r>
        <w:rPr>
          <w:rFonts w:ascii="宋体" w:hAnsi="宋体" w:cs="宋体"/>
          <w:sz w:val="24"/>
        </w:rPr>
        <w:t>5+6</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3</w:t>
      </w:r>
      <w:r>
        <w:rPr>
          <w:rFonts w:ascii="宋体" w:cs="宋体"/>
          <w:sz w:val="24"/>
        </w:rPr>
        <w:t>.</w:t>
      </w:r>
      <w:r>
        <w:rPr>
          <w:rFonts w:hint="eastAsia" w:ascii="宋体" w:hAnsi="宋体" w:cs="宋体"/>
          <w:sz w:val="24"/>
        </w:rPr>
        <w:t>第</w:t>
      </w:r>
      <w:r>
        <w:rPr>
          <w:rFonts w:ascii="宋体" w:hAnsi="宋体" w:cs="宋体"/>
          <w:sz w:val="24"/>
        </w:rPr>
        <w:t>5</w:t>
      </w:r>
      <w:r>
        <w:rPr>
          <w:rFonts w:hint="eastAsia" w:ascii="宋体" w:hAnsi="宋体" w:cs="宋体"/>
          <w:sz w:val="24"/>
        </w:rPr>
        <w:t>行“产品（服务）收入”：填报纳税人本年发挥核心支持作用的技术属于《国家重点支持的高新技术领域》规定范围的产品（服务）收入。</w:t>
      </w:r>
    </w:p>
    <w:p>
      <w:pPr>
        <w:spacing w:line="360" w:lineRule="auto"/>
        <w:ind w:firstLine="523" w:firstLineChars="218"/>
        <w:rPr>
          <w:rFonts w:ascii="宋体"/>
          <w:sz w:val="24"/>
        </w:rPr>
      </w:pPr>
      <w:r>
        <w:rPr>
          <w:rFonts w:ascii="宋体" w:hAnsi="宋体" w:cs="宋体"/>
          <w:sz w:val="24"/>
        </w:rPr>
        <w:t>4</w:t>
      </w:r>
      <w:r>
        <w:rPr>
          <w:rFonts w:ascii="宋体" w:cs="宋体"/>
          <w:sz w:val="24"/>
        </w:rPr>
        <w:t>.</w:t>
      </w:r>
      <w:r>
        <w:rPr>
          <w:rFonts w:hint="eastAsia" w:ascii="宋体" w:hAnsi="宋体" w:cs="宋体"/>
          <w:sz w:val="24"/>
        </w:rPr>
        <w:t>第</w:t>
      </w:r>
      <w:r>
        <w:rPr>
          <w:rFonts w:ascii="宋体" w:hAnsi="宋体" w:cs="宋体"/>
          <w:sz w:val="24"/>
        </w:rPr>
        <w:t>6</w:t>
      </w:r>
      <w:r>
        <w:rPr>
          <w:rFonts w:hint="eastAsia" w:ascii="宋体" w:hAnsi="宋体" w:cs="宋体"/>
          <w:sz w:val="24"/>
        </w:rPr>
        <w:t>行“技术性收入”：包括技术转让收入、技术服务收入和接受委托研究开发收入。</w:t>
      </w:r>
    </w:p>
    <w:p>
      <w:pPr>
        <w:spacing w:line="360" w:lineRule="auto"/>
        <w:ind w:firstLine="523" w:firstLineChars="218"/>
        <w:rPr>
          <w:rFonts w:ascii="宋体"/>
          <w:sz w:val="24"/>
        </w:rPr>
      </w:pPr>
      <w:r>
        <w:rPr>
          <w:rFonts w:ascii="宋体" w:hAnsi="宋体" w:cs="宋体"/>
          <w:sz w:val="24"/>
        </w:rPr>
        <w:t>5</w:t>
      </w:r>
      <w:r>
        <w:rPr>
          <w:rFonts w:ascii="宋体" w:cs="宋体"/>
          <w:sz w:val="24"/>
        </w:rPr>
        <w:t>.</w:t>
      </w:r>
      <w:r>
        <w:rPr>
          <w:rFonts w:hint="eastAsia" w:ascii="宋体" w:hAnsi="宋体" w:cs="宋体"/>
          <w:sz w:val="24"/>
        </w:rPr>
        <w:t>第</w:t>
      </w:r>
      <w:r>
        <w:rPr>
          <w:rFonts w:ascii="宋体" w:hAnsi="宋体" w:cs="宋体"/>
          <w:sz w:val="24"/>
        </w:rPr>
        <w:t>7</w:t>
      </w:r>
      <w:r>
        <w:rPr>
          <w:rFonts w:hint="eastAsia" w:ascii="宋体" w:hAnsi="宋体" w:cs="宋体"/>
          <w:sz w:val="24"/>
        </w:rPr>
        <w:t>行“二、本年企业总收入”：填报第</w:t>
      </w:r>
      <w:r>
        <w:rPr>
          <w:rFonts w:ascii="宋体" w:hAnsi="宋体" w:cs="宋体"/>
          <w:sz w:val="24"/>
        </w:rPr>
        <w:t>8-9</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6</w:t>
      </w:r>
      <w:r>
        <w:rPr>
          <w:rFonts w:asci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行“（一）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spacing w:line="360" w:lineRule="auto"/>
        <w:ind w:firstLine="523" w:firstLineChars="218"/>
        <w:rPr>
          <w:rFonts w:ascii="宋体"/>
          <w:sz w:val="24"/>
        </w:rPr>
      </w:pPr>
      <w:r>
        <w:rPr>
          <w:rFonts w:ascii="宋体" w:hAnsi="宋体" w:cs="宋体"/>
          <w:sz w:val="24"/>
        </w:rPr>
        <w:t>7</w:t>
      </w:r>
      <w:r>
        <w:rPr>
          <w:rFonts w:ascii="宋体" w:cs="宋体"/>
          <w:sz w:val="24"/>
        </w:rPr>
        <w:t>.</w:t>
      </w:r>
      <w:r>
        <w:rPr>
          <w:rFonts w:hint="eastAsia" w:ascii="宋体" w:hAnsi="宋体" w:cs="宋体"/>
          <w:sz w:val="24"/>
        </w:rPr>
        <w:t>第</w:t>
      </w:r>
      <w:r>
        <w:rPr>
          <w:rFonts w:ascii="宋体" w:hAnsi="宋体" w:cs="宋体"/>
          <w:sz w:val="24"/>
        </w:rPr>
        <w:t>9</w:t>
      </w:r>
      <w:r>
        <w:rPr>
          <w:rFonts w:hint="eastAsia" w:ascii="宋体" w:hAnsi="宋体" w:cs="宋体"/>
          <w:sz w:val="24"/>
        </w:rPr>
        <w:t>行“不征税收入”：填报纳税人本年符合相关政策规定的不征税收入。</w:t>
      </w:r>
    </w:p>
    <w:p>
      <w:pPr>
        <w:spacing w:line="360" w:lineRule="auto"/>
        <w:ind w:firstLine="523" w:firstLineChars="218"/>
        <w:rPr>
          <w:rFonts w:ascii="宋体"/>
          <w:sz w:val="24"/>
        </w:rPr>
      </w:pPr>
      <w:r>
        <w:rPr>
          <w:rFonts w:ascii="宋体" w:hAnsi="宋体" w:cs="宋体"/>
          <w:sz w:val="24"/>
        </w:rPr>
        <w:t>8</w:t>
      </w:r>
      <w:r>
        <w:rPr>
          <w:rFonts w:ascii="宋体" w:cs="宋体"/>
          <w:sz w:val="24"/>
        </w:rPr>
        <w:t>.</w:t>
      </w:r>
      <w:r>
        <w:rPr>
          <w:rFonts w:hint="eastAsia" w:ascii="宋体" w:hAnsi="宋体" w:cs="宋体"/>
          <w:sz w:val="24"/>
        </w:rPr>
        <w:t>第</w:t>
      </w:r>
      <w:r>
        <w:rPr>
          <w:rFonts w:ascii="宋体" w:hAnsi="宋体" w:cs="宋体"/>
          <w:sz w:val="24"/>
        </w:rPr>
        <w:t>10</w:t>
      </w:r>
      <w:r>
        <w:rPr>
          <w:rFonts w:hint="eastAsia" w:ascii="宋体" w:hAnsi="宋体" w:cs="宋体"/>
          <w:sz w:val="24"/>
        </w:rPr>
        <w:t>行“三、本年高新技术产品（服务）收入占企业总收入的比例”：填报第</w:t>
      </w:r>
      <w:r>
        <w:rPr>
          <w:rFonts w:ascii="宋体" w:hAnsi="宋体" w:cs="宋体"/>
          <w:sz w:val="24"/>
        </w:rPr>
        <w:t>4</w:t>
      </w:r>
      <w:r>
        <w:rPr>
          <w:rFonts w:hint="eastAsia" w:ascii="宋体" w:hAnsi="宋体" w:cs="宋体"/>
          <w:sz w:val="24"/>
        </w:rPr>
        <w:t>÷</w:t>
      </w:r>
      <w:r>
        <w:rPr>
          <w:rFonts w:ascii="宋体" w:hAnsi="宋体" w:cs="宋体"/>
          <w:sz w:val="24"/>
        </w:rPr>
        <w:t>7</w:t>
      </w:r>
      <w:r>
        <w:rPr>
          <w:rFonts w:hint="eastAsia" w:ascii="宋体" w:hAnsi="宋体" w:cs="宋体"/>
          <w:sz w:val="24"/>
        </w:rPr>
        <w:t>行计算后的比例。</w:t>
      </w:r>
    </w:p>
    <w:p>
      <w:pPr>
        <w:spacing w:line="360" w:lineRule="auto"/>
        <w:ind w:firstLine="523" w:firstLineChars="218"/>
        <w:jc w:val="left"/>
        <w:rPr>
          <w:rFonts w:ascii="宋体"/>
          <w:sz w:val="24"/>
        </w:rPr>
      </w:pPr>
      <w:r>
        <w:rPr>
          <w:rFonts w:ascii="宋体" w:hAnsi="宋体" w:cs="宋体"/>
          <w:sz w:val="24"/>
        </w:rPr>
        <w:t>9</w:t>
      </w:r>
      <w:r>
        <w:rPr>
          <w:rFonts w:ascii="宋体" w:cs="宋体"/>
          <w:sz w:val="24"/>
        </w:rPr>
        <w:t>.</w:t>
      </w:r>
      <w:r>
        <w:rPr>
          <w:rFonts w:hint="eastAsia" w:ascii="宋体" w:hAnsi="宋体" w:cs="宋体"/>
          <w:sz w:val="24"/>
        </w:rPr>
        <w:t>第</w:t>
      </w:r>
      <w:r>
        <w:rPr>
          <w:rFonts w:ascii="宋体" w:hAnsi="宋体" w:cs="宋体"/>
          <w:sz w:val="24"/>
        </w:rPr>
        <w:t>11</w:t>
      </w:r>
      <w:r>
        <w:rPr>
          <w:rFonts w:hint="eastAsia" w:ascii="宋体" w:hAnsi="宋体" w:cs="宋体"/>
          <w:sz w:val="24"/>
        </w:rPr>
        <w:t>行“四、本年科技人员数”：填报纳税人直接从事研发和相关技术创新活动，以及专门从事上述活动的管理和提供直接技术服务的，累计实际工作时间在</w:t>
      </w:r>
      <w:r>
        <w:rPr>
          <w:rFonts w:ascii="宋体" w:hAnsi="宋体" w:cs="宋体"/>
          <w:sz w:val="24"/>
        </w:rPr>
        <w:t>183</w:t>
      </w:r>
      <w:r>
        <w:rPr>
          <w:rFonts w:hint="eastAsia" w:ascii="宋体" w:hAnsi="宋体" w:cs="宋体"/>
          <w:sz w:val="24"/>
        </w:rPr>
        <w:t>天以上的人员，包括在职、兼职和临时聘用人员。</w:t>
      </w:r>
    </w:p>
    <w:p>
      <w:pPr>
        <w:spacing w:line="360" w:lineRule="auto"/>
        <w:ind w:firstLine="523" w:firstLineChars="218"/>
        <w:rPr>
          <w:rFonts w:ascii="宋体"/>
          <w:sz w:val="24"/>
        </w:rPr>
      </w:pPr>
      <w:r>
        <w:rPr>
          <w:rFonts w:ascii="宋体" w:hAnsi="宋体" w:cs="宋体"/>
          <w:sz w:val="24"/>
        </w:rPr>
        <w:t>1</w:t>
      </w:r>
      <w:r>
        <w:rPr>
          <w:rFonts w:ascii="宋体" w:cs="宋体"/>
          <w:sz w:val="24"/>
        </w:rPr>
        <w:t>0.</w:t>
      </w:r>
      <w:r>
        <w:rPr>
          <w:rFonts w:hint="eastAsia" w:ascii="宋体" w:hAnsi="宋体" w:cs="宋体"/>
          <w:sz w:val="24"/>
        </w:rPr>
        <w:t>第</w:t>
      </w:r>
      <w:r>
        <w:rPr>
          <w:rFonts w:ascii="宋体" w:hAnsi="宋体" w:cs="宋体"/>
          <w:sz w:val="24"/>
        </w:rPr>
        <w:t>12</w:t>
      </w:r>
      <w:r>
        <w:rPr>
          <w:rFonts w:hint="eastAsia" w:ascii="宋体" w:hAnsi="宋体" w:cs="宋体"/>
          <w:sz w:val="24"/>
        </w:rPr>
        <w:t>行“五、本年职工总数”：填报纳税人本年在职、兼职和临时聘用人员。在职人员可以通过企业是否签订劳动合同或缴纳社会保险费来判断。兼职、临时聘用人员全年须在企业累计工作</w:t>
      </w:r>
      <w:r>
        <w:rPr>
          <w:rFonts w:ascii="宋体" w:hAnsi="宋体" w:cs="宋体"/>
          <w:sz w:val="24"/>
        </w:rPr>
        <w:t>183</w:t>
      </w:r>
      <w:r>
        <w:rPr>
          <w:rFonts w:hint="eastAsia" w:ascii="宋体" w:hAnsi="宋体" w:cs="宋体"/>
          <w:sz w:val="24"/>
        </w:rPr>
        <w:t>天以上。</w:t>
      </w:r>
    </w:p>
    <w:p>
      <w:pPr>
        <w:spacing w:line="360" w:lineRule="auto"/>
        <w:ind w:firstLine="523" w:firstLineChars="218"/>
        <w:jc w:val="left"/>
        <w:rPr>
          <w:rFonts w:ascii="宋体"/>
          <w:sz w:val="24"/>
        </w:rPr>
      </w:pPr>
      <w:r>
        <w:rPr>
          <w:rFonts w:ascii="宋体" w:hAnsi="宋体" w:cs="宋体"/>
          <w:sz w:val="24"/>
        </w:rPr>
        <w:t>11</w:t>
      </w:r>
      <w:r>
        <w:rPr>
          <w:rFonts w:ascii="宋体" w:cs="宋体"/>
          <w:sz w:val="24"/>
        </w:rPr>
        <w:t>.</w:t>
      </w:r>
      <w:r>
        <w:rPr>
          <w:rFonts w:hint="eastAsia" w:ascii="宋体" w:hAnsi="宋体" w:cs="宋体"/>
          <w:sz w:val="24"/>
        </w:rPr>
        <w:t>第</w:t>
      </w:r>
      <w:r>
        <w:rPr>
          <w:rFonts w:ascii="宋体" w:hAnsi="宋体" w:cs="宋体"/>
          <w:sz w:val="24"/>
        </w:rPr>
        <w:t>13</w:t>
      </w:r>
      <w:r>
        <w:rPr>
          <w:rFonts w:hint="eastAsia" w:ascii="宋体" w:hAnsi="宋体" w:cs="宋体"/>
          <w:sz w:val="24"/>
        </w:rPr>
        <w:t>行“六、本年科技人员占企业当年职工总数的比例”：填报第</w:t>
      </w:r>
      <w:r>
        <w:rPr>
          <w:rFonts w:ascii="宋体" w:hAnsi="宋体" w:cs="宋体"/>
          <w:sz w:val="24"/>
        </w:rPr>
        <w:t>11</w:t>
      </w:r>
      <w:r>
        <w:rPr>
          <w:rFonts w:hint="eastAsia" w:ascii="宋体" w:hAnsi="宋体" w:cs="宋体"/>
          <w:sz w:val="24"/>
        </w:rPr>
        <w:t>÷</w:t>
      </w:r>
      <w:r>
        <w:rPr>
          <w:rFonts w:ascii="宋体" w:hAnsi="宋体" w:cs="宋体"/>
          <w:sz w:val="24"/>
        </w:rPr>
        <w:t>12</w:t>
      </w:r>
      <w:r>
        <w:rPr>
          <w:rFonts w:hint="eastAsia" w:ascii="宋体" w:hAnsi="宋体" w:cs="宋体"/>
          <w:sz w:val="24"/>
        </w:rPr>
        <w:t>行的比例。</w:t>
      </w:r>
    </w:p>
    <w:p>
      <w:pPr>
        <w:spacing w:line="360" w:lineRule="auto"/>
        <w:ind w:firstLine="523" w:firstLineChars="218"/>
        <w:jc w:val="left"/>
        <w:rPr>
          <w:rFonts w:hint="eastAsia" w:ascii="宋体" w:hAnsi="宋体" w:cs="宋体"/>
          <w:sz w:val="24"/>
        </w:rPr>
      </w:pPr>
      <w:r>
        <w:rPr>
          <w:rFonts w:ascii="宋体" w:hAnsi="宋体" w:cs="宋体"/>
          <w:sz w:val="24"/>
        </w:rPr>
        <w:t>12</w:t>
      </w:r>
      <w:r>
        <w:rPr>
          <w:rFonts w:ascii="宋体" w:cs="宋体"/>
          <w:sz w:val="24"/>
        </w:rPr>
        <w:t>.</w:t>
      </w:r>
      <w:r>
        <w:rPr>
          <w:rFonts w:hint="eastAsia" w:ascii="宋体" w:hAnsi="宋体" w:cs="宋体"/>
          <w:sz w:val="24"/>
        </w:rPr>
        <w:t>第</w:t>
      </w:r>
      <w:r>
        <w:rPr>
          <w:rFonts w:ascii="宋体" w:hAnsi="宋体" w:cs="宋体"/>
          <w:sz w:val="24"/>
        </w:rPr>
        <w:t>14</w:t>
      </w:r>
      <w:r>
        <w:rPr>
          <w:rFonts w:hint="eastAsia" w:ascii="宋体" w:hAnsi="宋体" w:cs="宋体"/>
          <w:sz w:val="24"/>
        </w:rPr>
        <w:t>行“高新研发费用归集年度”：本行无填报事项。</w:t>
      </w:r>
    </w:p>
    <w:p>
      <w:pPr>
        <w:spacing w:line="360" w:lineRule="auto"/>
        <w:ind w:firstLine="523" w:firstLineChars="218"/>
        <w:jc w:val="left"/>
        <w:rPr>
          <w:rFonts w:ascii="宋体"/>
          <w:sz w:val="24"/>
        </w:rPr>
      </w:pPr>
      <w:r>
        <w:rPr>
          <w:rFonts w:hint="eastAsia" w:ascii="宋体" w:hAnsi="宋体" w:cs="宋体"/>
          <w:sz w:val="24"/>
        </w:rPr>
        <w:t>与计算研发费比例相关的第</w:t>
      </w:r>
      <w:r>
        <w:rPr>
          <w:rFonts w:ascii="宋体" w:hAnsi="宋体" w:cs="宋体"/>
          <w:sz w:val="24"/>
        </w:rPr>
        <w:t>15</w:t>
      </w:r>
      <w:r>
        <w:rPr>
          <w:rFonts w:hint="eastAsia" w:ascii="宋体" w:hAnsi="宋体" w:cs="宋体"/>
          <w:sz w:val="24"/>
        </w:rPr>
        <w:t>行至第</w:t>
      </w:r>
      <w:r>
        <w:rPr>
          <w:rFonts w:ascii="宋体" w:hAnsi="宋体" w:cs="宋体"/>
          <w:sz w:val="24"/>
        </w:rPr>
        <w:t>29</w:t>
      </w:r>
      <w:r>
        <w:rPr>
          <w:rFonts w:hint="eastAsia" w:ascii="宋体" w:hAnsi="宋体" w:cs="宋体"/>
          <w:sz w:val="24"/>
        </w:rPr>
        <w:t>行需填报三年数据，实际经营不满三年的按实际经营时间填报。</w:t>
      </w:r>
    </w:p>
    <w:p>
      <w:pPr>
        <w:spacing w:line="360" w:lineRule="auto"/>
        <w:ind w:firstLine="523" w:firstLineChars="218"/>
        <w:rPr>
          <w:rFonts w:ascii="宋体"/>
          <w:sz w:val="24"/>
        </w:rPr>
      </w:pPr>
      <w:r>
        <w:rPr>
          <w:rFonts w:ascii="宋体" w:hAnsi="宋体" w:cs="宋体"/>
          <w:sz w:val="24"/>
        </w:rPr>
        <w:t>13</w:t>
      </w:r>
      <w:r>
        <w:rPr>
          <w:rFonts w:ascii="宋体" w:cs="宋体"/>
          <w:sz w:val="24"/>
        </w:rPr>
        <w:t>.</w:t>
      </w:r>
      <w:r>
        <w:rPr>
          <w:rFonts w:hint="eastAsia" w:ascii="宋体" w:hAnsi="宋体" w:cs="宋体"/>
          <w:sz w:val="24"/>
        </w:rPr>
        <w:t>第</w:t>
      </w:r>
      <w:r>
        <w:rPr>
          <w:rFonts w:ascii="宋体" w:hAnsi="宋体" w:cs="宋体"/>
          <w:sz w:val="24"/>
        </w:rPr>
        <w:t>15</w:t>
      </w:r>
      <w:r>
        <w:rPr>
          <w:rFonts w:hint="eastAsia" w:ascii="宋体" w:hAnsi="宋体" w:cs="宋体"/>
          <w:sz w:val="24"/>
        </w:rPr>
        <w:t>行“七、本年归集的高新研发费用金额”：填报第</w:t>
      </w:r>
      <w:r>
        <w:rPr>
          <w:rFonts w:ascii="宋体" w:hAnsi="宋体" w:cs="宋体"/>
          <w:sz w:val="24"/>
        </w:rPr>
        <w:t>16+25</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14</w:t>
      </w:r>
      <w:r>
        <w:rPr>
          <w:rFonts w:ascii="宋体" w:cs="宋体"/>
          <w:sz w:val="24"/>
        </w:rPr>
        <w:t>.</w:t>
      </w:r>
      <w:r>
        <w:rPr>
          <w:rFonts w:hint="eastAsia" w:ascii="宋体" w:hAnsi="宋体" w:cs="宋体"/>
          <w:sz w:val="24"/>
        </w:rPr>
        <w:t>第</w:t>
      </w:r>
      <w:r>
        <w:rPr>
          <w:rFonts w:ascii="宋体" w:hAnsi="宋体" w:cs="宋体"/>
          <w:sz w:val="24"/>
        </w:rPr>
        <w:t>16</w:t>
      </w:r>
      <w:r>
        <w:rPr>
          <w:rFonts w:hint="eastAsia" w:ascii="宋体" w:hAnsi="宋体" w:cs="宋体"/>
          <w:sz w:val="24"/>
        </w:rPr>
        <w:t>行“（一）内部研究开发投入”：填报第</w:t>
      </w:r>
      <w:r>
        <w:rPr>
          <w:rFonts w:ascii="宋体" w:hAnsi="宋体" w:cs="宋体"/>
          <w:sz w:val="24"/>
        </w:rPr>
        <w:t>17+18+19+20+21+22+24</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15</w:t>
      </w:r>
      <w:r>
        <w:rPr>
          <w:rFonts w:ascii="宋体" w:cs="宋体"/>
          <w:sz w:val="24"/>
        </w:rPr>
        <w:t>.</w:t>
      </w:r>
      <w:r>
        <w:rPr>
          <w:rFonts w:hint="eastAsia" w:ascii="宋体" w:hAnsi="宋体" w:cs="宋体"/>
          <w:sz w:val="24"/>
        </w:rPr>
        <w:t>第</w:t>
      </w:r>
      <w:r>
        <w:rPr>
          <w:rFonts w:ascii="宋体" w:hAnsi="宋体" w:cs="宋体"/>
          <w:sz w:val="24"/>
        </w:rPr>
        <w:t>17</w:t>
      </w:r>
      <w:r>
        <w:rPr>
          <w:rFonts w:hint="eastAsia" w:ascii="宋体" w:hAnsi="宋体" w:cs="宋体"/>
          <w:sz w:val="24"/>
        </w:rPr>
        <w:t>行“</w:t>
      </w:r>
      <w:r>
        <w:rPr>
          <w:rFonts w:ascii="宋体" w:hAnsi="宋体" w:cs="宋体"/>
          <w:sz w:val="24"/>
        </w:rPr>
        <w:t>1.</w:t>
      </w:r>
      <w:r>
        <w:rPr>
          <w:rFonts w:hint="eastAsia" w:ascii="宋体" w:hAnsi="宋体" w:cs="宋体"/>
          <w:sz w:val="24"/>
        </w:rPr>
        <w:t>人员人工费用”：填报纳税人科技人员的工资薪金、基本养老保险费、基本医疗保险费、失业保险费、工伤保险费、生育保险费和住房公积金，以及外聘科技人员的劳务费用。</w:t>
      </w:r>
    </w:p>
    <w:p>
      <w:pPr>
        <w:spacing w:line="360" w:lineRule="auto"/>
        <w:ind w:firstLine="523" w:firstLineChars="218"/>
        <w:rPr>
          <w:rFonts w:ascii="宋体"/>
          <w:sz w:val="24"/>
        </w:rPr>
      </w:pPr>
      <w:r>
        <w:rPr>
          <w:rFonts w:ascii="宋体" w:hAnsi="宋体" w:cs="宋体"/>
          <w:sz w:val="24"/>
        </w:rPr>
        <w:t>16</w:t>
      </w:r>
      <w:r>
        <w:rPr>
          <w:rFonts w:ascii="宋体" w:cs="宋体"/>
          <w:sz w:val="24"/>
        </w:rPr>
        <w:t>.</w:t>
      </w:r>
      <w:r>
        <w:rPr>
          <w:rFonts w:hint="eastAsia" w:ascii="宋体" w:hAnsi="宋体" w:cs="宋体"/>
          <w:sz w:val="24"/>
        </w:rPr>
        <w:t>第</w:t>
      </w:r>
      <w:r>
        <w:rPr>
          <w:rFonts w:ascii="宋体" w:hAnsi="宋体" w:cs="宋体"/>
          <w:sz w:val="24"/>
        </w:rPr>
        <w:t>18</w:t>
      </w:r>
      <w:r>
        <w:rPr>
          <w:rFonts w:hint="eastAsia" w:ascii="宋体" w:hAnsi="宋体" w:cs="宋体"/>
          <w:sz w:val="24"/>
        </w:rPr>
        <w:t>行“</w:t>
      </w:r>
      <w:r>
        <w:rPr>
          <w:rFonts w:ascii="宋体" w:hAnsi="宋体" w:cs="宋体"/>
          <w:sz w:val="24"/>
        </w:rPr>
        <w:t>2.</w:t>
      </w:r>
      <w:r>
        <w:rPr>
          <w:rFonts w:hint="eastAsia" w:ascii="宋体" w:hAnsi="宋体" w:cs="宋体"/>
          <w:sz w:val="24"/>
        </w:rPr>
        <w:t>直接投入费用”：填报纳税人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发活动的固定资产租赁费。</w:t>
      </w:r>
    </w:p>
    <w:p>
      <w:pPr>
        <w:spacing w:line="360" w:lineRule="auto"/>
        <w:ind w:firstLine="523" w:firstLineChars="218"/>
        <w:rPr>
          <w:rFonts w:ascii="宋体"/>
          <w:sz w:val="24"/>
        </w:rPr>
      </w:pPr>
      <w:r>
        <w:rPr>
          <w:rFonts w:ascii="宋体" w:hAnsi="宋体" w:cs="宋体"/>
          <w:sz w:val="24"/>
        </w:rPr>
        <w:t>17</w:t>
      </w:r>
      <w:r>
        <w:rPr>
          <w:rFonts w:ascii="宋体" w:cs="宋体"/>
          <w:sz w:val="24"/>
        </w:rPr>
        <w:t>.</w:t>
      </w:r>
      <w:r>
        <w:rPr>
          <w:rFonts w:hint="eastAsia" w:ascii="宋体" w:hAnsi="宋体" w:cs="宋体"/>
          <w:sz w:val="24"/>
        </w:rPr>
        <w:t>第</w:t>
      </w:r>
      <w:r>
        <w:rPr>
          <w:rFonts w:ascii="宋体" w:hAnsi="宋体" w:cs="宋体"/>
          <w:sz w:val="24"/>
        </w:rPr>
        <w:t>19</w:t>
      </w:r>
      <w:r>
        <w:rPr>
          <w:rFonts w:hint="eastAsia" w:ascii="宋体" w:hAnsi="宋体" w:cs="宋体"/>
          <w:sz w:val="24"/>
        </w:rPr>
        <w:t>行“</w:t>
      </w:r>
      <w:r>
        <w:rPr>
          <w:rFonts w:ascii="宋体" w:hAnsi="宋体" w:cs="宋体"/>
          <w:sz w:val="24"/>
        </w:rPr>
        <w:t>3.</w:t>
      </w:r>
      <w:r>
        <w:rPr>
          <w:rFonts w:hint="eastAsia" w:ascii="宋体" w:hAnsi="宋体" w:cs="宋体"/>
          <w:sz w:val="24"/>
        </w:rPr>
        <w:t>折旧费用与长期待摊费用”：填报纳税人用于研究开发活动的仪器、设备和在用建筑物的折旧费；研发设施的改建、改装、装修和修理过程中发生的长期待摊费用。</w:t>
      </w:r>
    </w:p>
    <w:p>
      <w:pPr>
        <w:spacing w:line="360" w:lineRule="auto"/>
        <w:ind w:firstLine="523" w:firstLineChars="218"/>
        <w:rPr>
          <w:rFonts w:ascii="宋体"/>
          <w:sz w:val="24"/>
        </w:rPr>
      </w:pPr>
      <w:r>
        <w:rPr>
          <w:rFonts w:ascii="宋体" w:hAnsi="宋体" w:cs="宋体"/>
          <w:sz w:val="24"/>
        </w:rPr>
        <w:t>18</w:t>
      </w:r>
      <w:r>
        <w:rPr>
          <w:rFonts w:ascii="宋体" w:cs="宋体"/>
          <w:sz w:val="24"/>
        </w:rPr>
        <w:t>.</w:t>
      </w:r>
      <w:r>
        <w:rPr>
          <w:rFonts w:hint="eastAsia" w:ascii="宋体" w:hAnsi="宋体" w:cs="宋体"/>
          <w:sz w:val="24"/>
        </w:rPr>
        <w:t>第</w:t>
      </w:r>
      <w:r>
        <w:rPr>
          <w:rFonts w:ascii="宋体" w:hAnsi="宋体" w:cs="宋体"/>
          <w:sz w:val="24"/>
        </w:rPr>
        <w:t>20</w:t>
      </w:r>
      <w:r>
        <w:rPr>
          <w:rFonts w:hint="eastAsia" w:ascii="宋体" w:hAnsi="宋体" w:cs="宋体"/>
          <w:sz w:val="24"/>
        </w:rPr>
        <w:t>行“</w:t>
      </w:r>
      <w:r>
        <w:rPr>
          <w:rFonts w:ascii="宋体" w:hAnsi="宋体" w:cs="宋体"/>
          <w:sz w:val="24"/>
        </w:rPr>
        <w:t>4.</w:t>
      </w:r>
      <w:r>
        <w:rPr>
          <w:rFonts w:hint="eastAsia" w:ascii="宋体" w:hAnsi="宋体" w:cs="宋体"/>
          <w:sz w:val="24"/>
        </w:rPr>
        <w:t>无形资产摊销费用”：填报纳税人用于研究开发活动的软件、知识产权、非专利技术（专有技术、许可证、设计和计算方法等）的摊销费用。</w:t>
      </w:r>
    </w:p>
    <w:p>
      <w:pPr>
        <w:spacing w:line="360" w:lineRule="auto"/>
        <w:ind w:firstLine="523" w:firstLineChars="218"/>
        <w:rPr>
          <w:rFonts w:ascii="宋体"/>
          <w:sz w:val="24"/>
        </w:rPr>
      </w:pPr>
      <w:r>
        <w:rPr>
          <w:rFonts w:ascii="宋体" w:hAnsi="宋体" w:cs="宋体"/>
          <w:sz w:val="24"/>
        </w:rPr>
        <w:t>19</w:t>
      </w:r>
      <w:r>
        <w:rPr>
          <w:rFonts w:ascii="宋体" w:cs="宋体"/>
          <w:sz w:val="24"/>
        </w:rPr>
        <w:t>.</w:t>
      </w:r>
      <w:r>
        <w:rPr>
          <w:rFonts w:hint="eastAsia" w:ascii="宋体" w:hAnsi="宋体" w:cs="宋体"/>
          <w:sz w:val="24"/>
        </w:rPr>
        <w:t>第</w:t>
      </w:r>
      <w:r>
        <w:rPr>
          <w:rFonts w:ascii="宋体" w:hAnsi="宋体" w:cs="宋体"/>
          <w:sz w:val="24"/>
        </w:rPr>
        <w:t>21</w:t>
      </w:r>
      <w:r>
        <w:rPr>
          <w:rFonts w:hint="eastAsia" w:ascii="宋体" w:hAnsi="宋体" w:cs="宋体"/>
          <w:sz w:val="24"/>
        </w:rPr>
        <w:t>行“</w:t>
      </w:r>
      <w:r>
        <w:rPr>
          <w:rFonts w:ascii="宋体" w:hAnsi="宋体" w:cs="宋体"/>
          <w:sz w:val="24"/>
        </w:rPr>
        <w:t>5.</w:t>
      </w:r>
      <w:r>
        <w:rPr>
          <w:rFonts w:hint="eastAsia" w:ascii="宋体" w:hAnsi="宋体" w:cs="宋体"/>
          <w:sz w:val="24"/>
        </w:rPr>
        <w:t>设计费用”：填报纳税人为新产品和新工艺进行构思、开发和制造，进行工序、技术规范、规程制定、操作特性方面的设计等发生的费用，包括为获得创新性、创意性、突破性产品进行的创意设计活动发生的相关费用。</w:t>
      </w:r>
    </w:p>
    <w:p>
      <w:pPr>
        <w:spacing w:line="360" w:lineRule="auto"/>
        <w:ind w:firstLine="523" w:firstLineChars="218"/>
        <w:rPr>
          <w:rFonts w:ascii="宋体"/>
          <w:sz w:val="24"/>
        </w:rPr>
      </w:pPr>
      <w:r>
        <w:rPr>
          <w:rFonts w:ascii="宋体" w:hAnsi="宋体" w:cs="宋体"/>
          <w:sz w:val="24"/>
        </w:rPr>
        <w:t>2</w:t>
      </w:r>
      <w:r>
        <w:rPr>
          <w:rFonts w:ascii="宋体" w:cs="宋体"/>
          <w:sz w:val="24"/>
        </w:rPr>
        <w:t>0.</w:t>
      </w:r>
      <w:r>
        <w:rPr>
          <w:rFonts w:hint="eastAsia" w:ascii="宋体" w:hAnsi="宋体" w:cs="宋体"/>
          <w:sz w:val="24"/>
        </w:rPr>
        <w:t>第</w:t>
      </w:r>
      <w:r>
        <w:rPr>
          <w:rFonts w:ascii="宋体" w:hAnsi="宋体" w:cs="宋体"/>
          <w:sz w:val="24"/>
        </w:rPr>
        <w:t>22</w:t>
      </w:r>
      <w:r>
        <w:rPr>
          <w:rFonts w:hint="eastAsia" w:ascii="宋体" w:hAnsi="宋体" w:cs="宋体"/>
          <w:sz w:val="24"/>
        </w:rPr>
        <w:t>行“</w:t>
      </w:r>
      <w:r>
        <w:rPr>
          <w:rFonts w:ascii="宋体" w:hAnsi="宋体" w:cs="宋体"/>
          <w:sz w:val="24"/>
        </w:rPr>
        <w:t>6.</w:t>
      </w:r>
      <w:r>
        <w:rPr>
          <w:rFonts w:hint="eastAsia" w:ascii="宋体" w:hAnsi="宋体" w:cs="宋体"/>
          <w:sz w:val="24"/>
        </w:rPr>
        <w:t>装备调试费与实验费用”：填报纳税人工装准备过程中研究开发活动所发生的费用，包括研制特殊、专用的生产机器，改变生产和质量控制程序，或制定新方法及标准等活动所发生的费用。</w:t>
      </w:r>
    </w:p>
    <w:p>
      <w:pPr>
        <w:spacing w:line="360" w:lineRule="auto"/>
        <w:ind w:firstLine="523" w:firstLineChars="218"/>
        <w:rPr>
          <w:rFonts w:ascii="宋体"/>
          <w:sz w:val="24"/>
        </w:rPr>
      </w:pPr>
      <w:r>
        <w:rPr>
          <w:rFonts w:ascii="宋体" w:hAnsi="宋体" w:cs="宋体"/>
          <w:sz w:val="24"/>
        </w:rPr>
        <w:t>21</w:t>
      </w:r>
      <w:r>
        <w:rPr>
          <w:rFonts w:ascii="宋体" w:cs="宋体"/>
          <w:sz w:val="24"/>
        </w:rPr>
        <w:t>.</w:t>
      </w:r>
      <w:r>
        <w:rPr>
          <w:rFonts w:hint="eastAsia" w:ascii="宋体" w:hAnsi="宋体" w:cs="宋体"/>
          <w:sz w:val="24"/>
        </w:rPr>
        <w:t>第</w:t>
      </w:r>
      <w:r>
        <w:rPr>
          <w:rFonts w:ascii="宋体" w:hAnsi="宋体" w:cs="宋体"/>
          <w:sz w:val="24"/>
        </w:rPr>
        <w:t>23</w:t>
      </w:r>
      <w:r>
        <w:rPr>
          <w:rFonts w:hint="eastAsia" w:ascii="宋体" w:hAnsi="宋体" w:cs="宋体"/>
          <w:sz w:val="24"/>
        </w:rPr>
        <w:t>行“</w:t>
      </w:r>
      <w:r>
        <w:rPr>
          <w:rFonts w:ascii="宋体" w:hAnsi="宋体" w:cs="宋体"/>
          <w:sz w:val="24"/>
        </w:rPr>
        <w:t>7.</w:t>
      </w:r>
      <w:r>
        <w:rPr>
          <w:rFonts w:hint="eastAsia" w:ascii="宋体" w:hAnsi="宋体" w:cs="宋体"/>
          <w:sz w:val="24"/>
        </w:rPr>
        <w:t>其他费用”：填报纳税人与研究开发活动直接相关的其他费用，包括技术图书资料费、资料翻译费、专家咨询费、高新科技研发保险费，研发成果的检索、论证、评审、鉴定、验收费用，知识产权的申请费、注册费、代理费，会议费、差旅费、通讯费等。</w:t>
      </w:r>
    </w:p>
    <w:p>
      <w:pPr>
        <w:spacing w:line="360" w:lineRule="auto"/>
        <w:ind w:firstLine="523" w:firstLineChars="218"/>
        <w:rPr>
          <w:rFonts w:ascii="宋体"/>
          <w:sz w:val="24"/>
        </w:rPr>
      </w:pPr>
      <w:r>
        <w:rPr>
          <w:rFonts w:ascii="宋体" w:hAnsi="宋体" w:cs="宋体"/>
          <w:sz w:val="24"/>
        </w:rPr>
        <w:t>22</w:t>
      </w:r>
      <w:r>
        <w:rPr>
          <w:rFonts w:ascii="宋体" w:cs="宋体"/>
          <w:sz w:val="24"/>
        </w:rPr>
        <w:t>.</w:t>
      </w:r>
      <w:r>
        <w:rPr>
          <w:rFonts w:hint="eastAsia" w:ascii="宋体" w:hAnsi="宋体" w:cs="宋体"/>
          <w:sz w:val="24"/>
        </w:rPr>
        <w:t>第</w:t>
      </w:r>
      <w:r>
        <w:rPr>
          <w:rFonts w:ascii="宋体" w:hAnsi="宋体" w:cs="宋体"/>
          <w:sz w:val="24"/>
        </w:rPr>
        <w:t>24</w:t>
      </w:r>
      <w:r>
        <w:rPr>
          <w:rFonts w:hint="eastAsia" w:ascii="宋体" w:hAnsi="宋体" w:cs="宋体"/>
          <w:sz w:val="24"/>
        </w:rPr>
        <w:t>行“可计入研发费用的其他费用”：填报</w:t>
      </w:r>
      <w:r>
        <w:rPr>
          <w:rFonts w:hint="eastAsia" w:cs="宋体"/>
          <w:sz w:val="24"/>
        </w:rPr>
        <w:t>纳税人为研究开发活动所发生的</w:t>
      </w:r>
      <w:r>
        <w:rPr>
          <w:rFonts w:hint="eastAsia" w:ascii="宋体" w:hAnsi="宋体" w:cs="宋体"/>
          <w:sz w:val="24"/>
        </w:rPr>
        <w:t>其他费用中不超过研究开发总费用的</w:t>
      </w:r>
      <w:r>
        <w:rPr>
          <w:rFonts w:ascii="宋体" w:hAnsi="宋体" w:cs="宋体"/>
          <w:sz w:val="24"/>
        </w:rPr>
        <w:t>20%</w:t>
      </w:r>
      <w:r>
        <w:rPr>
          <w:rFonts w:hint="eastAsia" w:ascii="宋体" w:hAnsi="宋体" w:cs="宋体"/>
          <w:sz w:val="24"/>
        </w:rPr>
        <w:t>的金额，按第</w:t>
      </w:r>
      <w:r>
        <w:rPr>
          <w:rFonts w:ascii="宋体" w:hAnsi="宋体" w:cs="宋体"/>
          <w:sz w:val="24"/>
        </w:rPr>
        <w:t>17</w:t>
      </w:r>
      <w:r>
        <w:rPr>
          <w:rFonts w:hint="eastAsia" w:ascii="宋体" w:hAnsi="宋体" w:cs="宋体"/>
          <w:sz w:val="24"/>
        </w:rPr>
        <w:t>行至第</w:t>
      </w:r>
      <w:r>
        <w:rPr>
          <w:rFonts w:ascii="宋体" w:hAnsi="宋体" w:cs="宋体"/>
          <w:sz w:val="24"/>
        </w:rPr>
        <w:t>22</w:t>
      </w:r>
      <w:r>
        <w:rPr>
          <w:rFonts w:hint="eastAsia" w:ascii="宋体" w:hAnsi="宋体" w:cs="宋体"/>
          <w:sz w:val="24"/>
        </w:rPr>
        <w:t>行之和×</w:t>
      </w:r>
      <w:r>
        <w:rPr>
          <w:rFonts w:ascii="宋体" w:hAnsi="宋体" w:cs="宋体"/>
          <w:sz w:val="24"/>
        </w:rPr>
        <w:t>20%</w:t>
      </w:r>
      <w:r>
        <w:rPr>
          <w:rFonts w:hint="eastAsia" w:ascii="宋体" w:hAnsi="宋体" w:cs="宋体"/>
          <w:sz w:val="24"/>
        </w:rPr>
        <w:t>÷</w:t>
      </w:r>
      <w:r>
        <w:rPr>
          <w:rFonts w:ascii="宋体" w:hAnsi="宋体" w:cs="宋体"/>
          <w:sz w:val="24"/>
        </w:rPr>
        <w:t>(1-20%)</w:t>
      </w:r>
      <w:r>
        <w:rPr>
          <w:rFonts w:hint="eastAsia" w:ascii="宋体" w:hAnsi="宋体" w:cs="宋体"/>
          <w:sz w:val="24"/>
        </w:rPr>
        <w:t>与第</w:t>
      </w:r>
      <w:r>
        <w:rPr>
          <w:rFonts w:ascii="宋体" w:hAnsi="宋体" w:cs="宋体"/>
          <w:sz w:val="24"/>
        </w:rPr>
        <w:t>23</w:t>
      </w:r>
      <w:r>
        <w:rPr>
          <w:rFonts w:hint="eastAsia" w:ascii="宋体" w:hAnsi="宋体" w:cs="宋体"/>
          <w:sz w:val="24"/>
        </w:rPr>
        <w:t>行的孰小值填报。</w:t>
      </w:r>
    </w:p>
    <w:p>
      <w:pPr>
        <w:spacing w:line="360" w:lineRule="auto"/>
        <w:ind w:firstLine="523" w:firstLineChars="218"/>
        <w:rPr>
          <w:rFonts w:ascii="宋体"/>
          <w:sz w:val="24"/>
        </w:rPr>
      </w:pPr>
      <w:r>
        <w:rPr>
          <w:rFonts w:ascii="宋体" w:hAnsi="宋体" w:cs="宋体"/>
          <w:sz w:val="24"/>
        </w:rPr>
        <w:t>23</w:t>
      </w:r>
      <w:r>
        <w:rPr>
          <w:rFonts w:ascii="宋体" w:cs="宋体"/>
          <w:sz w:val="24"/>
        </w:rPr>
        <w:t>.</w:t>
      </w:r>
      <w:r>
        <w:rPr>
          <w:rFonts w:hint="eastAsia" w:ascii="宋体" w:hAnsi="宋体" w:cs="宋体"/>
          <w:sz w:val="24"/>
        </w:rPr>
        <w:t>第</w:t>
      </w:r>
      <w:r>
        <w:rPr>
          <w:rFonts w:ascii="宋体" w:hAnsi="宋体" w:cs="宋体"/>
          <w:sz w:val="24"/>
        </w:rPr>
        <w:t>25</w:t>
      </w:r>
      <w:r>
        <w:rPr>
          <w:rFonts w:hint="eastAsia" w:ascii="宋体" w:hAnsi="宋体" w:cs="宋体"/>
          <w:sz w:val="24"/>
        </w:rPr>
        <w:t>行“（二）委托外部研发费用”：填报纳税人委托境内外其他机构或个人进行研究开发活动所发生的费用（研究开发活动成果为委托方企业拥有，且与该企业的主要经营业务紧密相关）。委托外部研发费用的实际发生额应按照独立交易原则确定，实际发生额的</w:t>
      </w:r>
      <w:r>
        <w:rPr>
          <w:rFonts w:ascii="宋体" w:hAnsi="宋体" w:cs="宋体"/>
          <w:sz w:val="24"/>
        </w:rPr>
        <w:t>80%</w:t>
      </w:r>
      <w:r>
        <w:rPr>
          <w:rFonts w:hint="eastAsia" w:ascii="宋体" w:hAnsi="宋体" w:cs="宋体"/>
          <w:sz w:val="24"/>
        </w:rPr>
        <w:t>可计入委托方研发费用总额。本行填报（第</w:t>
      </w:r>
      <w:r>
        <w:rPr>
          <w:rFonts w:ascii="宋体" w:hAnsi="宋体" w:cs="宋体"/>
          <w:sz w:val="24"/>
        </w:rPr>
        <w:t>26+28</w:t>
      </w:r>
      <w:r>
        <w:rPr>
          <w:rFonts w:hint="eastAsia" w:ascii="宋体" w:hAnsi="宋体" w:cs="宋体"/>
          <w:sz w:val="24"/>
        </w:rPr>
        <w:t>行）×</w:t>
      </w:r>
      <w:r>
        <w:rPr>
          <w:rFonts w:ascii="宋体" w:hAnsi="宋体" w:cs="宋体"/>
          <w:sz w:val="24"/>
        </w:rPr>
        <w:t>80%</w:t>
      </w:r>
      <w:r>
        <w:rPr>
          <w:rFonts w:hint="eastAsia" w:ascii="宋体" w:hAnsi="宋体" w:cs="宋体"/>
          <w:sz w:val="24"/>
        </w:rPr>
        <w:t>的金额。</w:t>
      </w:r>
    </w:p>
    <w:p>
      <w:pPr>
        <w:spacing w:line="360" w:lineRule="auto"/>
        <w:ind w:firstLine="523" w:firstLineChars="218"/>
        <w:rPr>
          <w:rFonts w:ascii="宋体"/>
          <w:sz w:val="24"/>
        </w:rPr>
      </w:pPr>
      <w:r>
        <w:rPr>
          <w:rFonts w:ascii="宋体" w:hAnsi="宋体" w:cs="宋体"/>
          <w:sz w:val="24"/>
        </w:rPr>
        <w:t>24</w:t>
      </w:r>
      <w:r>
        <w:rPr>
          <w:rFonts w:ascii="宋体" w:cs="宋体"/>
          <w:sz w:val="24"/>
        </w:rPr>
        <w:t>.</w:t>
      </w:r>
      <w:r>
        <w:rPr>
          <w:rFonts w:hint="eastAsia" w:ascii="宋体" w:hAnsi="宋体" w:cs="宋体"/>
          <w:sz w:val="24"/>
        </w:rPr>
        <w:t>第</w:t>
      </w:r>
      <w:r>
        <w:rPr>
          <w:rFonts w:ascii="宋体" w:hAnsi="宋体" w:cs="宋体"/>
          <w:sz w:val="24"/>
        </w:rPr>
        <w:t>26</w:t>
      </w:r>
      <w:r>
        <w:rPr>
          <w:rFonts w:hint="eastAsia" w:ascii="宋体" w:hAnsi="宋体" w:cs="宋体"/>
          <w:sz w:val="24"/>
        </w:rPr>
        <w:t>行“</w:t>
      </w:r>
      <w:r>
        <w:rPr>
          <w:rFonts w:ascii="宋体" w:hAnsi="宋体" w:cs="宋体"/>
          <w:sz w:val="24"/>
        </w:rPr>
        <w:t>1.</w:t>
      </w:r>
      <w:r>
        <w:rPr>
          <w:rFonts w:hint="eastAsia" w:ascii="宋体" w:hAnsi="宋体" w:cs="宋体"/>
          <w:sz w:val="24"/>
        </w:rPr>
        <w:t>境内的外部研发费用”：填报纳税人委托境内其他机构或个人进行的研究开发活动所支出的费用。本行填报实际发生境内的外部研发费用。</w:t>
      </w:r>
    </w:p>
    <w:p>
      <w:pPr>
        <w:spacing w:line="360" w:lineRule="auto"/>
        <w:ind w:firstLine="523" w:firstLineChars="218"/>
        <w:rPr>
          <w:rFonts w:ascii="宋体"/>
          <w:sz w:val="24"/>
        </w:rPr>
      </w:pPr>
      <w:r>
        <w:rPr>
          <w:rFonts w:ascii="宋体" w:hAnsi="宋体" w:cs="宋体"/>
          <w:sz w:val="24"/>
        </w:rPr>
        <w:t>25</w:t>
      </w:r>
      <w:r>
        <w:rPr>
          <w:rFonts w:ascii="宋体" w:cs="宋体"/>
          <w:sz w:val="24"/>
        </w:rPr>
        <w:t>.</w:t>
      </w:r>
      <w:r>
        <w:rPr>
          <w:rFonts w:hint="eastAsia" w:ascii="宋体" w:hAnsi="宋体" w:cs="宋体"/>
          <w:sz w:val="24"/>
        </w:rPr>
        <w:t>第</w:t>
      </w:r>
      <w:r>
        <w:rPr>
          <w:rFonts w:ascii="宋体" w:hAnsi="宋体" w:cs="宋体"/>
          <w:sz w:val="24"/>
        </w:rPr>
        <w:t>27</w:t>
      </w:r>
      <w:r>
        <w:rPr>
          <w:rFonts w:hint="eastAsia" w:ascii="宋体" w:hAnsi="宋体" w:cs="宋体"/>
          <w:sz w:val="24"/>
        </w:rPr>
        <w:t>行“</w:t>
      </w:r>
      <w:r>
        <w:rPr>
          <w:rFonts w:ascii="宋体" w:hAnsi="宋体" w:cs="宋体"/>
          <w:sz w:val="24"/>
        </w:rPr>
        <w:t>2.</w:t>
      </w:r>
      <w:r>
        <w:rPr>
          <w:rFonts w:hint="eastAsia" w:ascii="宋体" w:hAnsi="宋体" w:cs="宋体"/>
          <w:sz w:val="24"/>
        </w:rPr>
        <w:t>境外的外部研发费用”：填报纳税人委托境外机构或个人完成的研究开发活动所发生的费用。受托研发的境外机构是指依照外国</w:t>
      </w:r>
      <w:r>
        <w:rPr>
          <w:rFonts w:ascii="宋体" w:hAnsi="宋体" w:cs="宋体"/>
          <w:sz w:val="24"/>
        </w:rPr>
        <w:t>(</w:t>
      </w:r>
      <w:r>
        <w:rPr>
          <w:rFonts w:hint="eastAsia" w:ascii="宋体" w:hAnsi="宋体" w:cs="宋体"/>
          <w:sz w:val="24"/>
        </w:rPr>
        <w:t>地区</w:t>
      </w:r>
      <w:r>
        <w:rPr>
          <w:rFonts w:ascii="宋体" w:hAnsi="宋体" w:cs="宋体"/>
          <w:sz w:val="24"/>
        </w:rPr>
        <w:t>)</w:t>
      </w:r>
      <w:r>
        <w:rPr>
          <w:rFonts w:hint="eastAsia" w:ascii="宋体" w:hAnsi="宋体" w:cs="宋体"/>
          <w:sz w:val="24"/>
        </w:rPr>
        <w:t>及港澳台法律成立的企业和其他取得收入的组织；受托研发的境外个人是指外籍及港澳台个人。本行填报实际发生境外的外部研发费用。</w:t>
      </w:r>
    </w:p>
    <w:p>
      <w:pPr>
        <w:spacing w:line="360" w:lineRule="auto"/>
        <w:ind w:firstLine="523" w:firstLineChars="218"/>
        <w:rPr>
          <w:rFonts w:ascii="宋体"/>
          <w:sz w:val="24"/>
        </w:rPr>
      </w:pPr>
      <w:r>
        <w:rPr>
          <w:rFonts w:ascii="宋体" w:hAnsi="宋体" w:cs="宋体"/>
          <w:sz w:val="24"/>
        </w:rPr>
        <w:t>26</w:t>
      </w:r>
      <w:r>
        <w:rPr>
          <w:rFonts w:ascii="宋体" w:cs="宋体"/>
          <w:sz w:val="24"/>
        </w:rPr>
        <w:t>.</w:t>
      </w:r>
      <w:r>
        <w:rPr>
          <w:rFonts w:hint="eastAsia" w:ascii="宋体" w:hAnsi="宋体" w:cs="宋体"/>
          <w:sz w:val="24"/>
        </w:rPr>
        <w:t>第</w:t>
      </w:r>
      <w:r>
        <w:rPr>
          <w:rFonts w:ascii="宋体" w:hAnsi="宋体" w:cs="宋体"/>
          <w:sz w:val="24"/>
        </w:rPr>
        <w:t>28</w:t>
      </w:r>
      <w:r>
        <w:rPr>
          <w:rFonts w:hint="eastAsia" w:ascii="宋体" w:hAnsi="宋体" w:cs="宋体"/>
          <w:sz w:val="24"/>
        </w:rPr>
        <w:t>行“可计入研发费用的境外的外部研发费用”：根据《高新技术企业认定管理办法》等规定，纳税人在中国境内发生的研发费用总额占全部研发费用总额的比例不低于</w:t>
      </w:r>
      <w:r>
        <w:rPr>
          <w:rFonts w:ascii="宋体" w:hAnsi="宋体" w:cs="宋体"/>
          <w:sz w:val="24"/>
        </w:rPr>
        <w:t>60%</w:t>
      </w:r>
      <w:r>
        <w:rPr>
          <w:rFonts w:hint="eastAsia" w:ascii="宋体" w:hAnsi="宋体" w:cs="宋体"/>
          <w:sz w:val="24"/>
        </w:rPr>
        <w:t>，即境外发生的研发费用总额占全部研发费用总额的比例不超过</w:t>
      </w:r>
      <w:r>
        <w:rPr>
          <w:rFonts w:ascii="宋体" w:hAnsi="宋体" w:cs="宋体"/>
          <w:sz w:val="24"/>
        </w:rPr>
        <w:t>40%</w:t>
      </w:r>
      <w:r>
        <w:rPr>
          <w:rFonts w:hint="eastAsia" w:ascii="宋体" w:hAnsi="宋体" w:cs="宋体"/>
          <w:sz w:val="24"/>
        </w:rPr>
        <w:t>。本行填报（第</w:t>
      </w:r>
      <w:r>
        <w:rPr>
          <w:rFonts w:ascii="宋体" w:hAnsi="宋体" w:cs="宋体"/>
          <w:sz w:val="24"/>
        </w:rPr>
        <w:t>17+18+</w:t>
      </w:r>
      <w:r>
        <w:rPr>
          <w:rFonts w:hint="eastAsia" w:ascii="宋体" w:hAnsi="宋体" w:cs="宋体"/>
          <w:sz w:val="24"/>
        </w:rPr>
        <w:t>…</w:t>
      </w:r>
      <w:r>
        <w:rPr>
          <w:rFonts w:ascii="宋体" w:hAnsi="宋体" w:cs="宋体"/>
          <w:sz w:val="24"/>
        </w:rPr>
        <w:t>+22+23+26</w:t>
      </w:r>
      <w:r>
        <w:rPr>
          <w:rFonts w:hint="eastAsia" w:ascii="宋体" w:hAnsi="宋体" w:cs="宋体"/>
          <w:sz w:val="24"/>
        </w:rPr>
        <w:t>行）×</w:t>
      </w:r>
      <w:r>
        <w:rPr>
          <w:rFonts w:ascii="宋体" w:hAnsi="宋体" w:cs="宋体"/>
          <w:sz w:val="24"/>
        </w:rPr>
        <w:t>40%</w:t>
      </w:r>
      <w:r>
        <w:rPr>
          <w:rFonts w:hint="eastAsia" w:ascii="宋体" w:hAnsi="宋体" w:cs="宋体"/>
          <w:sz w:val="24"/>
        </w:rPr>
        <w:t>÷</w:t>
      </w:r>
      <w:r>
        <w:rPr>
          <w:rFonts w:ascii="宋体" w:hAnsi="宋体" w:cs="宋体"/>
          <w:sz w:val="24"/>
        </w:rPr>
        <w:t>(1-40%)</w:t>
      </w:r>
      <w:r>
        <w:rPr>
          <w:rFonts w:hint="eastAsia" w:ascii="宋体" w:hAnsi="宋体" w:cs="宋体"/>
          <w:sz w:val="24"/>
        </w:rPr>
        <w:t>与第</w:t>
      </w:r>
      <w:r>
        <w:rPr>
          <w:rFonts w:ascii="宋体" w:hAnsi="宋体" w:cs="宋体"/>
          <w:sz w:val="24"/>
        </w:rPr>
        <w:t>27</w:t>
      </w:r>
      <w:r>
        <w:rPr>
          <w:rFonts w:hint="eastAsia" w:ascii="宋体" w:hAnsi="宋体" w:cs="宋体"/>
          <w:sz w:val="24"/>
        </w:rPr>
        <w:t>行的孰小值。</w:t>
      </w:r>
    </w:p>
    <w:p>
      <w:pPr>
        <w:spacing w:line="360" w:lineRule="auto"/>
        <w:ind w:firstLine="523" w:firstLineChars="218"/>
        <w:rPr>
          <w:rFonts w:ascii="宋体"/>
          <w:sz w:val="24"/>
        </w:rPr>
      </w:pPr>
      <w:r>
        <w:rPr>
          <w:rFonts w:ascii="宋体" w:hAnsi="宋体" w:cs="宋体"/>
          <w:sz w:val="24"/>
        </w:rPr>
        <w:t>27</w:t>
      </w:r>
      <w:r>
        <w:rPr>
          <w:rFonts w:ascii="宋体" w:cs="宋体"/>
          <w:sz w:val="24"/>
        </w:rPr>
        <w:t>.</w:t>
      </w:r>
      <w:r>
        <w:rPr>
          <w:rFonts w:hint="eastAsia" w:ascii="宋体" w:hAnsi="宋体" w:cs="宋体"/>
          <w:sz w:val="24"/>
        </w:rPr>
        <w:t>第</w:t>
      </w:r>
      <w:r>
        <w:rPr>
          <w:rFonts w:ascii="宋体" w:hAnsi="宋体" w:cs="宋体"/>
          <w:sz w:val="24"/>
        </w:rPr>
        <w:t>29</w:t>
      </w:r>
      <w:r>
        <w:rPr>
          <w:rFonts w:hint="eastAsia" w:ascii="宋体" w:hAnsi="宋体" w:cs="宋体"/>
          <w:sz w:val="24"/>
        </w:rPr>
        <w:t>行“八、销售（营业）收入”：填报纳税人主营业务收入与其他业务收入之和。</w:t>
      </w:r>
    </w:p>
    <w:p>
      <w:pPr>
        <w:spacing w:line="360" w:lineRule="auto"/>
        <w:ind w:firstLine="523" w:firstLineChars="218"/>
        <w:rPr>
          <w:rFonts w:ascii="宋体"/>
          <w:sz w:val="24"/>
        </w:rPr>
      </w:pPr>
      <w:r>
        <w:rPr>
          <w:rFonts w:ascii="宋体" w:hAnsi="宋体" w:cs="宋体"/>
          <w:sz w:val="24"/>
        </w:rPr>
        <w:t>28</w:t>
      </w:r>
      <w:r>
        <w:rPr>
          <w:rFonts w:ascii="宋体" w:cs="宋体"/>
          <w:sz w:val="24"/>
        </w:rPr>
        <w:t>.</w:t>
      </w:r>
      <w:r>
        <w:rPr>
          <w:rFonts w:hint="eastAsia" w:ascii="宋体" w:hAnsi="宋体" w:cs="宋体"/>
          <w:sz w:val="24"/>
        </w:rPr>
        <w:t>第</w:t>
      </w:r>
      <w:r>
        <w:rPr>
          <w:rFonts w:ascii="宋体" w:hAnsi="宋体" w:cs="宋体"/>
          <w:sz w:val="24"/>
        </w:rPr>
        <w:t>30</w:t>
      </w:r>
      <w:r>
        <w:rPr>
          <w:rFonts w:hint="eastAsia" w:ascii="宋体" w:hAnsi="宋体" w:cs="宋体"/>
          <w:sz w:val="24"/>
        </w:rPr>
        <w:t>行“九、三年研发费用占销售（营业）收入的比例”：填报第</w:t>
      </w:r>
      <w:r>
        <w:rPr>
          <w:rFonts w:ascii="宋体" w:hAnsi="宋体" w:cs="宋体"/>
          <w:sz w:val="24"/>
        </w:rPr>
        <w:t>15</w:t>
      </w:r>
      <w:r>
        <w:rPr>
          <w:rFonts w:hint="eastAsia" w:ascii="宋体" w:hAnsi="宋体" w:cs="宋体"/>
          <w:sz w:val="24"/>
        </w:rPr>
        <w:t>行</w:t>
      </w:r>
      <w:r>
        <w:rPr>
          <w:rFonts w:ascii="宋体" w:hAnsi="宋体" w:cs="宋体"/>
          <w:sz w:val="24"/>
        </w:rPr>
        <w:t>4</w:t>
      </w:r>
      <w:r>
        <w:rPr>
          <w:rFonts w:hint="eastAsia" w:ascii="宋体" w:hAnsi="宋体" w:cs="宋体"/>
          <w:sz w:val="24"/>
        </w:rPr>
        <w:t>列</w:t>
      </w:r>
      <w:r>
        <w:rPr>
          <w:rFonts w:hint="eastAsia" w:cs="宋体"/>
          <w:szCs w:val="21"/>
        </w:rPr>
        <w:t>÷</w:t>
      </w:r>
      <w:r>
        <w:rPr>
          <w:rFonts w:hint="eastAsia" w:ascii="宋体" w:hAnsi="宋体" w:cs="宋体"/>
          <w:sz w:val="24"/>
        </w:rPr>
        <w:t>第</w:t>
      </w:r>
      <w:r>
        <w:rPr>
          <w:rFonts w:ascii="宋体" w:hAnsi="宋体" w:cs="宋体"/>
          <w:sz w:val="24"/>
        </w:rPr>
        <w:t>29</w:t>
      </w:r>
      <w:r>
        <w:rPr>
          <w:rFonts w:hint="eastAsia" w:ascii="宋体" w:hAnsi="宋体" w:cs="宋体"/>
          <w:sz w:val="24"/>
        </w:rPr>
        <w:t>行</w:t>
      </w:r>
      <w:r>
        <w:rPr>
          <w:rFonts w:ascii="宋体" w:hAnsi="宋体" w:cs="宋体"/>
          <w:sz w:val="24"/>
        </w:rPr>
        <w:t>4</w:t>
      </w:r>
      <w:r>
        <w:rPr>
          <w:rFonts w:hint="eastAsia" w:ascii="宋体" w:hAnsi="宋体" w:cs="宋体"/>
          <w:sz w:val="24"/>
        </w:rPr>
        <w:t>列的比例。</w:t>
      </w:r>
    </w:p>
    <w:p>
      <w:pPr>
        <w:spacing w:line="360" w:lineRule="auto"/>
        <w:ind w:firstLine="523" w:firstLineChars="218"/>
        <w:rPr>
          <w:rFonts w:ascii="宋体"/>
          <w:sz w:val="24"/>
        </w:rPr>
      </w:pPr>
      <w:r>
        <w:rPr>
          <w:rFonts w:ascii="宋体" w:hAnsi="宋体" w:cs="宋体"/>
          <w:sz w:val="24"/>
        </w:rPr>
        <w:t>29</w:t>
      </w:r>
      <w:r>
        <w:rPr>
          <w:rFonts w:ascii="宋体" w:cs="宋体"/>
          <w:sz w:val="24"/>
        </w:rPr>
        <w:t>.</w:t>
      </w:r>
      <w:r>
        <w:rPr>
          <w:rFonts w:hint="eastAsia" w:ascii="宋体" w:hAnsi="宋体" w:cs="宋体"/>
          <w:sz w:val="24"/>
        </w:rPr>
        <w:t>第</w:t>
      </w:r>
      <w:r>
        <w:rPr>
          <w:rFonts w:ascii="宋体" w:hAnsi="宋体" w:cs="宋体"/>
          <w:sz w:val="24"/>
        </w:rPr>
        <w:t>31</w:t>
      </w:r>
      <w:r>
        <w:rPr>
          <w:rFonts w:hint="eastAsia" w:ascii="宋体" w:hAnsi="宋体" w:cs="宋体"/>
          <w:sz w:val="24"/>
        </w:rPr>
        <w:t>行“十、国家需要重点扶持的高新技术企业减征企业所得税”：本行填报经济特区和上海浦东新区外的高新技术企业或虽是经济特区和上海浦东新区新设的高新技术企业但取得区外所得的减免税金额。经济特区和上海浦东新区新设的高新技术企业定期减免政策期满后，只享受</w:t>
      </w:r>
      <w:r>
        <w:rPr>
          <w:rFonts w:ascii="宋体" w:hAnsi="宋体" w:cs="宋体"/>
          <w:sz w:val="24"/>
        </w:rPr>
        <w:t>15%</w:t>
      </w:r>
      <w:r>
        <w:rPr>
          <w:rFonts w:hint="eastAsia" w:ascii="宋体" w:hAnsi="宋体" w:cs="宋体"/>
          <w:sz w:val="24"/>
        </w:rPr>
        <w:t>税率优惠政策的，减免税金额也在本行填报。</w:t>
      </w:r>
    </w:p>
    <w:p>
      <w:pPr>
        <w:spacing w:line="360" w:lineRule="auto"/>
        <w:ind w:firstLine="523" w:firstLineChars="218"/>
        <w:rPr>
          <w:rFonts w:ascii="宋体"/>
          <w:sz w:val="24"/>
        </w:rPr>
      </w:pPr>
      <w:r>
        <w:rPr>
          <w:rFonts w:ascii="宋体" w:hAnsi="宋体" w:cs="宋体"/>
          <w:sz w:val="24"/>
        </w:rPr>
        <w:t>3</w:t>
      </w:r>
      <w:r>
        <w:rPr>
          <w:rFonts w:ascii="宋体" w:cs="宋体"/>
          <w:sz w:val="24"/>
        </w:rPr>
        <w:t>0.</w:t>
      </w:r>
      <w:r>
        <w:rPr>
          <w:rFonts w:hint="eastAsia" w:ascii="宋体" w:hAnsi="宋体" w:cs="宋体"/>
          <w:sz w:val="24"/>
        </w:rPr>
        <w:t>第</w:t>
      </w:r>
      <w:r>
        <w:rPr>
          <w:rFonts w:ascii="宋体" w:hAnsi="宋体" w:cs="宋体"/>
          <w:sz w:val="24"/>
        </w:rPr>
        <w:t>32</w:t>
      </w:r>
      <w:r>
        <w:rPr>
          <w:rFonts w:hint="eastAsia" w:ascii="宋体" w:hAnsi="宋体" w:cs="宋体"/>
          <w:sz w:val="24"/>
        </w:rPr>
        <w:t>行“十一、经济特区和上海浦东新区新设立的高新技术企业定期减免”：本行填报在经济特区和上海浦东新区新设的高新技术企业区内所得的减免税金额。</w:t>
      </w:r>
    </w:p>
    <w:p>
      <w:pPr>
        <w:spacing w:before="120" w:beforeLines="50"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523" w:firstLineChars="218"/>
        <w:rPr>
          <w:rFonts w:ascii="宋体"/>
          <w:sz w:val="24"/>
        </w:rPr>
      </w:pPr>
      <w:r>
        <w:rPr>
          <w:rFonts w:ascii="宋体" w:hAnsi="宋体" w:cs="宋体"/>
          <w:sz w:val="24"/>
        </w:rPr>
        <w:t>1</w:t>
      </w:r>
      <w:r>
        <w:rPr>
          <w:rFonts w:ascii="宋体" w:cs="宋体"/>
          <w:sz w:val="24"/>
        </w:rPr>
        <w:t>.</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5+6</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2.</w:t>
      </w:r>
      <w:r>
        <w:rPr>
          <w:rFonts w:hint="eastAsia" w:ascii="宋体" w:hAnsi="宋体" w:cs="宋体"/>
          <w:sz w:val="24"/>
        </w:rPr>
        <w:t>第</w:t>
      </w:r>
      <w:r>
        <w:rPr>
          <w:rFonts w:ascii="宋体" w:hAnsi="宋体" w:cs="宋体"/>
          <w:sz w:val="24"/>
        </w:rPr>
        <w:t>7</w:t>
      </w:r>
      <w:r>
        <w:rPr>
          <w:rFonts w:hint="eastAsia" w:ascii="宋体" w:hAnsi="宋体" w:cs="宋体"/>
          <w:sz w:val="24"/>
        </w:rPr>
        <w:t>行＝第</w:t>
      </w:r>
      <w:r>
        <w:rPr>
          <w:rFonts w:ascii="宋体" w:hAnsi="宋体" w:cs="宋体"/>
          <w:sz w:val="24"/>
        </w:rPr>
        <w:t>8-9</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3</w:t>
      </w:r>
      <w:r>
        <w:rPr>
          <w:rFonts w:ascii="宋体" w:cs="宋体"/>
          <w:sz w:val="24"/>
        </w:rPr>
        <w:t>.</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4</w:t>
      </w:r>
      <w:r>
        <w:rPr>
          <w:rFonts w:hint="eastAsia" w:ascii="宋体" w:hAnsi="宋体" w:cs="宋体"/>
          <w:sz w:val="24"/>
        </w:rPr>
        <w:t>÷</w:t>
      </w:r>
      <w:r>
        <w:rPr>
          <w:rFonts w:ascii="宋体" w:hAnsi="宋体" w:cs="宋体"/>
          <w:sz w:val="24"/>
        </w:rPr>
        <w:t>7</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4</w:t>
      </w:r>
      <w:r>
        <w:rPr>
          <w:rFonts w:ascii="宋体" w:cs="宋体"/>
          <w:sz w:val="24"/>
        </w:rPr>
        <w:t>.</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11</w:t>
      </w:r>
      <w:r>
        <w:rPr>
          <w:rFonts w:hint="eastAsia" w:ascii="宋体" w:hAnsi="宋体" w:cs="宋体"/>
          <w:sz w:val="24"/>
        </w:rPr>
        <w:t>÷</w:t>
      </w:r>
      <w:r>
        <w:rPr>
          <w:rFonts w:ascii="宋体" w:hAnsi="宋体" w:cs="宋体"/>
          <w:sz w:val="24"/>
        </w:rPr>
        <w:t>12</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5</w:t>
      </w:r>
      <w:r>
        <w:rPr>
          <w:rFonts w:ascii="宋体" w:cs="宋体"/>
          <w:sz w:val="24"/>
        </w:rPr>
        <w:t>.</w:t>
      </w:r>
      <w:r>
        <w:rPr>
          <w:rFonts w:hint="eastAsia" w:ascii="宋体" w:hAnsi="宋体" w:cs="宋体"/>
          <w:sz w:val="24"/>
        </w:rPr>
        <w:t>第</w:t>
      </w:r>
      <w:r>
        <w:rPr>
          <w:rFonts w:ascii="宋体" w:hAnsi="宋体" w:cs="宋体"/>
          <w:sz w:val="24"/>
        </w:rPr>
        <w:t>15</w:t>
      </w:r>
      <w:r>
        <w:rPr>
          <w:rFonts w:hint="eastAsia" w:ascii="宋体" w:hAnsi="宋体" w:cs="宋体"/>
          <w:sz w:val="24"/>
        </w:rPr>
        <w:t>行＝第</w:t>
      </w:r>
      <w:r>
        <w:rPr>
          <w:rFonts w:ascii="宋体" w:hAnsi="宋体" w:cs="宋体"/>
          <w:sz w:val="24"/>
        </w:rPr>
        <w:t>16+25</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6</w:t>
      </w:r>
      <w:r>
        <w:rPr>
          <w:rFonts w:ascii="宋体" w:cs="宋体"/>
          <w:sz w:val="24"/>
        </w:rPr>
        <w:t>.</w:t>
      </w:r>
      <w:r>
        <w:rPr>
          <w:rFonts w:hint="eastAsia" w:ascii="宋体" w:hAnsi="宋体" w:cs="宋体"/>
          <w:sz w:val="24"/>
        </w:rPr>
        <w:t>第</w:t>
      </w:r>
      <w:r>
        <w:rPr>
          <w:rFonts w:ascii="宋体" w:hAnsi="宋体" w:cs="宋体"/>
          <w:sz w:val="24"/>
        </w:rPr>
        <w:t>16</w:t>
      </w:r>
      <w:r>
        <w:rPr>
          <w:rFonts w:hint="eastAsia" w:ascii="宋体" w:hAnsi="宋体" w:cs="宋体"/>
          <w:sz w:val="24"/>
        </w:rPr>
        <w:t>行＝第</w:t>
      </w:r>
      <w:r>
        <w:rPr>
          <w:rFonts w:ascii="宋体" w:hAnsi="宋体" w:cs="宋体"/>
          <w:sz w:val="24"/>
        </w:rPr>
        <w:t>17+18+19+20+21+22+24</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7</w:t>
      </w:r>
      <w:r>
        <w:rPr>
          <w:rFonts w:ascii="宋体" w:cs="宋体"/>
          <w:sz w:val="24"/>
        </w:rPr>
        <w:t>.</w:t>
      </w:r>
      <w:r>
        <w:rPr>
          <w:rFonts w:hint="eastAsia" w:ascii="宋体" w:hAnsi="宋体" w:cs="宋体"/>
          <w:sz w:val="24"/>
        </w:rPr>
        <w:t>第</w:t>
      </w:r>
      <w:r>
        <w:rPr>
          <w:rFonts w:ascii="宋体" w:hAnsi="宋体" w:cs="宋体"/>
          <w:sz w:val="24"/>
        </w:rPr>
        <w:t>25</w:t>
      </w:r>
      <w:r>
        <w:rPr>
          <w:rFonts w:hint="eastAsia" w:ascii="宋体" w:hAnsi="宋体" w:cs="宋体"/>
          <w:sz w:val="24"/>
        </w:rPr>
        <w:t>行＝（第</w:t>
      </w:r>
      <w:r>
        <w:rPr>
          <w:rFonts w:ascii="宋体" w:hAnsi="宋体" w:cs="宋体"/>
          <w:sz w:val="24"/>
        </w:rPr>
        <w:t>26+28</w:t>
      </w:r>
      <w:r>
        <w:rPr>
          <w:rFonts w:hint="eastAsia" w:ascii="宋体" w:hAnsi="宋体" w:cs="宋体"/>
          <w:sz w:val="24"/>
        </w:rPr>
        <w:t>行）×</w:t>
      </w:r>
      <w:r>
        <w:rPr>
          <w:rFonts w:ascii="宋体" w:hAnsi="宋体" w:cs="宋体"/>
          <w:sz w:val="24"/>
        </w:rPr>
        <w:t>80%</w:t>
      </w:r>
      <w:r>
        <w:rPr>
          <w:rFonts w:hint="eastAsia" w:ascii="宋体" w:hAnsi="宋体" w:cs="宋体"/>
          <w:sz w:val="24"/>
        </w:rPr>
        <w:t>。</w:t>
      </w:r>
    </w:p>
    <w:p>
      <w:pPr>
        <w:spacing w:line="360" w:lineRule="auto"/>
        <w:ind w:firstLine="523" w:firstLineChars="218"/>
        <w:rPr>
          <w:rFonts w:ascii="宋体"/>
          <w:sz w:val="24"/>
        </w:rPr>
      </w:pPr>
      <w:r>
        <w:rPr>
          <w:rFonts w:ascii="宋体" w:hAnsi="宋体" w:cs="宋体"/>
          <w:sz w:val="24"/>
        </w:rPr>
        <w:t>8</w:t>
      </w:r>
      <w:r>
        <w:rPr>
          <w:rFonts w:ascii="宋体" w:cs="宋体"/>
          <w:sz w:val="24"/>
        </w:rPr>
        <w:t>.</w:t>
      </w:r>
      <w:r>
        <w:rPr>
          <w:rFonts w:hint="eastAsia" w:ascii="宋体" w:hAnsi="宋体" w:cs="宋体"/>
          <w:sz w:val="24"/>
        </w:rPr>
        <w:t>第</w:t>
      </w:r>
      <w:r>
        <w:rPr>
          <w:rFonts w:ascii="宋体" w:hAnsi="宋体" w:cs="宋体"/>
          <w:sz w:val="24"/>
        </w:rPr>
        <w:t>30</w:t>
      </w:r>
      <w:r>
        <w:rPr>
          <w:rFonts w:hint="eastAsia" w:ascii="宋体" w:hAnsi="宋体" w:cs="宋体"/>
          <w:sz w:val="24"/>
        </w:rPr>
        <w:t>行＝第</w:t>
      </w:r>
      <w:r>
        <w:rPr>
          <w:rFonts w:ascii="宋体" w:hAnsi="宋体" w:cs="宋体"/>
          <w:sz w:val="24"/>
        </w:rPr>
        <w:t>15</w:t>
      </w:r>
      <w:r>
        <w:rPr>
          <w:rFonts w:hint="eastAsia" w:ascii="宋体" w:hAnsi="宋体" w:cs="宋体"/>
          <w:sz w:val="24"/>
        </w:rPr>
        <w:t>行第</w:t>
      </w:r>
      <w:r>
        <w:rPr>
          <w:rFonts w:ascii="宋体" w:hAnsi="宋体" w:cs="宋体"/>
          <w:sz w:val="24"/>
        </w:rPr>
        <w:t>4</w:t>
      </w:r>
      <w:r>
        <w:rPr>
          <w:rFonts w:hint="eastAsia" w:ascii="宋体" w:hAnsi="宋体" w:cs="宋体"/>
          <w:sz w:val="24"/>
        </w:rPr>
        <w:t>列÷第</w:t>
      </w:r>
      <w:r>
        <w:rPr>
          <w:rFonts w:ascii="宋体" w:hAnsi="宋体" w:cs="宋体"/>
          <w:sz w:val="24"/>
        </w:rPr>
        <w:t>29</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523" w:firstLineChars="218"/>
        <w:rPr>
          <w:rFonts w:ascii="宋体"/>
          <w:sz w:val="24"/>
        </w:rPr>
      </w:pPr>
      <w:r>
        <w:rPr>
          <w:rFonts w:ascii="宋体" w:hAnsi="宋体" w:cs="宋体"/>
          <w:sz w:val="24"/>
        </w:rPr>
        <w:t>1.</w:t>
      </w:r>
      <w:r>
        <w:rPr>
          <w:rFonts w:hint="eastAsia" w:ascii="宋体" w:hAnsi="宋体" w:cs="宋体"/>
          <w:sz w:val="24"/>
        </w:rPr>
        <w:t>第</w:t>
      </w:r>
      <w:r>
        <w:rPr>
          <w:rFonts w:ascii="宋体" w:hAnsi="宋体" w:cs="宋体"/>
          <w:sz w:val="24"/>
        </w:rPr>
        <w:t>31</w:t>
      </w:r>
      <w:r>
        <w:rPr>
          <w:rFonts w:hint="eastAsia" w:ascii="宋体" w:hAnsi="宋体" w:cs="宋体"/>
          <w:sz w:val="24"/>
        </w:rPr>
        <w:t>行＝表</w:t>
      </w:r>
      <w:r>
        <w:rPr>
          <w:rFonts w:ascii="宋体" w:hAnsi="宋体" w:cs="宋体"/>
          <w:sz w:val="24"/>
        </w:rPr>
        <w:t>A107040</w:t>
      </w:r>
      <w:r>
        <w:rPr>
          <w:rFonts w:hint="eastAsia" w:ascii="宋体" w:hAnsi="宋体" w:cs="宋体"/>
          <w:sz w:val="24"/>
        </w:rPr>
        <w:t>第</w:t>
      </w:r>
      <w:r>
        <w:rPr>
          <w:rFonts w:ascii="宋体" w:hAnsi="宋体" w:cs="宋体"/>
          <w:sz w:val="24"/>
        </w:rPr>
        <w:t>2</w:t>
      </w:r>
      <w:r>
        <w:rPr>
          <w:rFonts w:hint="eastAsia" w:ascii="宋体" w:hAnsi="宋体" w:cs="宋体"/>
          <w:sz w:val="24"/>
        </w:rPr>
        <w:t>行。</w:t>
      </w:r>
    </w:p>
    <w:p>
      <w:pPr>
        <w:spacing w:line="360" w:lineRule="auto"/>
        <w:ind w:firstLine="523" w:firstLineChars="218"/>
        <w:rPr>
          <w:rFonts w:hint="eastAsia"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32</w:t>
      </w:r>
      <w:r>
        <w:rPr>
          <w:rFonts w:hint="eastAsia" w:ascii="宋体" w:hAnsi="宋体" w:cs="宋体"/>
          <w:sz w:val="24"/>
        </w:rPr>
        <w:t>行＝表</w:t>
      </w:r>
      <w:r>
        <w:rPr>
          <w:rFonts w:ascii="宋体" w:hAnsi="宋体" w:cs="宋体"/>
          <w:sz w:val="24"/>
        </w:rPr>
        <w:t>A107040</w:t>
      </w:r>
      <w:r>
        <w:rPr>
          <w:rFonts w:hint="eastAsia" w:ascii="宋体" w:hAnsi="宋体" w:cs="宋体"/>
          <w:sz w:val="24"/>
        </w:rPr>
        <w:t>第</w:t>
      </w:r>
      <w:r>
        <w:rPr>
          <w:rFonts w:ascii="宋体" w:hAnsi="宋体" w:cs="宋体"/>
          <w:sz w:val="24"/>
        </w:rPr>
        <w:t>3</w:t>
      </w:r>
      <w:r>
        <w:rPr>
          <w:rFonts w:hint="eastAsia" w:ascii="宋体" w:hAnsi="宋体" w:cs="宋体"/>
          <w:sz w:val="24"/>
        </w:rPr>
        <w:t>行。</w:t>
      </w: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457" w:firstLineChars="218"/>
        <w:rPr>
          <w:rFonts w:hint="eastAsia"/>
          <w:szCs w:val="21"/>
        </w:rPr>
      </w:pPr>
    </w:p>
    <w:p>
      <w:pPr>
        <w:spacing w:line="360" w:lineRule="auto"/>
        <w:rPr>
          <w:rFonts w:hint="eastAsia"/>
          <w:szCs w:val="21"/>
        </w:rPr>
      </w:pPr>
    </w:p>
    <w:p>
      <w:pPr>
        <w:pStyle w:val="66"/>
        <w:rPr>
          <w:rFonts w:hint="eastAsia"/>
        </w:rPr>
      </w:pPr>
      <w:bookmarkStart w:id="361" w:name="_Toc54267962"/>
      <w:bookmarkStart w:id="362" w:name="_Toc469"/>
      <w:bookmarkStart w:id="363" w:name="_Toc966592132_WPSOffice_Level1"/>
      <w:bookmarkStart w:id="364" w:name="_Toc466922036_WPSOffice_Level1"/>
      <w:bookmarkStart w:id="365" w:name="_Toc54267963"/>
      <w:r>
        <w:rPr>
          <w:rFonts w:hint="eastAsia"/>
        </w:rPr>
        <w:t>A107042</w:t>
      </w:r>
      <w:r>
        <w:rPr>
          <w:rFonts w:hint="eastAsia"/>
        </w:rPr>
        <w:tab/>
      </w:r>
      <w:r>
        <w:rPr>
          <w:rFonts w:hint="eastAsia"/>
        </w:rPr>
        <w:t>软件、集成电路企业优惠情况及明细表</w:t>
      </w:r>
      <w:bookmarkEnd w:id="361"/>
      <w:bookmarkEnd w:id="362"/>
    </w:p>
    <w:bookmarkEnd w:id="363"/>
    <w:bookmarkEnd w:id="364"/>
    <w:tbl>
      <w:tblPr>
        <w:tblStyle w:val="25"/>
        <w:tblW w:w="9407" w:type="dxa"/>
        <w:tblInd w:w="93" w:type="dxa"/>
        <w:tblLayout w:type="fixed"/>
        <w:tblCellMar>
          <w:top w:w="0" w:type="dxa"/>
          <w:left w:w="108" w:type="dxa"/>
          <w:bottom w:w="0" w:type="dxa"/>
          <w:right w:w="108" w:type="dxa"/>
        </w:tblCellMar>
      </w:tblPr>
      <w:tblGrid>
        <w:gridCol w:w="724"/>
        <w:gridCol w:w="1763"/>
        <w:gridCol w:w="1333"/>
        <w:gridCol w:w="3447"/>
        <w:gridCol w:w="2140"/>
      </w:tblGrid>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4" w:space="0"/>
              <w:right w:val="single" w:color="auto"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税收优惠基本信息</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b/>
                <w:bCs/>
                <w:kern w:val="0"/>
                <w:sz w:val="22"/>
                <w:szCs w:val="22"/>
              </w:rPr>
            </w:pPr>
            <w:r>
              <w:rPr>
                <w:rFonts w:hint="eastAsia" w:ascii="宋体" w:hAnsi="宋体" w:cs="宋体"/>
                <w:b/>
                <w:bCs/>
                <w:kern w:val="0"/>
                <w:sz w:val="22"/>
                <w:szCs w:val="22"/>
              </w:rPr>
              <w:t>选择适用优惠政策</w:t>
            </w:r>
          </w:p>
        </w:tc>
        <w:tc>
          <w:tcPr>
            <w:tcW w:w="6920" w:type="dxa"/>
            <w:gridSpan w:val="3"/>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hint="eastAsia" w:ascii="宋体" w:hAnsi="宋体" w:cs="宋体"/>
                <w:b/>
                <w:bCs/>
                <w:kern w:val="0"/>
                <w:sz w:val="22"/>
                <w:szCs w:val="22"/>
              </w:rPr>
              <w:t xml:space="preserve">延续适用原有优惠政策       </w:t>
            </w:r>
            <w:r>
              <w:rPr>
                <w:rFonts w:hint="eastAsia" w:ascii="宋体" w:hAnsi="宋体" w:cs="宋体"/>
                <w:kern w:val="0"/>
                <w:sz w:val="20"/>
                <w:szCs w:val="20"/>
              </w:rPr>
              <w:t>□</w:t>
            </w:r>
            <w:r>
              <w:rPr>
                <w:rFonts w:hint="eastAsia" w:ascii="宋体" w:hAnsi="宋体" w:cs="宋体"/>
                <w:b/>
                <w:bCs/>
                <w:kern w:val="0"/>
                <w:sz w:val="22"/>
                <w:szCs w:val="22"/>
              </w:rPr>
              <w:t>适用新出台优惠政策</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减免方式1</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获利年度\开始计算优惠期年度1</w:t>
            </w:r>
          </w:p>
        </w:tc>
        <w:tc>
          <w:tcPr>
            <w:tcW w:w="2140"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减免方式2</w:t>
            </w:r>
          </w:p>
        </w:tc>
        <w:tc>
          <w:tcPr>
            <w:tcW w:w="1333"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获利年度\开始计算优惠期年度2</w:t>
            </w:r>
          </w:p>
        </w:tc>
        <w:tc>
          <w:tcPr>
            <w:tcW w:w="2140" w:type="dxa"/>
            <w:tcBorders>
              <w:top w:val="single" w:color="auto" w:sz="4" w:space="0"/>
              <w:left w:val="single" w:color="auto" w:sz="4" w:space="0"/>
              <w:bottom w:val="single" w:color="auto" w:sz="12"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8" w:space="0"/>
              <w:right w:val="single" w:color="000000"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税收优惠有关情况</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6543"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        目</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数量\金额</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人员指标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一、企业本年月平均职工总人数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其中：签订劳动合同关系且具有大学专\本科以上学历的职工人数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研究开发人员人数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研发费用指标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二、研发费用总额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其中：企业在中国境内发生的研发费用金额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收入指标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三、企业收入总额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四、符合条件的销售（营业）收入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其中：自主设计、自主开发销售及服务收入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知识产权指标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五、拥有核心关键技术和属于本企业的知识产权总数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其中：发明专利</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集成电路布图设计登记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计算机 软件著作权</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业务类型及领域</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是否从事 8 英寸及以下集成电路生产</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是否按照开发、销售嵌入式软件企业条件享受政策</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重点集成电路设计领域和重点软件领域</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请选择所属领域</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12"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43" w:type="dxa"/>
            <w:gridSpan w:val="3"/>
            <w:tcBorders>
              <w:top w:val="single" w:color="auto" w:sz="8" w:space="0"/>
              <w:left w:val="nil"/>
              <w:bottom w:val="single" w:color="auto" w:sz="12"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减免税额</w:t>
            </w:r>
          </w:p>
        </w:tc>
        <w:tc>
          <w:tcPr>
            <w:tcW w:w="2140" w:type="dxa"/>
            <w:tcBorders>
              <w:top w:val="nil"/>
              <w:left w:val="nil"/>
              <w:bottom w:val="single" w:color="auto" w:sz="12" w:space="0"/>
              <w:right w:val="single" w:color="auto" w:sz="12" w:space="0"/>
            </w:tcBorders>
            <w:noWrap w:val="0"/>
            <w:vAlign w:val="center"/>
          </w:tcPr>
          <w:p>
            <w:pPr>
              <w:widowControl/>
              <w:jc w:val="center"/>
              <w:rPr>
                <w:rFonts w:hint="eastAsia" w:ascii="宋体" w:hAnsi="宋体" w:cs="宋体"/>
                <w:kern w:val="0"/>
                <w:sz w:val="20"/>
                <w:szCs w:val="20"/>
              </w:rPr>
            </w:pPr>
          </w:p>
        </w:tc>
      </w:tr>
    </w:tbl>
    <w:p>
      <w:pPr>
        <w:pStyle w:val="94"/>
        <w:ind w:firstLine="480"/>
        <w:rPr>
          <w:rFonts w:hint="eastAsia" w:ascii="宋体" w:hAnsi="宋体" w:eastAsia="宋体" w:cs="宋体"/>
        </w:rPr>
        <w:sectPr>
          <w:pgSz w:w="11906" w:h="16838"/>
          <w:pgMar w:top="1984" w:right="1418" w:bottom="1984" w:left="1418" w:header="851" w:footer="992" w:gutter="113"/>
          <w:pgNumType w:fmt="decimal"/>
          <w:cols w:space="720" w:num="1"/>
          <w:docGrid w:linePitch="312" w:charSpace="0"/>
        </w:sectPr>
      </w:pPr>
    </w:p>
    <w:p>
      <w:pPr>
        <w:pStyle w:val="93"/>
        <w:spacing w:before="156" w:after="156"/>
        <w:rPr>
          <w:rFonts w:hint="eastAsia" w:ascii="宋体" w:hAnsi="宋体" w:eastAsia="宋体" w:cs="宋体"/>
        </w:rPr>
      </w:pPr>
      <w:bookmarkStart w:id="366" w:name="_Toc2117364348_WPSOffice_Level1"/>
      <w:bookmarkStart w:id="367" w:name="_Toc33406561_WPSOffice_Level1"/>
      <w:bookmarkStart w:id="368" w:name="_Toc7911"/>
      <w:r>
        <w:rPr>
          <w:rFonts w:hint="eastAsia" w:ascii="宋体" w:hAnsi="宋体" w:eastAsia="宋体" w:cs="宋体"/>
        </w:rPr>
        <w:t>A107042</w:t>
      </w:r>
      <w:r>
        <w:rPr>
          <w:rFonts w:hint="eastAsia" w:ascii="宋体" w:hAnsi="宋体" w:eastAsia="宋体" w:cs="宋体"/>
        </w:rPr>
        <w:tab/>
      </w:r>
      <w:r>
        <w:rPr>
          <w:rFonts w:hint="eastAsia" w:ascii="宋体" w:hAnsi="宋体" w:eastAsia="宋体" w:cs="宋体"/>
        </w:rPr>
        <w:t>《软件、集成电路企业优惠情况及明细表》填报说明</w:t>
      </w:r>
      <w:bookmarkEnd w:id="365"/>
      <w:bookmarkEnd w:id="366"/>
      <w:bookmarkEnd w:id="367"/>
      <w:bookmarkEnd w:id="368"/>
    </w:p>
    <w:p>
      <w:pPr>
        <w:pStyle w:val="94"/>
        <w:ind w:firstLine="480"/>
        <w:rPr>
          <w:rFonts w:hint="eastAsia" w:ascii="宋体" w:hAnsi="宋体" w:eastAsia="宋体" w:cs="宋体"/>
        </w:rPr>
      </w:pPr>
      <w:r>
        <w:rPr>
          <w:rFonts w:hint="eastAsia" w:ascii="宋体" w:hAnsi="宋体" w:eastAsia="宋体" w:cs="宋体"/>
        </w:rPr>
        <w:t>本表适用于享受软件、集成电路企业优惠政策的纳税人填报。纳税人根据税法、《财政部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国家税务总局 发展改革委 工业和信息化部关于进一步鼓励集成电路产业发展企业所得税政策的通知》（财税〔2015〕6号）、《国家发展和改革委员会 工业和信息化部 财政部 国家税务总局关于印发国家规划布局内重点软件和集成电路设计领域的通知》（发改高技〔2016〕1056号）、《财政部 税务总局 国家发展改革委 工业和信息化部关于集成电路生产企业有关企业所得税政策问题的通知》（财税〔2018〕27号）、《财政部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相关政策规定，填报本年发生的软件、集成电路企业优惠有关情况。</w:t>
      </w:r>
    </w:p>
    <w:p>
      <w:pPr>
        <w:pStyle w:val="94"/>
        <w:ind w:firstLine="480"/>
        <w:outlineLvl w:val="0"/>
        <w:rPr>
          <w:rFonts w:hint="eastAsia" w:ascii="宋体" w:hAnsi="宋体" w:eastAsia="宋体" w:cs="宋体"/>
        </w:rPr>
      </w:pPr>
      <w:bookmarkStart w:id="369" w:name="_Toc1615982050_WPSOffice_Level1"/>
      <w:bookmarkStart w:id="370" w:name="_Toc1236951293_WPSOffice_Level1"/>
      <w:r>
        <w:rPr>
          <w:rFonts w:hint="eastAsia" w:ascii="宋体" w:hAnsi="宋体" w:eastAsia="宋体" w:cs="宋体"/>
        </w:rPr>
        <w:t>一、总体填报说明</w:t>
      </w:r>
      <w:bookmarkEnd w:id="369"/>
      <w:bookmarkEnd w:id="370"/>
    </w:p>
    <w:p>
      <w:pPr>
        <w:pStyle w:val="94"/>
        <w:ind w:firstLine="480"/>
        <w:rPr>
          <w:rFonts w:hint="eastAsia" w:ascii="宋体" w:hAnsi="宋体" w:eastAsia="宋体" w:cs="宋体"/>
        </w:rPr>
      </w:pPr>
      <w:r>
        <w:rPr>
          <w:rFonts w:hint="eastAsia" w:ascii="宋体" w:hAnsi="宋体" w:eastAsia="宋体" w:cs="宋体"/>
        </w:rPr>
        <w:t>享受软件、集成电路企业优惠政策的纳税人均需按照企业整体情况填报本表，其中填报《所得减免优惠明细表》（A107020）“七、线宽小于130纳米（含）的集成电路生产项目”“八、线宽小于65纳米（含）或投资额超过150亿元的集成电路生产项目”“九、线宽小于28纳米（含）的集成电路生产项目减免企业所得税”减免项目的纳税人，应当填报除本表第16行“减免税额”以外的本表其他相应项目。</w:t>
      </w:r>
    </w:p>
    <w:p>
      <w:pPr>
        <w:pStyle w:val="94"/>
        <w:ind w:firstLine="480"/>
        <w:outlineLvl w:val="0"/>
        <w:rPr>
          <w:rFonts w:hint="eastAsia" w:ascii="宋体" w:hAnsi="宋体" w:eastAsia="宋体" w:cs="宋体"/>
        </w:rPr>
      </w:pPr>
      <w:bookmarkStart w:id="371" w:name="_Toc391619256_WPSOffice_Level1"/>
      <w:bookmarkStart w:id="372" w:name="_Toc107149649_WPSOffice_Level1"/>
      <w:r>
        <w:rPr>
          <w:rFonts w:hint="eastAsia" w:ascii="宋体" w:hAnsi="宋体" w:eastAsia="宋体" w:cs="宋体"/>
        </w:rPr>
        <w:t>二、有关项目填报说明</w:t>
      </w:r>
      <w:bookmarkEnd w:id="371"/>
      <w:bookmarkEnd w:id="372"/>
    </w:p>
    <w:p>
      <w:pPr>
        <w:pStyle w:val="94"/>
        <w:ind w:firstLine="480"/>
        <w:outlineLvl w:val="1"/>
        <w:rPr>
          <w:rFonts w:hint="eastAsia" w:ascii="宋体" w:hAnsi="宋体" w:eastAsia="宋体" w:cs="宋体"/>
        </w:rPr>
      </w:pPr>
      <w:bookmarkStart w:id="373" w:name="_Toc196068932_WPSOffice_Level2"/>
      <w:bookmarkStart w:id="374" w:name="_Toc141882704_WPSOffice_Level2"/>
      <w:r>
        <w:rPr>
          <w:rFonts w:hint="eastAsia" w:ascii="宋体" w:hAnsi="宋体" w:eastAsia="宋体" w:cs="宋体"/>
        </w:rPr>
        <w:t>（一）税收优惠基本信息</w:t>
      </w:r>
      <w:bookmarkEnd w:id="373"/>
      <w:bookmarkEnd w:id="374"/>
    </w:p>
    <w:p>
      <w:pPr>
        <w:pStyle w:val="94"/>
        <w:ind w:firstLine="480"/>
        <w:rPr>
          <w:rFonts w:hint="eastAsia" w:ascii="宋体" w:hAnsi="宋体" w:eastAsia="宋体" w:cs="宋体"/>
        </w:rPr>
      </w:pPr>
      <w:r>
        <w:rPr>
          <w:rFonts w:hint="eastAsia" w:ascii="宋体" w:hAnsi="宋体" w:eastAsia="宋体" w:cs="宋体"/>
        </w:rPr>
        <w:t>企业以前年度符合软件、集成电路税收优惠政策条件且已开始享受优惠政策的，可选择延续适用原有优惠政策；符合最新软件、集成电路税收优惠政策条件的，可选择适用新出台的优惠政策。企业根据实际情况在“选择适用优惠政策”中勾选“延续适用原有优惠政策”或“适用新出台优惠政策”；集成电路生产企业只享受集成电路项目所得优惠政策，无需勾选。</w:t>
      </w:r>
    </w:p>
    <w:p>
      <w:pPr>
        <w:pStyle w:val="94"/>
        <w:ind w:firstLine="480"/>
        <w:rPr>
          <w:rFonts w:hint="eastAsia" w:ascii="宋体" w:hAnsi="宋体" w:eastAsia="宋体" w:cs="宋体"/>
        </w:rPr>
      </w:pPr>
      <w:r>
        <w:rPr>
          <w:rFonts w:hint="eastAsia" w:ascii="宋体" w:hAnsi="宋体" w:eastAsia="宋体" w:cs="宋体"/>
        </w:rPr>
        <w:t>当集成电路生产企业享受集成电路项目所得优惠政策时，可根据实际情况填报“减免方式1” “减免方式2”…，并同时填报对应的“获利年度\开始计算优惠期年度1” “获利年度\开始计算优惠期年度2”。</w:t>
      </w:r>
    </w:p>
    <w:p>
      <w:pPr>
        <w:pStyle w:val="94"/>
        <w:ind w:firstLine="480"/>
        <w:rPr>
          <w:rFonts w:hint="eastAsia" w:ascii="宋体" w:hAnsi="宋体" w:eastAsia="宋体" w:cs="宋体"/>
        </w:rPr>
      </w:pPr>
      <w:r>
        <w:rPr>
          <w:rFonts w:hint="eastAsia" w:ascii="宋体" w:hAnsi="宋体" w:eastAsia="宋体" w:cs="宋体"/>
        </w:rPr>
        <w:t>1.减免方式：纳税人根据《企业所得税年度纳税申报基础信息表》（A000000）“208软件、集成电路企业类型”填报的企业类型和实际经营情况，从《软件、集成电路企业优惠方式代码表》“代码”列中选择相应代码，填入本项。除集成电路生产企业纳税人存在按项目享受优惠的情况外，纳税人仅可从中选择一项填列；若集成电路生产企业纳税人存在多个项目的，应将所有享受优惠的项目减免方式等情况填入本表，项目数量可以增加。</w:t>
      </w:r>
    </w:p>
    <w:p>
      <w:pPr>
        <w:pStyle w:val="65"/>
        <w:ind w:firstLine="0" w:firstLineChars="0"/>
        <w:jc w:val="center"/>
        <w:outlineLvl w:val="1"/>
        <w:rPr>
          <w:rFonts w:hint="eastAsia" w:cs="宋体"/>
          <w:b/>
          <w:bCs/>
        </w:rPr>
      </w:pPr>
      <w:bookmarkStart w:id="375" w:name="_Toc1680581618_WPSOffice_Level2"/>
      <w:bookmarkStart w:id="376" w:name="_Toc2036619136_WPSOffice_Level2"/>
      <w:r>
        <w:rPr>
          <w:rFonts w:hint="eastAsia" w:cs="宋体"/>
          <w:b/>
          <w:bCs/>
        </w:rPr>
        <w:t>软件、集成电路企业优惠方式代码表</w:t>
      </w:r>
      <w:bookmarkEnd w:id="375"/>
      <w:bookmarkEnd w:id="376"/>
    </w:p>
    <w:tbl>
      <w:tblPr>
        <w:tblStyle w:val="25"/>
        <w:tblW w:w="98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170"/>
        <w:gridCol w:w="852"/>
        <w:gridCol w:w="921"/>
        <w:gridCol w:w="740"/>
        <w:gridCol w:w="4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代码</w:t>
            </w:r>
          </w:p>
        </w:tc>
        <w:tc>
          <w:tcPr>
            <w:tcW w:w="2170"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减免方式类型</w:t>
            </w:r>
          </w:p>
        </w:tc>
        <w:tc>
          <w:tcPr>
            <w:tcW w:w="852"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原政策</w:t>
            </w:r>
          </w:p>
        </w:tc>
        <w:tc>
          <w:tcPr>
            <w:tcW w:w="921"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新政策</w:t>
            </w:r>
          </w:p>
        </w:tc>
        <w:tc>
          <w:tcPr>
            <w:tcW w:w="5184" w:type="dxa"/>
            <w:gridSpan w:val="2"/>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软件、集成电路企业类型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企业二免三减半（免税）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5" w:type="dxa"/>
            <w:vMerge w:val="restart"/>
            <w:shd w:val="clear" w:color="auto" w:fill="auto"/>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2170" w:type="dxa"/>
            <w:vMerge w:val="restart"/>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企业二免三减半（减半征收）</w:t>
            </w:r>
          </w:p>
        </w:tc>
        <w:tc>
          <w:tcPr>
            <w:tcW w:w="852"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shd w:val="clear" w:color="000000" w:fill="FFFFFF"/>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集成电路生产企业（线宽小于0.8微米的企业）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企业五免五减半（免税）</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企业五免五减半（减半征收）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企业减按10%税率征收企业所得税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510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项目所得二免三减半（免税）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520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项目所得二免三减半（减半征收）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610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项目所得五免五减半（免税）</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620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项目所得五免五减半（减半征收）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700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项目所得十免（免税）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集成电路生产企业（线宽小于28纳米的企业）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ign w:val="center"/>
          </w:tcPr>
          <w:p>
            <w:pPr>
              <w:widowControl/>
              <w:jc w:val="center"/>
              <w:rPr>
                <w:rFonts w:hint="eastAsia" w:ascii="宋体" w:hAnsi="宋体" w:cs="宋体"/>
                <w:kern w:val="0"/>
                <w:szCs w:val="21"/>
              </w:rPr>
            </w:pPr>
            <w:r>
              <w:rPr>
                <w:rFonts w:hint="eastAsia" w:ascii="宋体" w:hAnsi="宋体" w:cs="宋体"/>
                <w:kern w:val="0"/>
                <w:szCs w:val="21"/>
              </w:rPr>
              <w:t>900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企业十免（免税）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集成电路生产企业（线宽小于28纳米的企业）</w:t>
            </w:r>
          </w:p>
        </w:tc>
      </w:tr>
    </w:tbl>
    <w:p>
      <w:pPr>
        <w:pStyle w:val="94"/>
        <w:ind w:firstLine="480"/>
        <w:rPr>
          <w:rFonts w:hint="eastAsia" w:ascii="宋体" w:hAnsi="宋体" w:eastAsia="宋体" w:cs="宋体"/>
        </w:rPr>
      </w:pPr>
      <w:r>
        <w:rPr>
          <w:rFonts w:hint="eastAsia" w:ascii="宋体" w:hAnsi="宋体" w:eastAsia="宋体" w:cs="宋体"/>
        </w:rPr>
        <w:t>2.“获利年度\开始计算优惠期年度”：适用选择“二免三减半”“五免五减半”“五免”“十免”等定期减免类型的纳税人填报。其中，“开始计算优惠期年度”按照财税〔2012〕27号、财税〔2015〕6号、财税〔2018〕27号、《财政部 税务总局 发展改革委 工业和信息化部关于促进集成电路和软件产业高质量发展企业所得税政策的公告》（2020年第45号）等文件的相关规定确定。</w:t>
      </w:r>
    </w:p>
    <w:p>
      <w:pPr>
        <w:pStyle w:val="94"/>
        <w:ind w:firstLine="480"/>
        <w:outlineLvl w:val="1"/>
        <w:rPr>
          <w:rFonts w:hint="eastAsia" w:ascii="宋体" w:hAnsi="宋体" w:eastAsia="宋体" w:cs="宋体"/>
        </w:rPr>
      </w:pPr>
      <w:bookmarkStart w:id="377" w:name="_Toc1610701595_WPSOffice_Level2"/>
      <w:bookmarkStart w:id="378" w:name="_Toc1480810185_WPSOffice_Level2"/>
      <w:r>
        <w:rPr>
          <w:rFonts w:hint="eastAsia" w:ascii="宋体" w:hAnsi="宋体" w:eastAsia="宋体" w:cs="宋体"/>
        </w:rPr>
        <w:t>（二）税收优惠有关情况</w:t>
      </w:r>
      <w:bookmarkEnd w:id="377"/>
      <w:bookmarkEnd w:id="378"/>
    </w:p>
    <w:p>
      <w:pPr>
        <w:pStyle w:val="94"/>
        <w:ind w:firstLine="480"/>
        <w:rPr>
          <w:rFonts w:hint="eastAsia" w:ascii="宋体" w:hAnsi="宋体" w:eastAsia="宋体" w:cs="宋体"/>
        </w:rPr>
      </w:pPr>
      <w:r>
        <w:rPr>
          <w:rFonts w:hint="eastAsia" w:ascii="宋体" w:hAnsi="宋体" w:eastAsia="宋体" w:cs="宋体"/>
        </w:rPr>
        <w:t>1.第1行“一、企业本年月平均职工总人数”：填报纳税人本年月平均职工总人数。本年月平均职工总人数计算方法：</w:t>
      </w:r>
    </w:p>
    <w:p>
      <w:pPr>
        <w:pStyle w:val="94"/>
        <w:ind w:firstLine="480"/>
        <w:rPr>
          <w:rFonts w:hint="eastAsia" w:ascii="宋体" w:hAnsi="宋体" w:eastAsia="宋体" w:cs="宋体"/>
        </w:rPr>
      </w:pPr>
      <w:r>
        <w:rPr>
          <w:rFonts w:hint="eastAsia" w:ascii="宋体" w:hAnsi="宋体" w:eastAsia="宋体" w:cs="宋体"/>
        </w:rPr>
        <w:t>月平均人数＝（月初数+月末数）÷2</w:t>
      </w:r>
    </w:p>
    <w:p>
      <w:pPr>
        <w:pStyle w:val="94"/>
        <w:ind w:firstLine="480"/>
        <w:rPr>
          <w:rFonts w:hint="eastAsia" w:ascii="宋体" w:hAnsi="宋体" w:eastAsia="宋体" w:cs="宋体"/>
        </w:rPr>
      </w:pPr>
      <w:r>
        <w:rPr>
          <w:rFonts w:hint="eastAsia" w:ascii="宋体" w:hAnsi="宋体" w:eastAsia="宋体" w:cs="宋体"/>
        </w:rPr>
        <w:t>全年月平均职工总人数＝全年各月平均数之和÷12</w:t>
      </w:r>
    </w:p>
    <w:p>
      <w:pPr>
        <w:pStyle w:val="94"/>
        <w:ind w:firstLine="480"/>
        <w:rPr>
          <w:rFonts w:hint="eastAsia" w:ascii="宋体" w:hAnsi="宋体" w:eastAsia="宋体" w:cs="宋体"/>
        </w:rPr>
      </w:pPr>
      <w:r>
        <w:rPr>
          <w:rFonts w:hint="eastAsia" w:ascii="宋体" w:hAnsi="宋体" w:eastAsia="宋体" w:cs="宋体"/>
        </w:rPr>
        <w:t>2.第2行“签订劳动合同关系且具有大学专\本科以上学历的职工人数”：填报纳税人符合政策规定的大学专\本科以上学历的职工人数。</w:t>
      </w:r>
    </w:p>
    <w:p>
      <w:pPr>
        <w:pStyle w:val="94"/>
        <w:ind w:firstLine="480"/>
        <w:rPr>
          <w:rFonts w:hint="eastAsia" w:ascii="宋体" w:hAnsi="宋体" w:eastAsia="宋体" w:cs="宋体"/>
        </w:rPr>
      </w:pPr>
      <w:r>
        <w:rPr>
          <w:rFonts w:hint="eastAsia" w:ascii="宋体" w:hAnsi="宋体" w:eastAsia="宋体" w:cs="宋体"/>
        </w:rPr>
        <w:t>3.第3行“研究开发人员人数”：填报纳税人本年研究开发人员人数。</w:t>
      </w:r>
    </w:p>
    <w:p>
      <w:pPr>
        <w:pStyle w:val="94"/>
        <w:ind w:firstLine="480"/>
        <w:rPr>
          <w:rFonts w:hint="eastAsia" w:ascii="宋体" w:hAnsi="宋体" w:eastAsia="宋体" w:cs="宋体"/>
        </w:rPr>
      </w:pPr>
      <w:r>
        <w:rPr>
          <w:rFonts w:hint="eastAsia" w:ascii="宋体" w:hAnsi="宋体" w:eastAsia="宋体" w:cs="宋体"/>
        </w:rPr>
        <w:t>4.第4行“二、研发费用总额”：填报企业按照《财政部 国家税务总局 科技部关于完善研发费用税前加计扣除政策的通知》（财税〔2015〕119号）、《国家税务总局关于企业研究开发费用税前加计扣除政策有关问题的公告》(2015年第97号)、《国家税务总局关于研发费用税前加计扣除归集范围有关问题的公告》(2017年第40号)等文件规定口径归集的研发费用。</w:t>
      </w:r>
    </w:p>
    <w:p>
      <w:pPr>
        <w:pStyle w:val="94"/>
        <w:ind w:firstLine="480"/>
        <w:rPr>
          <w:rFonts w:hint="eastAsia" w:ascii="宋体" w:hAnsi="宋体" w:eastAsia="宋体" w:cs="宋体"/>
        </w:rPr>
      </w:pPr>
      <w:r>
        <w:rPr>
          <w:rFonts w:hint="eastAsia" w:ascii="宋体" w:hAnsi="宋体" w:eastAsia="宋体" w:cs="宋体"/>
        </w:rPr>
        <w:t>5.第5行“企业在中国境内发生的研发费用金额”：填报纳税人本年在中国境内发生的研发费用。</w:t>
      </w:r>
    </w:p>
    <w:p>
      <w:pPr>
        <w:pStyle w:val="94"/>
        <w:ind w:firstLine="480"/>
        <w:rPr>
          <w:rFonts w:hint="eastAsia" w:ascii="宋体" w:hAnsi="宋体" w:eastAsia="宋体" w:cs="宋体"/>
        </w:rPr>
      </w:pPr>
      <w:r>
        <w:rPr>
          <w:rFonts w:hint="eastAsia" w:ascii="宋体" w:hAnsi="宋体" w:eastAsia="宋体" w:cs="宋体"/>
        </w:rPr>
        <w:t>6.第6行“三、企业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pStyle w:val="94"/>
        <w:ind w:firstLine="480"/>
        <w:rPr>
          <w:rFonts w:hint="eastAsia" w:ascii="宋体" w:hAnsi="宋体" w:eastAsia="宋体" w:cs="宋体"/>
        </w:rPr>
      </w:pPr>
      <w:r>
        <w:rPr>
          <w:rFonts w:hint="eastAsia" w:ascii="宋体" w:hAnsi="宋体" w:eastAsia="宋体" w:cs="宋体"/>
        </w:rPr>
        <w:t>7.第7行“四、符合条件的销售（营业）收入”：根据企业类型分析填报，具体如下：</w:t>
      </w:r>
    </w:p>
    <w:p>
      <w:pPr>
        <w:pStyle w:val="94"/>
        <w:ind w:firstLine="480"/>
        <w:rPr>
          <w:rFonts w:hint="eastAsia" w:ascii="宋体" w:hAnsi="宋体" w:eastAsia="宋体" w:cs="宋体"/>
        </w:rPr>
      </w:pPr>
      <w:r>
        <w:rPr>
          <w:rFonts w:hint="eastAsia" w:ascii="宋体" w:hAnsi="宋体" w:eastAsia="宋体" w:cs="宋体"/>
        </w:rPr>
        <w:t>（1）集成电路生产企业：填报本年度集成电路制造销售（营业）收入；</w:t>
      </w:r>
    </w:p>
    <w:p>
      <w:pPr>
        <w:pStyle w:val="94"/>
        <w:ind w:firstLine="480"/>
        <w:rPr>
          <w:rFonts w:hint="eastAsia" w:ascii="宋体" w:hAnsi="宋体" w:eastAsia="宋体" w:cs="宋体"/>
        </w:rPr>
      </w:pPr>
      <w:r>
        <w:rPr>
          <w:rFonts w:hint="eastAsia" w:ascii="宋体" w:hAnsi="宋体" w:eastAsia="宋体" w:cs="宋体"/>
        </w:rPr>
        <w:t>（2）集成电路设计企业：填报本年度集成电路设计销售（营业）收入；</w:t>
      </w:r>
    </w:p>
    <w:p>
      <w:pPr>
        <w:pStyle w:val="94"/>
        <w:ind w:firstLine="480"/>
        <w:rPr>
          <w:rFonts w:hint="eastAsia" w:ascii="宋体" w:hAnsi="宋体" w:eastAsia="宋体" w:cs="宋体"/>
        </w:rPr>
      </w:pPr>
      <w:r>
        <w:rPr>
          <w:rFonts w:hint="eastAsia" w:ascii="宋体" w:hAnsi="宋体" w:eastAsia="宋体" w:cs="宋体"/>
        </w:rPr>
        <w:t>（3）软件企业：一般软件企业填报本年软件产品开发销售（营业）收入；嵌入式或信息系统集成软件企业填报嵌入式软件产品和信息系统集成产品开发销售（营业）收入；</w:t>
      </w:r>
    </w:p>
    <w:p>
      <w:pPr>
        <w:pStyle w:val="94"/>
        <w:ind w:firstLine="480"/>
        <w:rPr>
          <w:rFonts w:hint="eastAsia" w:ascii="宋体" w:hAnsi="宋体" w:eastAsia="宋体" w:cs="宋体"/>
        </w:rPr>
      </w:pPr>
      <w:r>
        <w:rPr>
          <w:rFonts w:hint="eastAsia" w:ascii="宋体" w:hAnsi="宋体" w:eastAsia="宋体" w:cs="宋体"/>
        </w:rPr>
        <w:t>（4）集成电路封装、测试（含封装测试）企业：填报本年集成电路封装、测试（含封装测试）销售（营业）收入；</w:t>
      </w:r>
    </w:p>
    <w:p>
      <w:pPr>
        <w:pStyle w:val="94"/>
        <w:ind w:firstLine="480"/>
        <w:rPr>
          <w:rFonts w:hint="eastAsia" w:ascii="宋体" w:hAnsi="宋体" w:eastAsia="宋体" w:cs="宋体"/>
        </w:rPr>
      </w:pPr>
      <w:r>
        <w:rPr>
          <w:rFonts w:hint="eastAsia" w:ascii="宋体" w:hAnsi="宋体" w:eastAsia="宋体" w:cs="宋体"/>
        </w:rPr>
        <w:t>（5）集成电路材料（含关键专用材料）企业：填报本年集成电路材料（含关键专用材料）销售（营业）收入；</w:t>
      </w:r>
    </w:p>
    <w:p>
      <w:pPr>
        <w:pStyle w:val="94"/>
        <w:ind w:firstLine="480"/>
        <w:rPr>
          <w:rFonts w:hint="eastAsia" w:ascii="宋体" w:hAnsi="宋体" w:eastAsia="宋体" w:cs="宋体"/>
        </w:rPr>
      </w:pPr>
      <w:r>
        <w:rPr>
          <w:rFonts w:hint="eastAsia" w:ascii="宋体" w:hAnsi="宋体" w:eastAsia="宋体" w:cs="宋体"/>
        </w:rPr>
        <w:t>（6）集成电路装备（含专用设备）企业：填报本年集成电路装备（含专用设备）销售（营业）收入。</w:t>
      </w:r>
    </w:p>
    <w:p>
      <w:pPr>
        <w:pStyle w:val="94"/>
        <w:ind w:firstLine="480"/>
        <w:rPr>
          <w:rFonts w:hint="eastAsia" w:ascii="宋体" w:hAnsi="宋体" w:eastAsia="宋体" w:cs="宋体"/>
        </w:rPr>
      </w:pPr>
      <w:r>
        <w:rPr>
          <w:rFonts w:hint="eastAsia" w:ascii="宋体" w:hAnsi="宋体" w:eastAsia="宋体" w:cs="宋体"/>
        </w:rPr>
        <w:t>8.第8行“其中：自主设计、自主开发销售及服务收入”：根据企业类型分析填报，具体如下：</w:t>
      </w:r>
    </w:p>
    <w:p>
      <w:pPr>
        <w:pStyle w:val="94"/>
        <w:ind w:firstLine="480"/>
        <w:rPr>
          <w:rFonts w:hint="eastAsia" w:ascii="宋体" w:hAnsi="宋体" w:eastAsia="宋体" w:cs="宋体"/>
        </w:rPr>
      </w:pPr>
      <w:r>
        <w:rPr>
          <w:rFonts w:hint="eastAsia" w:ascii="宋体" w:hAnsi="宋体" w:eastAsia="宋体" w:cs="宋体"/>
        </w:rPr>
        <w:t>（1）集成电路设计企业：填报本年度集成电路自主设计销售（营业）收入。</w:t>
      </w:r>
    </w:p>
    <w:p>
      <w:pPr>
        <w:pStyle w:val="94"/>
        <w:ind w:firstLine="480"/>
        <w:rPr>
          <w:rFonts w:hint="eastAsia" w:ascii="宋体" w:hAnsi="宋体" w:eastAsia="宋体" w:cs="宋体"/>
        </w:rPr>
      </w:pPr>
      <w:r>
        <w:rPr>
          <w:rFonts w:hint="eastAsia" w:ascii="宋体" w:hAnsi="宋体" w:eastAsia="宋体" w:cs="宋体"/>
        </w:rPr>
        <w:t>（2）软件企业：软件企业填报本年软件产品自主开发销售（营业）收入；嵌入式或信息系统集成软件企业填报本年自主开发嵌入式软件产品和信息系统集成产品开发销售（营业）收入。</w:t>
      </w:r>
    </w:p>
    <w:p>
      <w:pPr>
        <w:pStyle w:val="94"/>
        <w:ind w:firstLine="480"/>
        <w:rPr>
          <w:rFonts w:hint="eastAsia" w:ascii="宋体" w:hAnsi="宋体" w:eastAsia="宋体" w:cs="宋体"/>
        </w:rPr>
      </w:pPr>
      <w:r>
        <w:rPr>
          <w:rFonts w:hint="eastAsia" w:ascii="宋体" w:hAnsi="宋体" w:eastAsia="宋体" w:cs="宋体"/>
        </w:rPr>
        <w:t>9.第9行“五、拥有核心关键技术和属于本企业的知识产权总数”：填报拥有核心关键技术和属于本企业的知识产权的数量。</w:t>
      </w:r>
    </w:p>
    <w:p>
      <w:pPr>
        <w:pStyle w:val="94"/>
        <w:ind w:firstLine="480"/>
        <w:rPr>
          <w:rFonts w:hint="eastAsia" w:ascii="宋体" w:hAnsi="宋体" w:eastAsia="宋体" w:cs="宋体"/>
        </w:rPr>
      </w:pPr>
      <w:r>
        <w:rPr>
          <w:rFonts w:hint="eastAsia" w:ascii="宋体" w:hAnsi="宋体" w:eastAsia="宋体" w:cs="宋体"/>
        </w:rPr>
        <w:t>10.第10行“其中：发明专利”：填报拥有核心关键技术和属于本企业的知识产权中属于发明专利的数量。</w:t>
      </w:r>
    </w:p>
    <w:p>
      <w:pPr>
        <w:pStyle w:val="94"/>
        <w:ind w:firstLine="480"/>
        <w:rPr>
          <w:rFonts w:hint="eastAsia" w:ascii="宋体" w:hAnsi="宋体" w:eastAsia="宋体" w:cs="宋体"/>
        </w:rPr>
      </w:pPr>
      <w:r>
        <w:rPr>
          <w:rFonts w:hint="eastAsia" w:ascii="宋体" w:hAnsi="宋体" w:eastAsia="宋体" w:cs="宋体"/>
        </w:rPr>
        <w:t>11.第11行“集成电路布图设计登记”：由集成电路设计企业填报集成电路布图设计登记数量。</w:t>
      </w:r>
    </w:p>
    <w:p>
      <w:pPr>
        <w:pStyle w:val="94"/>
        <w:tabs>
          <w:tab w:val="right" w:pos="8592"/>
        </w:tabs>
        <w:ind w:firstLine="480"/>
        <w:rPr>
          <w:rFonts w:hint="eastAsia" w:ascii="宋体" w:hAnsi="宋体" w:eastAsia="宋体" w:cs="宋体"/>
        </w:rPr>
      </w:pPr>
      <w:r>
        <w:rPr>
          <w:rFonts w:hint="eastAsia" w:ascii="宋体" w:hAnsi="宋体" w:eastAsia="宋体" w:cs="宋体"/>
        </w:rPr>
        <w:t>12.第12行“计算机软件著作权”：填报计算机软件著作权数量。</w:t>
      </w:r>
      <w:r>
        <w:rPr>
          <w:rFonts w:hint="eastAsia" w:ascii="宋体" w:hAnsi="宋体" w:eastAsia="宋体" w:cs="宋体"/>
        </w:rPr>
        <w:tab/>
      </w:r>
    </w:p>
    <w:p>
      <w:pPr>
        <w:pStyle w:val="94"/>
        <w:ind w:firstLine="480"/>
        <w:rPr>
          <w:rFonts w:hint="eastAsia" w:ascii="宋体" w:hAnsi="宋体" w:eastAsia="宋体" w:cs="宋体"/>
        </w:rPr>
      </w:pPr>
      <w:r>
        <w:rPr>
          <w:rFonts w:hint="eastAsia" w:ascii="宋体" w:hAnsi="宋体" w:eastAsia="宋体" w:cs="宋体"/>
        </w:rPr>
        <w:t>13.第13行“是否从事 8 英寸及以下集成电路生产”：由集成电路生产企业根据企业经营情况勾选。</w:t>
      </w:r>
    </w:p>
    <w:p>
      <w:pPr>
        <w:pStyle w:val="94"/>
        <w:ind w:firstLine="480"/>
        <w:rPr>
          <w:rFonts w:hint="eastAsia" w:ascii="宋体" w:hAnsi="宋体" w:eastAsia="宋体" w:cs="宋体"/>
        </w:rPr>
      </w:pPr>
      <w:r>
        <w:rPr>
          <w:rFonts w:hint="eastAsia" w:ascii="宋体" w:hAnsi="宋体" w:eastAsia="宋体" w:cs="宋体"/>
        </w:rPr>
        <w:t>14.第14行“是否按照开发、销售嵌入式软件企业条件享受政策”：由软件企业根据企业生产经营情况勾选。</w:t>
      </w:r>
    </w:p>
    <w:p>
      <w:pPr>
        <w:pStyle w:val="94"/>
        <w:ind w:firstLine="480"/>
        <w:rPr>
          <w:rFonts w:hint="eastAsia" w:ascii="宋体" w:hAnsi="宋体" w:eastAsia="宋体" w:cs="宋体"/>
        </w:rPr>
      </w:pPr>
      <w:r>
        <w:rPr>
          <w:rFonts w:hint="eastAsia" w:ascii="宋体" w:hAnsi="宋体" w:eastAsia="宋体" w:cs="宋体"/>
        </w:rPr>
        <w:t>15.第15行“重点集成电路设计领域和重点软件领域”：由重点集成电路设计企业和软件企业根据企业实际情况，从《重点集成电路设计和软件企业领域表》中选择所属领域填入本项。</w:t>
      </w:r>
    </w:p>
    <w:p>
      <w:pPr>
        <w:pStyle w:val="95"/>
        <w:outlineLvl w:val="1"/>
        <w:rPr>
          <w:rFonts w:hint="eastAsia" w:ascii="宋体" w:hAnsi="宋体" w:eastAsia="宋体" w:cs="宋体"/>
        </w:rPr>
      </w:pPr>
      <w:bookmarkStart w:id="379" w:name="_Toc964388059_WPSOffice_Level2"/>
      <w:bookmarkStart w:id="380" w:name="_Toc1129106312_WPSOffice_Level2"/>
      <w:r>
        <w:rPr>
          <w:rFonts w:hint="eastAsia" w:ascii="宋体" w:hAnsi="宋体" w:eastAsia="宋体" w:cs="宋体"/>
        </w:rPr>
        <w:t>重点集成电路设计和软件企业领域表</w:t>
      </w:r>
      <w:bookmarkEnd w:id="379"/>
      <w:bookmarkEnd w:id="380"/>
    </w:p>
    <w:tbl>
      <w:tblPr>
        <w:tblStyle w:val="25"/>
        <w:tblW w:w="9160"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restart"/>
            <w:noWrap w:val="0"/>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一、重点集成电路设计领域</w:t>
            </w: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（一）高性能处理器和 FPGA 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（二）存储芯片；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（三）智能传感器；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（四）工业、通信、汽车和安全芯片；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（五）EDA、IP 和设计服务。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restart"/>
            <w:noWrap w:val="0"/>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二、重点软件领域</w:t>
            </w: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（一）基础软件：操作系统、数据库管理系统、中间件、通用办公软件、固件（BIOS）、开发支撑软件、少数民族语言文字编辑处理软件。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（二）研发设计类工业软件：虚拟仿真系统、计算机辅助设计（CAD）、计算机辅助工程（CAE）、计算机辅助制造（CAM）、计算机辅助工艺规划（CAPP）、建筑信息模型（BIM）、产品数据管理（PDM）软件。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（三）生产控制类工业软件：工业控制系统、制造执行系统（MES）、制造运行管理（MOM）、调度优化系统（ORION）、先进控制系统（APC）、安全仪表系统（SIS）、可编程控制器（PLC）。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四）新兴技术软件：分布式计算、数据分析挖掘、可视化、数据采集清洗等大数据软件，人机交互、通用算法软件、基础算法库、工具链、机器学习和深度学习框架等人工智能软件，信息系统运行维护软件，超级计算软件，区块链软件，工业互联网平台软件，云管理软件，虚拟化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（五）信息安全软件：信息系统安全、网络安全、密码算法、数据安全、安全测试等方面的软件。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六）重点行业应用软件：面向党政机关、国防、能源、交通、物流、通信、广电、医疗、建筑、制造业、应急、社保、农业、水利、教育、金融财税、知识产权、检验检测、科学研究、公共安全、节能环保、自然资源、城市管理、地理信息领域的专业应用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七）经营管理类工业软件：企业资源计划（ERP）、供应链管理（SCM）、客户关系管理（CRM）、人力资源管理（HEM）、企业资产管理（EAM）、产品生命周期管理（PLM）、运维综合保障管理（MRO）软件及相关云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rPr>
                <w:rFonts w:hint="eastAsia" w:ascii="宋体" w:hAnsi="宋体" w:cs="宋体"/>
                <w:kern w:val="0"/>
                <w:szCs w:val="21"/>
              </w:rPr>
            </w:pPr>
            <w:r>
              <w:rPr>
                <w:rFonts w:hint="eastAsia" w:ascii="宋体" w:hAnsi="宋体" w:cs="宋体"/>
                <w:kern w:val="0"/>
                <w:szCs w:val="21"/>
              </w:rPr>
              <w:t>（八）公有云服务软件：大型公有云 IaaS、PaaS 服务软件。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rPr>
                <w:rFonts w:hint="eastAsia" w:ascii="宋体" w:hAnsi="宋体" w:cs="宋体"/>
                <w:kern w:val="0"/>
                <w:szCs w:val="21"/>
              </w:rPr>
            </w:pPr>
            <w:r>
              <w:rPr>
                <w:rFonts w:hint="eastAsia" w:ascii="宋体" w:hAnsi="宋体" w:cs="宋体"/>
                <w:kern w:val="0"/>
                <w:szCs w:val="21"/>
              </w:rPr>
              <w:t>（九）嵌入式软件（软件收入比例不低于 50%）：通信设备、汽车电子、交通监控设备、电子测量仪器、装备自动控制、电子医疗器械、计算机应用产品、终端设备等嵌入式软件及嵌入式软件开发环境相关软件。</w:t>
            </w:r>
          </w:p>
        </w:tc>
      </w:tr>
    </w:tbl>
    <w:p>
      <w:pPr>
        <w:pStyle w:val="94"/>
        <w:ind w:firstLine="480"/>
        <w:rPr>
          <w:rFonts w:hint="eastAsia" w:ascii="宋体" w:hAnsi="宋体" w:eastAsia="宋体" w:cs="宋体"/>
        </w:rPr>
      </w:pPr>
      <w:r>
        <w:rPr>
          <w:rFonts w:hint="eastAsia" w:ascii="宋体" w:hAnsi="宋体" w:eastAsia="宋体" w:cs="宋体"/>
        </w:rPr>
        <w:t>16.第16行“减免税额”：填报本年享受集成电路、软件企业优惠的金额。当减免方式为“项目所得二免三减半（免税）”“项目所得二免三减半（减半征收）”“项目所得五免五减半（免税）”“项目所得五</w:t>
      </w:r>
      <w:bookmarkStart w:id="446" w:name="_GoBack"/>
      <w:bookmarkEnd w:id="446"/>
      <w:r>
        <w:rPr>
          <w:rFonts w:hint="eastAsia" w:ascii="宋体" w:hAnsi="宋体" w:eastAsia="宋体" w:cs="宋体"/>
        </w:rPr>
        <w:t>免五减半（减半征收）”“项目所得十免（免税）”时，本行无需填报。</w:t>
      </w:r>
    </w:p>
    <w:p>
      <w:pPr>
        <w:pStyle w:val="96"/>
        <w:spacing w:before="156"/>
        <w:ind w:firstLine="480"/>
        <w:outlineLvl w:val="0"/>
        <w:rPr>
          <w:rFonts w:hint="eastAsia" w:ascii="宋体" w:hAnsi="宋体" w:eastAsia="宋体" w:cs="宋体"/>
        </w:rPr>
      </w:pPr>
      <w:bookmarkStart w:id="381" w:name="_Toc1912222916_WPSOffice_Level1"/>
      <w:bookmarkStart w:id="382" w:name="_Toc54267969"/>
      <w:bookmarkStart w:id="383" w:name="_Toc2035009352_WPSOffice_Level1"/>
      <w:r>
        <w:rPr>
          <w:rFonts w:hint="eastAsia" w:ascii="宋体" w:hAnsi="宋体" w:eastAsia="宋体" w:cs="宋体"/>
        </w:rPr>
        <w:t>三、表内、表间关系</w:t>
      </w:r>
      <w:bookmarkEnd w:id="381"/>
      <w:bookmarkEnd w:id="382"/>
      <w:bookmarkEnd w:id="383"/>
    </w:p>
    <w:p>
      <w:pPr>
        <w:pStyle w:val="95"/>
        <w:outlineLvl w:val="1"/>
        <w:rPr>
          <w:rFonts w:hint="eastAsia" w:ascii="宋体" w:hAnsi="宋体" w:eastAsia="宋体" w:cs="宋体"/>
        </w:rPr>
      </w:pPr>
      <w:bookmarkStart w:id="384" w:name="_Toc336255016_WPSOffice_Level2"/>
      <w:bookmarkStart w:id="385" w:name="_Toc1220048733_WPSOffice_Level2"/>
      <w:r>
        <w:rPr>
          <w:rFonts w:hint="eastAsia" w:ascii="宋体" w:hAnsi="宋体" w:eastAsia="宋体" w:cs="宋体"/>
        </w:rPr>
        <w:t>本表第16行与A107040表行次对应关系表</w:t>
      </w:r>
      <w:bookmarkEnd w:id="384"/>
      <w:bookmarkEnd w:id="385"/>
    </w:p>
    <w:tbl>
      <w:tblPr>
        <w:tblStyle w:val="25"/>
        <w:tblW w:w="9058" w:type="dxa"/>
        <w:jc w:val="center"/>
        <w:tblLayout w:type="autofit"/>
        <w:tblCellMar>
          <w:top w:w="0" w:type="dxa"/>
          <w:left w:w="108" w:type="dxa"/>
          <w:bottom w:w="0" w:type="dxa"/>
          <w:right w:w="108" w:type="dxa"/>
        </w:tblCellMar>
      </w:tblPr>
      <w:tblGrid>
        <w:gridCol w:w="2748"/>
        <w:gridCol w:w="1159"/>
        <w:gridCol w:w="944"/>
        <w:gridCol w:w="3048"/>
        <w:gridCol w:w="1159"/>
      </w:tblGrid>
      <w:tr>
        <w:tblPrEx>
          <w:tblCellMar>
            <w:top w:w="0" w:type="dxa"/>
            <w:left w:w="108" w:type="dxa"/>
            <w:bottom w:w="0" w:type="dxa"/>
            <w:right w:w="108" w:type="dxa"/>
          </w:tblCellMar>
        </w:tblPrEx>
        <w:trPr>
          <w:trHeight w:val="540" w:hRule="atLeast"/>
          <w:jc w:val="center"/>
        </w:trPr>
        <w:tc>
          <w:tcPr>
            <w:tcW w:w="2748" w:type="dxa"/>
            <w:tcBorders>
              <w:top w:val="single" w:color="auto" w:sz="12" w:space="0"/>
              <w:left w:val="single" w:color="auto" w:sz="12" w:space="0"/>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软件、集成电路企业类型</w:t>
            </w:r>
          </w:p>
        </w:tc>
        <w:tc>
          <w:tcPr>
            <w:tcW w:w="1159"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选择适用优惠政策</w:t>
            </w:r>
          </w:p>
        </w:tc>
        <w:tc>
          <w:tcPr>
            <w:tcW w:w="944"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优惠方式代码</w:t>
            </w:r>
          </w:p>
        </w:tc>
        <w:tc>
          <w:tcPr>
            <w:tcW w:w="3048"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减免方式类型</w:t>
            </w:r>
          </w:p>
        </w:tc>
        <w:tc>
          <w:tcPr>
            <w:tcW w:w="1159" w:type="dxa"/>
            <w:tcBorders>
              <w:top w:val="single" w:color="auto" w:sz="12" w:space="0"/>
              <w:left w:val="nil"/>
              <w:bottom w:val="single" w:color="auto" w:sz="8" w:space="0"/>
              <w:right w:val="single" w:color="auto" w:sz="12"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A107040对应行次</w:t>
            </w:r>
          </w:p>
        </w:tc>
      </w:tr>
      <w:tr>
        <w:tblPrEx>
          <w:tblCellMar>
            <w:top w:w="0" w:type="dxa"/>
            <w:left w:w="108" w:type="dxa"/>
            <w:bottom w:w="0" w:type="dxa"/>
            <w:right w:w="108" w:type="dxa"/>
          </w:tblCellMar>
        </w:tblPrEx>
        <w:trPr>
          <w:trHeight w:val="285" w:hRule="atLeast"/>
          <w:jc w:val="center"/>
        </w:trPr>
        <w:tc>
          <w:tcPr>
            <w:tcW w:w="2748" w:type="dxa"/>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110集成电路生产企业（线宽小于0.8微米的企业）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120集成电路生产企业（线宽小于0.25微米的企业）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130集成电路生产企业（投资额超过80亿元的企业）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131集成电路生产企业（投资额超过150亿元的企业）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auto" w:sz="12"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12"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12"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12"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12"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12"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140集成电路生产企业（线宽小于130纳米的企业）</w:t>
            </w:r>
          </w:p>
        </w:tc>
        <w:tc>
          <w:tcPr>
            <w:tcW w:w="1159" w:type="dxa"/>
            <w:tcBorders>
              <w:top w:val="single" w:color="auto" w:sz="12"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12"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12"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28.4.3</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28.4.3</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151集成电路生产企业（线宽小于65纳米的企业）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28.4.2</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28.4.2</w:t>
            </w:r>
          </w:p>
        </w:tc>
      </w:tr>
      <w:tr>
        <w:tblPrEx>
          <w:tblCellMar>
            <w:top w:w="0" w:type="dxa"/>
            <w:left w:w="108" w:type="dxa"/>
            <w:bottom w:w="0" w:type="dxa"/>
            <w:right w:w="108" w:type="dxa"/>
          </w:tblCellMar>
        </w:tblPrEx>
        <w:trPr>
          <w:trHeight w:val="495" w:hRule="atLeast"/>
          <w:jc w:val="center"/>
        </w:trPr>
        <w:tc>
          <w:tcPr>
            <w:tcW w:w="2748" w:type="dxa"/>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160集成电路生产企业（线宽小于28纳米的企业）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企业十免（免税）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240集成电路设计企业（集成电路设计企业）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28.4.4</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28.4.4</w:t>
            </w:r>
          </w:p>
        </w:tc>
      </w:tr>
      <w:tr>
        <w:tblPrEx>
          <w:tblCellMar>
            <w:top w:w="0" w:type="dxa"/>
            <w:left w:w="108" w:type="dxa"/>
            <w:bottom w:w="0" w:type="dxa"/>
            <w:right w:w="108" w:type="dxa"/>
          </w:tblCellMar>
        </w:tblPrEx>
        <w:trPr>
          <w:trHeight w:val="52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250集成电路设计企业（重点集成电路设计企业）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企业减按10%税率征收企业所得税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28.4.5</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28.4.5</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330软件企业（软件企业）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13</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28.4.9</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28.4.9</w:t>
            </w:r>
          </w:p>
        </w:tc>
      </w:tr>
      <w:tr>
        <w:tblPrEx>
          <w:tblCellMar>
            <w:top w:w="0" w:type="dxa"/>
            <w:left w:w="108" w:type="dxa"/>
            <w:bottom w:w="0" w:type="dxa"/>
            <w:right w:w="108" w:type="dxa"/>
          </w:tblCellMar>
        </w:tblPrEx>
        <w:trPr>
          <w:trHeight w:val="52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340软件企业（重点软件企业）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企业减按10%税率征收企业所得税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28.4.10</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28.4.10</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400集成电路封装、测试（含封装测试）企业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28.4.8</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28.4.8</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500集成电路材料（含关键专用材料）企业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28.4.7</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600集成电路装备（含专用设备）企业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12"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12"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12"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28.4.6</w:t>
            </w:r>
          </w:p>
        </w:tc>
      </w:tr>
      <w:bookmarkEnd w:id="360"/>
    </w:tbl>
    <w:p>
      <w:pPr>
        <w:pStyle w:val="65"/>
        <w:sectPr>
          <w:pgSz w:w="11906" w:h="16838"/>
          <w:pgMar w:top="1985" w:right="1418" w:bottom="1928" w:left="1418" w:header="851" w:footer="992" w:gutter="113"/>
          <w:pgNumType w:fmt="decimal"/>
          <w:cols w:space="720" w:num="1"/>
          <w:docGrid w:linePitch="312" w:charSpace="0"/>
        </w:sectPr>
      </w:pPr>
      <w:bookmarkStart w:id="386" w:name="_Toc393471154"/>
      <w:bookmarkStart w:id="387" w:name="_Hlk497639598"/>
    </w:p>
    <w:p>
      <w:pPr>
        <w:pStyle w:val="80"/>
      </w:pPr>
      <w:bookmarkStart w:id="388" w:name="_Toc18479"/>
      <w:r>
        <w:rPr>
          <w:rFonts w:hint="eastAsia"/>
        </w:rPr>
        <w:t>A107050</w:t>
      </w:r>
      <w:r>
        <w:tab/>
      </w:r>
      <w:r>
        <w:rPr>
          <w:rFonts w:hint="eastAsia"/>
        </w:rPr>
        <w:t>税额抵免优惠明细表</w:t>
      </w:r>
      <w:bookmarkEnd w:id="388"/>
    </w:p>
    <w:tbl>
      <w:tblPr>
        <w:tblStyle w:val="25"/>
        <w:tblW w:w="13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060"/>
        <w:gridCol w:w="1060"/>
        <w:gridCol w:w="1060"/>
        <w:gridCol w:w="1060"/>
        <w:gridCol w:w="1216"/>
        <w:gridCol w:w="688"/>
        <w:gridCol w:w="674"/>
        <w:gridCol w:w="807"/>
        <w:gridCol w:w="681"/>
        <w:gridCol w:w="84"/>
        <w:gridCol w:w="773"/>
        <w:gridCol w:w="1216"/>
        <w:gridCol w:w="1171"/>
        <w:gridCol w:w="1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6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106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本年抵免前应纳税额</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本年允许抵免的专用设备投资额</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本年可抵免税额</w:t>
            </w:r>
          </w:p>
        </w:tc>
        <w:tc>
          <w:tcPr>
            <w:tcW w:w="4923" w:type="dxa"/>
            <w:gridSpan w:val="7"/>
            <w:noWrap/>
            <w:vAlign w:val="center"/>
          </w:tcPr>
          <w:p>
            <w:pPr>
              <w:widowControl/>
              <w:jc w:val="center"/>
              <w:rPr>
                <w:rFonts w:ascii="宋体" w:hAnsi="宋体" w:cs="宋体"/>
                <w:kern w:val="0"/>
                <w:sz w:val="20"/>
                <w:szCs w:val="20"/>
              </w:rPr>
            </w:pPr>
            <w:r>
              <w:rPr>
                <w:rFonts w:hint="eastAsia" w:ascii="宋体" w:hAnsi="宋体" w:cs="宋体"/>
                <w:kern w:val="0"/>
                <w:sz w:val="20"/>
                <w:szCs w:val="20"/>
              </w:rPr>
              <w:t>以前年度已抵免额</w:t>
            </w:r>
          </w:p>
        </w:tc>
        <w:tc>
          <w:tcPr>
            <w:tcW w:w="1171"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本年实际抵免的各年度税额</w:t>
            </w:r>
          </w:p>
        </w:tc>
        <w:tc>
          <w:tcPr>
            <w:tcW w:w="1245" w:type="dxa"/>
            <w:vAlign w:val="center"/>
          </w:tcPr>
          <w:p>
            <w:pPr>
              <w:widowControl/>
              <w:jc w:val="center"/>
              <w:rPr>
                <w:rFonts w:ascii="宋体" w:hAnsi="宋体" w:cs="宋体"/>
                <w:kern w:val="0"/>
                <w:sz w:val="20"/>
                <w:szCs w:val="20"/>
              </w:rPr>
            </w:pPr>
            <w:r>
              <w:rPr>
                <w:rFonts w:hint="eastAsia" w:ascii="宋体" w:hAnsi="宋体" w:cs="宋体"/>
                <w:kern w:val="0"/>
                <w:sz w:val="20"/>
                <w:szCs w:val="20"/>
              </w:rPr>
              <w:t>可结转以后年度抵免的税额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688" w:type="dxa"/>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121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1171" w:type="dxa"/>
            <w:vAlign w:val="center"/>
          </w:tcPr>
          <w:p>
            <w:pPr>
              <w:widowControl/>
              <w:jc w:val="left"/>
              <w:rPr>
                <w:rFonts w:ascii="宋体" w:hAnsi="宋体" w:cs="宋体"/>
                <w:kern w:val="0"/>
                <w:sz w:val="20"/>
                <w:szCs w:val="20"/>
              </w:rPr>
            </w:pPr>
          </w:p>
        </w:tc>
        <w:tc>
          <w:tcPr>
            <w:tcW w:w="1245" w:type="dxa"/>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4（3×10%）</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216" w:type="dxa"/>
            <w:vAlign w:val="center"/>
          </w:tcPr>
          <w:p>
            <w:pPr>
              <w:widowControl/>
              <w:jc w:val="center"/>
              <w:rPr>
                <w:rFonts w:ascii="宋体" w:hAnsi="宋体" w:cs="宋体"/>
                <w:kern w:val="0"/>
                <w:sz w:val="20"/>
                <w:szCs w:val="20"/>
              </w:rPr>
            </w:pPr>
            <w:r>
              <w:rPr>
                <w:rFonts w:hint="eastAsia" w:ascii="宋体" w:hAnsi="宋体" w:cs="宋体"/>
                <w:kern w:val="0"/>
                <w:sz w:val="20"/>
                <w:szCs w:val="20"/>
              </w:rPr>
              <w:t>10（5+…+9）</w:t>
            </w:r>
          </w:p>
        </w:tc>
        <w:tc>
          <w:tcPr>
            <w:tcW w:w="117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245" w:type="dxa"/>
            <w:vAlign w:val="center"/>
          </w:tcPr>
          <w:p>
            <w:pPr>
              <w:widowControl/>
              <w:jc w:val="center"/>
              <w:rPr>
                <w:rFonts w:ascii="宋体" w:hAnsi="宋体" w:cs="宋体"/>
                <w:kern w:val="0"/>
                <w:sz w:val="20"/>
                <w:szCs w:val="20"/>
              </w:rPr>
            </w:pPr>
            <w:r>
              <w:rPr>
                <w:rFonts w:hint="eastAsia" w:ascii="宋体" w:hAnsi="宋体" w:cs="宋体"/>
                <w:kern w:val="0"/>
                <w:sz w:val="20"/>
                <w:szCs w:val="20"/>
              </w:rPr>
              <w:t>12（4-10-11）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本年度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21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223" w:type="dxa"/>
            <w:gridSpan w:val="12"/>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本年实际抵免税额合计</w:t>
            </w:r>
          </w:p>
        </w:tc>
        <w:tc>
          <w:tcPr>
            <w:tcW w:w="117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1394" w:type="dxa"/>
            <w:gridSpan w:val="13"/>
            <w:noWrap/>
            <w:vAlign w:val="center"/>
          </w:tcPr>
          <w:p>
            <w:pPr>
              <w:widowControl/>
              <w:jc w:val="left"/>
              <w:rPr>
                <w:rFonts w:ascii="宋体" w:hAnsi="宋体" w:cs="宋体"/>
                <w:kern w:val="0"/>
                <w:sz w:val="20"/>
                <w:szCs w:val="20"/>
              </w:rPr>
            </w:pPr>
            <w:r>
              <w:rPr>
                <w:rFonts w:hint="eastAsia" w:ascii="宋体" w:hAnsi="宋体" w:cs="宋体"/>
                <w:kern w:val="0"/>
                <w:sz w:val="20"/>
                <w:szCs w:val="20"/>
              </w:rPr>
              <w:t>可结转以后年度抵免的税额合计</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专用设备</w:t>
            </w:r>
            <w:r>
              <w:rPr>
                <w:rFonts w:hint="eastAsia" w:ascii="宋体" w:hAnsi="宋体" w:cs="宋体"/>
                <w:kern w:val="0"/>
                <w:sz w:val="20"/>
                <w:szCs w:val="20"/>
              </w:rPr>
              <w:br w:type="textWrapping"/>
            </w:r>
            <w:r>
              <w:rPr>
                <w:rFonts w:hint="eastAsia" w:ascii="宋体" w:hAnsi="宋体" w:cs="宋体"/>
                <w:kern w:val="0"/>
                <w:sz w:val="20"/>
                <w:szCs w:val="20"/>
              </w:rPr>
              <w:t>投资情况</w:t>
            </w: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本年允许抵免的环境保护专用设备投资额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60" w:type="dxa"/>
            <w:vMerge w:val="continue"/>
            <w:vAlign w:val="center"/>
          </w:tcPr>
          <w:p>
            <w:pPr>
              <w:widowControl/>
              <w:jc w:val="left"/>
              <w:rPr>
                <w:rFonts w:ascii="宋体" w:hAnsi="宋体" w:cs="宋体"/>
                <w:kern w:val="0"/>
                <w:sz w:val="20"/>
                <w:szCs w:val="20"/>
              </w:rPr>
            </w:pP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本年允许抵免节能节水的专用设备投资额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60" w:type="dxa"/>
            <w:vMerge w:val="continue"/>
            <w:vAlign w:val="center"/>
          </w:tcPr>
          <w:p>
            <w:pPr>
              <w:widowControl/>
              <w:jc w:val="left"/>
              <w:rPr>
                <w:rFonts w:ascii="宋体" w:hAnsi="宋体" w:cs="宋体"/>
                <w:kern w:val="0"/>
                <w:sz w:val="20"/>
                <w:szCs w:val="20"/>
              </w:rPr>
            </w:pP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本年允许抵免的安全生产专用设备投资额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sectPr>
          <w:pgSz w:w="16838" w:h="11906" w:orient="landscape"/>
          <w:pgMar w:top="1418" w:right="1985" w:bottom="1418" w:left="1928" w:header="851" w:footer="992" w:gutter="113"/>
          <w:pgNumType w:fmt="decimal"/>
          <w:cols w:space="720" w:num="1"/>
          <w:docGrid w:linePitch="312" w:charSpace="0"/>
        </w:sectPr>
      </w:pPr>
    </w:p>
    <w:bookmarkEnd w:id="386"/>
    <w:bookmarkEnd w:id="387"/>
    <w:p>
      <w:pPr>
        <w:pStyle w:val="88"/>
        <w:spacing w:before="240" w:after="360"/>
        <w:rPr>
          <w:rFonts w:ascii="宋体" w:eastAsia="宋体"/>
          <w:b/>
        </w:rPr>
      </w:pPr>
      <w:bookmarkStart w:id="389" w:name="_Toc10443"/>
      <w:bookmarkStart w:id="390" w:name="_Toc393471164"/>
      <w:r>
        <w:rPr>
          <w:rFonts w:hint="eastAsia" w:ascii="宋体" w:eastAsia="宋体"/>
          <w:b/>
        </w:rPr>
        <w:t>A107050《税额抵免优惠明细表》填报说明</w:t>
      </w:r>
      <w:bookmarkEnd w:id="389"/>
      <w:bookmarkEnd w:id="390"/>
    </w:p>
    <w:p>
      <w:pPr>
        <w:pStyle w:val="65"/>
      </w:pPr>
      <w:r>
        <w:rPr>
          <w:rFonts w:hint="eastAsia"/>
        </w:rPr>
        <w:t>本表适用于享受专用设备投资额抵免优惠（含结转）的纳税人填报。纳税人根据税法、《</w:t>
      </w:r>
      <w:r>
        <w:t>财政部　国家税务总局关于执行环境保护专用设备企业所得税优惠目录、节能节水专用设备企业所得税优惠目录和安全生产专用设备企业所得税优惠目录有关问题的通知</w:t>
      </w:r>
      <w:r>
        <w:rPr>
          <w:rFonts w:hint="eastAsia"/>
        </w:rPr>
        <w:t>》（财税〔</w:t>
      </w:r>
      <w:r>
        <w:t>2008〕48号</w:t>
      </w:r>
      <w:r>
        <w:rPr>
          <w:rFonts w:hint="eastAsia"/>
        </w:rPr>
        <w:t>）、《财政部　国家税务总局　国家发展改革委关于公布节能节水专用设备企业所得税优惠目录（2008年版）和环境保护专用设备企业所得税优惠目录（2008年版）的通知》（财税〔</w:t>
      </w:r>
      <w:r>
        <w:t>2008〕115号</w:t>
      </w:r>
      <w:r>
        <w:rPr>
          <w:rFonts w:hint="eastAsia"/>
        </w:rPr>
        <w:t>）、《财政部　国家税务总局　安全监管总局关于公布〈安全生产专用设备企业所得税优惠目录（2008年版）〉的通知》（财税〔</w:t>
      </w:r>
      <w:r>
        <w:t>2008〕118号</w:t>
      </w:r>
      <w:r>
        <w:rPr>
          <w:rFonts w:hint="eastAsia"/>
        </w:rPr>
        <w:t>）、《财政部　国家税务总局关于执行企业所得税优惠政策若干问题的通知》（财税〔</w:t>
      </w:r>
      <w:r>
        <w:t>2009〕69号</w:t>
      </w:r>
      <w:r>
        <w:rPr>
          <w:rFonts w:hint="eastAsia"/>
        </w:rPr>
        <w:t>）、《国家税务总局关于环境保护、节能节水、安全生产等专用设备投资抵免企业所得税有关问题的通知》（国税函〔</w:t>
      </w:r>
      <w:r>
        <w:t>2010〕256号</w:t>
      </w:r>
      <w:r>
        <w:rPr>
          <w:rFonts w:hint="eastAsia"/>
        </w:rPr>
        <w:t>）、《财政部 税务总局 国家发展改革委 工业和信息化部 环境保护部关于印发节能节水和环境保护专用设备企业所得税优惠目录（2017年版）的通知》（财税〔</w:t>
      </w:r>
      <w:r>
        <w:t>20</w:t>
      </w:r>
      <w:r>
        <w:rPr>
          <w:rFonts w:hint="eastAsia"/>
        </w:rPr>
        <w:t>17</w:t>
      </w:r>
      <w:r>
        <w:t>〕</w:t>
      </w:r>
      <w:r>
        <w:rPr>
          <w:rFonts w:hint="eastAsia"/>
        </w:rPr>
        <w:t>71</w:t>
      </w:r>
      <w:r>
        <w:t>号</w:t>
      </w:r>
      <w:r>
        <w:rPr>
          <w:rFonts w:hint="eastAsia"/>
        </w:rPr>
        <w:t>）等相关税收政策规定，填报本年发生的专用设备投资额抵免优惠（含结转）情况。</w:t>
      </w:r>
    </w:p>
    <w:p>
      <w:pPr>
        <w:pStyle w:val="69"/>
        <w:ind w:firstLine="482"/>
        <w:outlineLvl w:val="0"/>
      </w:pPr>
      <w:r>
        <w:rPr>
          <w:rFonts w:hint="eastAsia"/>
        </w:rPr>
        <w:t>一、有关项目填报说明</w:t>
      </w:r>
    </w:p>
    <w:p>
      <w:pPr>
        <w:pStyle w:val="65"/>
      </w:pPr>
      <w:r>
        <w:rPr>
          <w:rFonts w:hint="eastAsia"/>
        </w:rPr>
        <w:t>1</w:t>
      </w:r>
      <w:r>
        <w:rPr>
          <w:rFonts w:hint="eastAsia" w:cs="Calibri"/>
        </w:rPr>
        <w:t>.</w:t>
      </w:r>
      <w:r>
        <w:rPr>
          <w:rFonts w:hint="eastAsia"/>
        </w:rPr>
        <w:t>第1列“年度”：填报公历年份。第6行为本年，</w:t>
      </w:r>
      <w:r>
        <w:t>第5</w:t>
      </w:r>
      <w:r>
        <w:rPr>
          <w:rFonts w:hint="eastAsia"/>
        </w:rPr>
        <w:t>行</w:t>
      </w:r>
      <w:r>
        <w:t>至第1行依次</w:t>
      </w:r>
      <w:r>
        <w:rPr>
          <w:rFonts w:hint="eastAsia"/>
        </w:rPr>
        <w:t>填报。</w:t>
      </w:r>
    </w:p>
    <w:p>
      <w:pPr>
        <w:pStyle w:val="65"/>
      </w:pPr>
      <w:r>
        <w:rPr>
          <w:rFonts w:hint="eastAsia"/>
        </w:rPr>
        <w:t>2</w:t>
      </w:r>
      <w:r>
        <w:rPr>
          <w:rFonts w:hint="eastAsia" w:cs="Calibri"/>
        </w:rPr>
        <w:t>.</w:t>
      </w:r>
      <w:r>
        <w:rPr>
          <w:rFonts w:hint="eastAsia"/>
        </w:rPr>
        <w:t>第2列“本年抵免前应纳税额”：填报纳税人《中华人民共和国企业所得税年度纳税申报表（A类）》（表</w:t>
      </w:r>
      <w:r>
        <w:t>A100000</w:t>
      </w:r>
      <w:r>
        <w:rPr>
          <w:rFonts w:hint="eastAsia"/>
        </w:rPr>
        <w:t>）第25行“应纳所得税额”减第26行“减免所得税额”后的额。</w:t>
      </w:r>
      <w:r>
        <w:t>2012</w:t>
      </w:r>
      <w:r>
        <w:rPr>
          <w:rFonts w:hint="eastAsia"/>
        </w:rPr>
        <w:t>和</w:t>
      </w:r>
      <w:r>
        <w:t>2013年度</w:t>
      </w:r>
      <w:r>
        <w:rPr>
          <w:rFonts w:hint="eastAsia"/>
        </w:rPr>
        <w:t>的</w:t>
      </w:r>
      <w:r>
        <w:t>“当年抵免前应纳税额”：填报</w:t>
      </w:r>
      <w:r>
        <w:rPr>
          <w:rFonts w:hint="eastAsia"/>
        </w:rPr>
        <w:t>《企业所得税年度纳税申报表（A类）》（2008年版）</w:t>
      </w:r>
      <w:r>
        <w:t>第27行“应纳所得税额”减第28行“减免所得税额”后的</w:t>
      </w:r>
      <w:r>
        <w:rPr>
          <w:rFonts w:hint="eastAsia"/>
        </w:rPr>
        <w:t>余</w:t>
      </w:r>
      <w:r>
        <w:t>额。</w:t>
      </w:r>
      <w:r>
        <w:rPr>
          <w:rFonts w:hint="eastAsia"/>
        </w:rPr>
        <w:t>2014、2015和2016年度的</w:t>
      </w:r>
      <w:r>
        <w:t>“当年抵免前应纳税额”：</w:t>
      </w:r>
      <w:r>
        <w:rPr>
          <w:rFonts w:hint="eastAsia"/>
        </w:rPr>
        <w:t>填报纳税人《中华人民共和国企业所得税年度纳税申报表（A类）》（2014年版）第25行“应纳所得税额”减第26行“减免所得税额”后的余额。</w:t>
      </w:r>
    </w:p>
    <w:p>
      <w:pPr>
        <w:pStyle w:val="65"/>
      </w:pPr>
      <w:r>
        <w:rPr>
          <w:rFonts w:hint="eastAsia"/>
        </w:rPr>
        <w:t>3</w:t>
      </w:r>
      <w:r>
        <w:rPr>
          <w:rFonts w:hint="eastAsia" w:cs="Calibri"/>
        </w:rPr>
        <w:t>.</w:t>
      </w:r>
      <w:r>
        <w:rPr>
          <w:rFonts w:hint="eastAsia"/>
        </w:rPr>
        <w:t>第3列“本年允许抵免的专用设备投资额”：填报纳税人本年购置并实际使用《环境保护专用设备企业所得税优惠目录》《节能节水专用设备企业所得税优惠目录》和《安全生产专用设备企业所得税优惠目录》规定的环境保护、节能节水、安全生产等专用设备的发票价税合计金额，但不包括</w:t>
      </w:r>
      <w:r>
        <w:t>允许抵扣的增值税进项税额、</w:t>
      </w:r>
      <w:r>
        <w:rPr>
          <w:rFonts w:hint="eastAsia"/>
        </w:rPr>
        <w:t>按有关规定退还的增值税税款以及设备运输、安装和调试等费用。</w:t>
      </w:r>
    </w:p>
    <w:p>
      <w:pPr>
        <w:pStyle w:val="65"/>
      </w:pPr>
      <w:r>
        <w:rPr>
          <w:rFonts w:hint="eastAsia"/>
        </w:rPr>
        <w:t>4第4列“本年可抵免税额”：填报第3列×10%的金额。</w:t>
      </w:r>
    </w:p>
    <w:p>
      <w:pPr>
        <w:pStyle w:val="65"/>
      </w:pPr>
      <w:r>
        <w:rPr>
          <w:rFonts w:hint="eastAsia"/>
        </w:rPr>
        <w:t>5</w:t>
      </w:r>
      <w:r>
        <w:rPr>
          <w:rFonts w:hint="eastAsia" w:cs="Calibri"/>
        </w:rPr>
        <w:t>.第5列至第9列“以前年度已抵免额”：填报纳税人以前年度已抵免税额，其中前五年度、前四年度、前三年度、前二年度、前一年度与“项目”列中的前五年度、前四年度、前三年度、前二年度、前一年度相对应。</w:t>
      </w:r>
    </w:p>
    <w:p>
      <w:pPr>
        <w:pStyle w:val="65"/>
      </w:pPr>
      <w:r>
        <w:rPr>
          <w:rFonts w:hint="eastAsia"/>
        </w:rPr>
        <w:t>6</w:t>
      </w:r>
      <w:r>
        <w:rPr>
          <w:rFonts w:hint="eastAsia" w:cs="Calibri"/>
        </w:rPr>
        <w:t>.</w:t>
      </w:r>
      <w:r>
        <w:rPr>
          <w:rFonts w:hint="eastAsia"/>
        </w:rPr>
        <w:t>第10列“以前年度已抵免额—小计”：填报第5+6+7+8+9列的合计金额。</w:t>
      </w:r>
    </w:p>
    <w:p>
      <w:pPr>
        <w:pStyle w:val="65"/>
      </w:pPr>
      <w:r>
        <w:rPr>
          <w:rFonts w:hint="eastAsia"/>
        </w:rPr>
        <w:t>7</w:t>
      </w:r>
      <w:r>
        <w:rPr>
          <w:rFonts w:hint="eastAsia" w:cs="Calibri"/>
        </w:rPr>
        <w:t>.</w:t>
      </w:r>
      <w:r>
        <w:rPr>
          <w:rFonts w:hint="eastAsia"/>
        </w:rPr>
        <w:t>第11列“本年实际抵免的各年度税额”：第1行至第6行填报纳税人用于依次抵免前5个年度及本年尚未抵免的税额，第11列小于等于第4-10列，且第11列第1行至第6行合计金额不得大于第6行第2列的金额。</w:t>
      </w:r>
    </w:p>
    <w:p>
      <w:pPr>
        <w:pStyle w:val="65"/>
      </w:pPr>
      <w:r>
        <w:rPr>
          <w:rFonts w:hint="eastAsia"/>
        </w:rPr>
        <w:t>8</w:t>
      </w:r>
      <w:r>
        <w:rPr>
          <w:rFonts w:hint="eastAsia" w:cs="Calibri"/>
        </w:rPr>
        <w:t>.</w:t>
      </w:r>
      <w:r>
        <w:rPr>
          <w:rFonts w:hint="eastAsia"/>
        </w:rPr>
        <w:t>第12列“可结转以后年度抵免的税额”：填报第4-10-11列的余额。</w:t>
      </w:r>
    </w:p>
    <w:p>
      <w:pPr>
        <w:pStyle w:val="65"/>
      </w:pPr>
      <w:r>
        <w:rPr>
          <w:rFonts w:hint="eastAsia"/>
        </w:rPr>
        <w:t>9</w:t>
      </w:r>
      <w:r>
        <w:rPr>
          <w:rFonts w:hint="eastAsia" w:cs="Calibri"/>
        </w:rPr>
        <w:t>.</w:t>
      </w:r>
      <w:r>
        <w:rPr>
          <w:rFonts w:hint="eastAsia"/>
        </w:rPr>
        <w:t>第7行第11列“本年实际抵免税额合计”：填报</w:t>
      </w:r>
      <w:r>
        <w:t>第1</w:t>
      </w:r>
      <w:r>
        <w:rPr>
          <w:rFonts w:hint="eastAsia"/>
        </w:rPr>
        <w:t>1</w:t>
      </w:r>
      <w:r>
        <w:t>列第1</w:t>
      </w:r>
      <w:r>
        <w:rPr>
          <w:rFonts w:hint="eastAsia"/>
        </w:rPr>
        <w:t>+2+</w:t>
      </w:r>
      <w:r>
        <w:t>…</w:t>
      </w:r>
      <w:r>
        <w:rPr>
          <w:rFonts w:hint="eastAsia"/>
        </w:rPr>
        <w:t>+</w:t>
      </w:r>
      <w:r>
        <w:t>6行</w:t>
      </w:r>
      <w:r>
        <w:rPr>
          <w:rFonts w:hint="eastAsia"/>
        </w:rPr>
        <w:t>的合计金额。</w:t>
      </w:r>
    </w:p>
    <w:p>
      <w:pPr>
        <w:pStyle w:val="65"/>
      </w:pPr>
      <w:r>
        <w:rPr>
          <w:rFonts w:hint="eastAsia"/>
        </w:rPr>
        <w:t>10</w:t>
      </w:r>
      <w:r>
        <w:rPr>
          <w:rFonts w:hint="eastAsia" w:cs="Calibri"/>
        </w:rPr>
        <w:t>.</w:t>
      </w:r>
      <w:r>
        <w:rPr>
          <w:rFonts w:hint="eastAsia"/>
        </w:rPr>
        <w:t>第8行第12列“可结转以后年度抵免的税额合计”：填报第12列第2+3+</w:t>
      </w:r>
      <w:r>
        <w:t>…</w:t>
      </w:r>
      <w:r>
        <w:rPr>
          <w:rFonts w:hint="eastAsia"/>
        </w:rPr>
        <w:t>+6行的合计金额。</w:t>
      </w:r>
    </w:p>
    <w:p>
      <w:pPr>
        <w:pStyle w:val="65"/>
      </w:pPr>
      <w:r>
        <w:rPr>
          <w:rFonts w:hint="eastAsia"/>
        </w:rPr>
        <w:t>11</w:t>
      </w:r>
      <w:r>
        <w:rPr>
          <w:rFonts w:hint="eastAsia" w:cs="Calibri"/>
        </w:rPr>
        <w:t>.</w:t>
      </w:r>
      <w:r>
        <w:rPr>
          <w:rFonts w:hint="eastAsia"/>
        </w:rPr>
        <w:t>第9行“本年允许抵免的环境保护专用设备投资额”：填报纳税人本年购置并实际使用《环境保护专用设备企业所得税优惠目录》规定的环境保护专用设备的发票价税合计价格，但不包括</w:t>
      </w:r>
      <w:r>
        <w:t>允许抵扣的增值税进项税额、</w:t>
      </w:r>
      <w:r>
        <w:rPr>
          <w:rFonts w:hint="eastAsia"/>
        </w:rPr>
        <w:t>按有关规定退还的增值税税款以及设备运输、安装和调试等费用。</w:t>
      </w:r>
    </w:p>
    <w:p>
      <w:pPr>
        <w:pStyle w:val="65"/>
      </w:pPr>
      <w:r>
        <w:rPr>
          <w:rFonts w:hint="eastAsia"/>
        </w:rPr>
        <w:t>12</w:t>
      </w:r>
      <w:r>
        <w:rPr>
          <w:rFonts w:hint="eastAsia" w:cs="Calibri"/>
        </w:rPr>
        <w:t>.</w:t>
      </w:r>
      <w:r>
        <w:rPr>
          <w:rFonts w:hint="eastAsia"/>
        </w:rPr>
        <w:t>第10行“本年允许抵免节能节水的专用设备投资额”：填报纳税人本年购置并实际使用《节能节水专用设备企业所得税优惠目录》规定的节能节水等专用设备的发票价税合计价格，但不包括</w:t>
      </w:r>
      <w:r>
        <w:t>允许抵扣的增值税进项税额、</w:t>
      </w:r>
      <w:r>
        <w:rPr>
          <w:rFonts w:hint="eastAsia"/>
        </w:rPr>
        <w:t>按有关规定退还的增值税税款以及设备运输、安装和调试等费用。</w:t>
      </w:r>
    </w:p>
    <w:p>
      <w:pPr>
        <w:pStyle w:val="65"/>
      </w:pPr>
      <w:r>
        <w:rPr>
          <w:rFonts w:hint="eastAsia"/>
        </w:rPr>
        <w:t>13</w:t>
      </w:r>
      <w:r>
        <w:rPr>
          <w:rFonts w:hint="eastAsia" w:cs="Calibri"/>
        </w:rPr>
        <w:t>.</w:t>
      </w:r>
      <w:r>
        <w:rPr>
          <w:rFonts w:hint="eastAsia"/>
        </w:rPr>
        <w:t>第11行“本年允许抵免的安全生产专用设备投资额”：填报纳税人本年购置并实际使用《安全生产专用设备企业所得税优惠目录》规定的安全生产等专用设备的发票价税合计价格，但不包括</w:t>
      </w:r>
      <w:r>
        <w:t>允许抵扣的增值税进项税额、</w:t>
      </w:r>
      <w:r>
        <w:rPr>
          <w:rFonts w:hint="eastAsia"/>
        </w:rPr>
        <w:t>按有关规定退还的增值税税款以及设备运输、安装和调试等费用。</w:t>
      </w:r>
    </w:p>
    <w:p>
      <w:pPr>
        <w:pStyle w:val="69"/>
        <w:ind w:firstLine="482"/>
        <w:outlineLvl w:val="0"/>
      </w:pPr>
      <w:bookmarkStart w:id="391" w:name="_Toc393471168"/>
      <w:r>
        <w:rPr>
          <w:rFonts w:hint="eastAsia"/>
        </w:rPr>
        <w:t>二、表内、表间关系</w:t>
      </w:r>
      <w:bookmarkEnd w:id="391"/>
    </w:p>
    <w:p>
      <w:pPr>
        <w:pStyle w:val="79"/>
        <w:outlineLvl w:val="1"/>
      </w:pPr>
      <w:r>
        <w:rPr>
          <w:rFonts w:hint="eastAsia"/>
        </w:rPr>
        <w:t>（一）表内关系</w:t>
      </w:r>
    </w:p>
    <w:p>
      <w:pPr>
        <w:pStyle w:val="65"/>
      </w:pPr>
      <w:r>
        <w:rPr>
          <w:rFonts w:hint="eastAsia"/>
        </w:rPr>
        <w:t>1</w:t>
      </w:r>
      <w:r>
        <w:rPr>
          <w:rFonts w:hint="eastAsia" w:cs="Calibri"/>
        </w:rPr>
        <w:t>.</w:t>
      </w:r>
      <w:r>
        <w:rPr>
          <w:rFonts w:hint="eastAsia"/>
        </w:rPr>
        <w:t>第4列＝第3列×10%。</w:t>
      </w:r>
    </w:p>
    <w:p>
      <w:pPr>
        <w:pStyle w:val="65"/>
      </w:pPr>
      <w:r>
        <w:rPr>
          <w:rFonts w:hint="eastAsia"/>
        </w:rPr>
        <w:t>2</w:t>
      </w:r>
      <w:r>
        <w:rPr>
          <w:rFonts w:hint="eastAsia" w:cs="Calibri"/>
        </w:rPr>
        <w:t>.</w:t>
      </w:r>
      <w:r>
        <w:rPr>
          <w:rFonts w:hint="eastAsia"/>
        </w:rPr>
        <w:t>第10列＝第5+6+</w:t>
      </w:r>
      <w:r>
        <w:t>…</w:t>
      </w:r>
      <w:r>
        <w:rPr>
          <w:rFonts w:hint="eastAsia"/>
        </w:rPr>
        <w:t>+9列。</w:t>
      </w:r>
    </w:p>
    <w:p>
      <w:pPr>
        <w:pStyle w:val="65"/>
        <w:rPr>
          <w:rFonts w:cs="Calibri"/>
        </w:rPr>
      </w:pPr>
      <w:r>
        <w:rPr>
          <w:rFonts w:hint="eastAsia"/>
        </w:rPr>
        <w:t>3</w:t>
      </w:r>
      <w:r>
        <w:rPr>
          <w:rFonts w:hint="eastAsia" w:cs="Calibri"/>
        </w:rPr>
        <w:t>.</w:t>
      </w:r>
      <w:r>
        <w:rPr>
          <w:rFonts w:hint="eastAsia"/>
        </w:rPr>
        <w:t>第11列≤第4-10列。</w:t>
      </w:r>
    </w:p>
    <w:p>
      <w:pPr>
        <w:pStyle w:val="65"/>
      </w:pPr>
      <w:r>
        <w:rPr>
          <w:rFonts w:hint="eastAsia"/>
        </w:rPr>
        <w:t>4</w:t>
      </w:r>
      <w:r>
        <w:rPr>
          <w:rFonts w:hint="eastAsia" w:cs="Calibri"/>
        </w:rPr>
        <w:t>.</w:t>
      </w:r>
      <w:r>
        <w:rPr>
          <w:rFonts w:hint="eastAsia"/>
        </w:rPr>
        <w:t>第12列＝第4-10-11列。</w:t>
      </w:r>
    </w:p>
    <w:p>
      <w:pPr>
        <w:pStyle w:val="65"/>
      </w:pPr>
      <w:r>
        <w:rPr>
          <w:rFonts w:hint="eastAsia"/>
        </w:rPr>
        <w:t>5.第6行第3列＝第9+10+11行。</w:t>
      </w:r>
    </w:p>
    <w:p>
      <w:pPr>
        <w:pStyle w:val="65"/>
      </w:pPr>
      <w:r>
        <w:rPr>
          <w:rFonts w:hint="eastAsia" w:cs="Calibri"/>
        </w:rPr>
        <w:t>6.</w:t>
      </w:r>
      <w:r>
        <w:t>第7行第1</w:t>
      </w:r>
      <w:r>
        <w:rPr>
          <w:rFonts w:hint="eastAsia"/>
        </w:rPr>
        <w:t>1</w:t>
      </w:r>
      <w:r>
        <w:t>列＝第1</w:t>
      </w:r>
      <w:r>
        <w:rPr>
          <w:rFonts w:hint="eastAsia"/>
        </w:rPr>
        <w:t>1</w:t>
      </w:r>
      <w:r>
        <w:t>列第1</w:t>
      </w:r>
      <w:r>
        <w:rPr>
          <w:rFonts w:hint="eastAsia"/>
        </w:rPr>
        <w:t>+</w:t>
      </w:r>
      <w:r>
        <w:t>2</w:t>
      </w:r>
      <w:r>
        <w:rPr>
          <w:rFonts w:hint="eastAsia"/>
        </w:rPr>
        <w:t>+</w:t>
      </w:r>
      <w:r>
        <w:t>…+6行。</w:t>
      </w:r>
    </w:p>
    <w:p>
      <w:pPr>
        <w:pStyle w:val="65"/>
      </w:pPr>
      <w:r>
        <w:rPr>
          <w:rFonts w:hint="eastAsia"/>
        </w:rPr>
        <w:t>7.</w:t>
      </w:r>
      <w:r>
        <w:t>第8行第1</w:t>
      </w:r>
      <w:r>
        <w:rPr>
          <w:rFonts w:hint="eastAsia"/>
        </w:rPr>
        <w:t>2</w:t>
      </w:r>
      <w:r>
        <w:t>列＝第1</w:t>
      </w:r>
      <w:r>
        <w:rPr>
          <w:rFonts w:hint="eastAsia"/>
        </w:rPr>
        <w:t>2</w:t>
      </w:r>
      <w:r>
        <w:t>列第2</w:t>
      </w:r>
      <w:r>
        <w:rPr>
          <w:rFonts w:hint="eastAsia"/>
        </w:rPr>
        <w:t>+</w:t>
      </w:r>
      <w:r>
        <w:t>3</w:t>
      </w:r>
      <w:r>
        <w:rPr>
          <w:rFonts w:hint="eastAsia"/>
        </w:rPr>
        <w:t>+</w:t>
      </w:r>
      <w:r>
        <w:t>…+6行。</w:t>
      </w:r>
    </w:p>
    <w:p>
      <w:pPr>
        <w:pStyle w:val="79"/>
        <w:outlineLvl w:val="1"/>
      </w:pPr>
      <w:r>
        <w:rPr>
          <w:rFonts w:hint="eastAsia"/>
        </w:rPr>
        <w:t>（二）表间关系</w:t>
      </w:r>
    </w:p>
    <w:p>
      <w:pPr>
        <w:spacing w:line="360" w:lineRule="auto"/>
        <w:ind w:firstLine="523" w:firstLineChars="218"/>
        <w:rPr>
          <w:rFonts w:ascii="宋体" w:hAnsi="宋体"/>
          <w:sz w:val="24"/>
        </w:rPr>
      </w:pPr>
      <w:r>
        <w:rPr>
          <w:rFonts w:hint="eastAsia" w:ascii="宋体" w:hAnsi="宋体"/>
          <w:sz w:val="24"/>
        </w:rPr>
        <w:t>1</w:t>
      </w:r>
      <w:r>
        <w:rPr>
          <w:rFonts w:hint="eastAsia" w:ascii="宋体" w:hAnsi="宋体" w:cs="Calibri"/>
          <w:sz w:val="24"/>
        </w:rPr>
        <w:t>.</w:t>
      </w:r>
      <w:r>
        <w:rPr>
          <w:rFonts w:hint="eastAsia" w:ascii="宋体" w:hAnsi="宋体"/>
          <w:sz w:val="24"/>
        </w:rPr>
        <w:t>第7行第11列≤表A100000第25-26行。</w:t>
      </w:r>
    </w:p>
    <w:p>
      <w:pPr>
        <w:spacing w:line="360" w:lineRule="auto"/>
        <w:ind w:firstLine="523" w:firstLineChars="218"/>
        <w:rPr>
          <w:rFonts w:ascii="宋体" w:hAnsi="宋体"/>
          <w:sz w:val="24"/>
        </w:rPr>
      </w:pPr>
      <w:r>
        <w:rPr>
          <w:rFonts w:hint="eastAsia" w:ascii="宋体" w:hAnsi="宋体"/>
          <w:sz w:val="24"/>
        </w:rPr>
        <w:t>2</w:t>
      </w:r>
      <w:r>
        <w:rPr>
          <w:rFonts w:hint="eastAsia" w:ascii="宋体" w:hAnsi="宋体" w:cs="Calibri"/>
          <w:sz w:val="24"/>
        </w:rPr>
        <w:t>.</w:t>
      </w:r>
      <w:r>
        <w:rPr>
          <w:rFonts w:hint="eastAsia" w:ascii="宋体" w:hAnsi="宋体"/>
          <w:sz w:val="24"/>
        </w:rPr>
        <w:t>第7行第11列＝表A100000第27行。</w:t>
      </w:r>
    </w:p>
    <w:p>
      <w:pPr>
        <w:spacing w:line="360" w:lineRule="auto"/>
        <w:ind w:firstLine="523" w:firstLineChars="218"/>
        <w:rPr>
          <w:rFonts w:ascii="宋体" w:hAnsi="宋体"/>
          <w:sz w:val="24"/>
        </w:rPr>
      </w:pPr>
      <w:r>
        <w:rPr>
          <w:rFonts w:hint="eastAsia" w:ascii="宋体" w:hAnsi="宋体"/>
          <w:sz w:val="24"/>
        </w:rPr>
        <w:t>3</w:t>
      </w:r>
      <w:r>
        <w:rPr>
          <w:rFonts w:hint="eastAsia" w:ascii="宋体" w:hAnsi="宋体" w:cs="Calibri"/>
          <w:sz w:val="24"/>
        </w:rPr>
        <w:t>.</w:t>
      </w:r>
      <w:r>
        <w:rPr>
          <w:rFonts w:hint="eastAsia" w:ascii="宋体" w:hAnsi="宋体"/>
          <w:sz w:val="24"/>
        </w:rPr>
        <w:t>第2列＝表A100000第25行-表A100000第26行。</w:t>
      </w:r>
    </w:p>
    <w:p>
      <w:pPr>
        <w:spacing w:line="360" w:lineRule="auto"/>
        <w:ind w:firstLine="741" w:firstLineChars="309"/>
        <w:rPr>
          <w:rFonts w:hint="eastAsia" w:ascii="宋体" w:hAnsi="宋体"/>
          <w:sz w:val="24"/>
        </w:rPr>
      </w:pPr>
      <w:r>
        <w:rPr>
          <w:rFonts w:ascii="宋体" w:hAnsi="宋体"/>
          <w:sz w:val="24"/>
        </w:rPr>
        <w:t>20</w:t>
      </w:r>
      <w:r>
        <w:rPr>
          <w:rFonts w:hint="eastAsia" w:ascii="宋体" w:hAnsi="宋体"/>
          <w:sz w:val="24"/>
        </w:rPr>
        <w:t>1</w:t>
      </w:r>
      <w:r>
        <w:rPr>
          <w:rFonts w:ascii="宋体" w:hAnsi="宋体"/>
          <w:sz w:val="24"/>
        </w:rPr>
        <w:t>2</w:t>
      </w:r>
      <w:r>
        <w:rPr>
          <w:rFonts w:hint="eastAsia" w:ascii="宋体" w:hAnsi="宋体"/>
          <w:sz w:val="24"/>
        </w:rPr>
        <w:t>和</w:t>
      </w:r>
      <w:r>
        <w:rPr>
          <w:rFonts w:ascii="宋体" w:hAnsi="宋体"/>
          <w:sz w:val="24"/>
        </w:rPr>
        <w:t>2013年度：第2列＝</w:t>
      </w:r>
      <w:r>
        <w:rPr>
          <w:rFonts w:hint="eastAsia" w:ascii="宋体" w:hAnsi="宋体"/>
          <w:sz w:val="24"/>
        </w:rPr>
        <w:t>《中华人民共和国企业所得税年度纳税申报表（A类）》（2008年版）</w:t>
      </w:r>
      <w:r>
        <w:rPr>
          <w:rFonts w:ascii="宋体" w:hAnsi="宋体"/>
          <w:sz w:val="24"/>
        </w:rPr>
        <w:t>第27-28行。</w:t>
      </w:r>
    </w:p>
    <w:p>
      <w:pPr>
        <w:spacing w:line="360" w:lineRule="auto"/>
        <w:ind w:firstLine="741" w:firstLineChars="309"/>
        <w:rPr>
          <w:rFonts w:ascii="宋体" w:hAnsi="宋体"/>
          <w:sz w:val="24"/>
        </w:rPr>
      </w:pPr>
      <w:r>
        <w:rPr>
          <w:rFonts w:hint="eastAsia" w:ascii="宋体" w:hAnsi="宋体"/>
          <w:sz w:val="24"/>
        </w:rPr>
        <w:t>2014、2015和2016年度：第2列＝《中华人民共和国企业所得税年度纳税申报表（A类）》（2014年版）第25-26行。</w:t>
      </w:r>
    </w:p>
    <w:p>
      <w:pPr>
        <w:spacing w:line="360" w:lineRule="auto"/>
        <w:ind w:firstLine="741" w:firstLineChars="309"/>
        <w:rPr>
          <w:rFonts w:hint="eastAsia" w:ascii="宋体" w:hAnsi="宋体"/>
          <w:sz w:val="24"/>
        </w:rPr>
        <w:sectPr>
          <w:pgSz w:w="11906" w:h="16838"/>
          <w:pgMar w:top="1985" w:right="1418" w:bottom="1928" w:left="1418" w:header="851" w:footer="992" w:gutter="113"/>
          <w:pgNumType w:fmt="decimal"/>
          <w:cols w:space="720" w:num="1"/>
          <w:docGrid w:linePitch="312" w:charSpace="0"/>
        </w:sectPr>
      </w:pPr>
    </w:p>
    <w:p>
      <w:pPr>
        <w:pStyle w:val="80"/>
      </w:pPr>
      <w:bookmarkStart w:id="392" w:name="_Toc6093"/>
      <w:r>
        <w:rPr>
          <w:rFonts w:hint="eastAsia"/>
        </w:rPr>
        <w:t>A108000</w:t>
      </w:r>
      <w:r>
        <w:tab/>
      </w:r>
      <w:r>
        <w:rPr>
          <w:rFonts w:hint="eastAsia"/>
        </w:rPr>
        <w:t>境外所得税收抵免明细表</w:t>
      </w:r>
      <w:bookmarkEnd w:id="392"/>
    </w:p>
    <w:tbl>
      <w:tblPr>
        <w:tblStyle w:val="25"/>
        <w:tblW w:w="150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行次</w:t>
            </w:r>
          </w:p>
        </w:tc>
        <w:tc>
          <w:tcPr>
            <w:tcW w:w="142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国家</w:t>
            </w:r>
          </w:p>
          <w:p>
            <w:pPr>
              <w:autoSpaceDE w:val="0"/>
              <w:autoSpaceDN w:val="0"/>
              <w:adjustRightInd w:val="0"/>
              <w:jc w:val="center"/>
              <w:rPr>
                <w:rFonts w:ascii="宋体" w:cs="宋体"/>
                <w:kern w:val="0"/>
                <w:sz w:val="20"/>
                <w:szCs w:val="20"/>
              </w:rPr>
            </w:pPr>
            <w:r>
              <w:rPr>
                <w:rFonts w:hint="eastAsia" w:ascii="宋体" w:cs="宋体"/>
                <w:kern w:val="0"/>
                <w:sz w:val="20"/>
                <w:szCs w:val="20"/>
              </w:rPr>
              <w:t>（地区）</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境外税前所得</w:t>
            </w:r>
          </w:p>
        </w:tc>
        <w:tc>
          <w:tcPr>
            <w:tcW w:w="70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境外所得纳税调整后所得</w:t>
            </w:r>
          </w:p>
        </w:tc>
        <w:tc>
          <w:tcPr>
            <w:tcW w:w="7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弥补境外以前年度亏损</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w:t>
            </w:r>
          </w:p>
        </w:tc>
        <w:tc>
          <w:tcPr>
            <w:tcW w:w="735"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抵减境内亏损后的境外应纳税所得额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税率</w:t>
            </w:r>
          </w:p>
        </w:tc>
        <w:tc>
          <w:tcPr>
            <w:tcW w:w="817"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境外所得应纳税额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境外所得可抵免税额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境外所得抵免限额</w:t>
            </w:r>
          </w:p>
        </w:tc>
        <w:tc>
          <w:tcPr>
            <w:tcW w:w="75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本年可抵免境外所得税额</w:t>
            </w:r>
          </w:p>
        </w:tc>
        <w:tc>
          <w:tcPr>
            <w:tcW w:w="77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未超过境外所得税抵免限额的余额</w:t>
            </w:r>
          </w:p>
        </w:tc>
        <w:tc>
          <w:tcPr>
            <w:tcW w:w="734"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本年可抵免以前年度未抵免境外所得税额</w:t>
            </w:r>
          </w:p>
        </w:tc>
        <w:tc>
          <w:tcPr>
            <w:tcW w:w="3041" w:type="dxa"/>
            <w:gridSpan w:val="4"/>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按简易办法计算</w:t>
            </w:r>
          </w:p>
        </w:tc>
        <w:tc>
          <w:tcPr>
            <w:tcW w:w="8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境外所得抵免所得税额合计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7" w:hRule="atLeast"/>
          <w:jc w:val="center"/>
        </w:trPr>
        <w:tc>
          <w:tcPr>
            <w:tcW w:w="631" w:type="dxa"/>
            <w:vMerge w:val="continue"/>
            <w:vAlign w:val="center"/>
          </w:tcPr>
          <w:p>
            <w:pPr>
              <w:autoSpaceDE w:val="0"/>
              <w:autoSpaceDN w:val="0"/>
              <w:adjustRightInd w:val="0"/>
              <w:jc w:val="center"/>
              <w:rPr>
                <w:rFonts w:ascii="宋体" w:cs="宋体"/>
                <w:kern w:val="0"/>
                <w:sz w:val="20"/>
                <w:szCs w:val="20"/>
              </w:rPr>
            </w:pPr>
          </w:p>
        </w:tc>
        <w:tc>
          <w:tcPr>
            <w:tcW w:w="1426"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06" w:type="dxa"/>
            <w:vMerge w:val="continue"/>
            <w:vAlign w:val="center"/>
          </w:tcPr>
          <w:p>
            <w:pPr>
              <w:autoSpaceDE w:val="0"/>
              <w:autoSpaceDN w:val="0"/>
              <w:adjustRightInd w:val="0"/>
              <w:jc w:val="center"/>
              <w:rPr>
                <w:rFonts w:ascii="宋体" w:cs="宋体"/>
                <w:kern w:val="0"/>
                <w:sz w:val="20"/>
                <w:szCs w:val="20"/>
              </w:rPr>
            </w:pPr>
          </w:p>
        </w:tc>
        <w:tc>
          <w:tcPr>
            <w:tcW w:w="75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35"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817"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52" w:type="dxa"/>
            <w:vMerge w:val="continue"/>
            <w:vAlign w:val="center"/>
          </w:tcPr>
          <w:p>
            <w:pPr>
              <w:autoSpaceDE w:val="0"/>
              <w:autoSpaceDN w:val="0"/>
              <w:adjustRightInd w:val="0"/>
              <w:jc w:val="center"/>
              <w:rPr>
                <w:rFonts w:ascii="宋体" w:cs="宋体"/>
                <w:kern w:val="0"/>
                <w:sz w:val="20"/>
                <w:szCs w:val="20"/>
              </w:rPr>
            </w:pPr>
          </w:p>
        </w:tc>
        <w:tc>
          <w:tcPr>
            <w:tcW w:w="772" w:type="dxa"/>
            <w:vMerge w:val="continue"/>
            <w:vAlign w:val="center"/>
          </w:tcPr>
          <w:p>
            <w:pPr>
              <w:autoSpaceDE w:val="0"/>
              <w:autoSpaceDN w:val="0"/>
              <w:adjustRightInd w:val="0"/>
              <w:jc w:val="center"/>
              <w:rPr>
                <w:rFonts w:ascii="宋体" w:cs="宋体"/>
                <w:kern w:val="0"/>
                <w:sz w:val="20"/>
                <w:szCs w:val="20"/>
              </w:rPr>
            </w:pPr>
          </w:p>
        </w:tc>
        <w:tc>
          <w:tcPr>
            <w:tcW w:w="734" w:type="dxa"/>
            <w:vMerge w:val="continue"/>
            <w:vAlign w:val="center"/>
          </w:tcPr>
          <w:p>
            <w:pPr>
              <w:autoSpaceDE w:val="0"/>
              <w:autoSpaceDN w:val="0"/>
              <w:adjustRightInd w:val="0"/>
              <w:jc w:val="center"/>
              <w:rPr>
                <w:rFonts w:ascii="宋体" w:cs="宋体"/>
                <w:kern w:val="0"/>
                <w:sz w:val="20"/>
                <w:szCs w:val="20"/>
              </w:rPr>
            </w:pPr>
          </w:p>
        </w:tc>
        <w:tc>
          <w:tcPr>
            <w:tcW w:w="910"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按低于</w:t>
            </w:r>
            <w:r>
              <w:rPr>
                <w:rFonts w:ascii="宋体" w:cs="宋体"/>
                <w:kern w:val="0"/>
                <w:sz w:val="20"/>
                <w:szCs w:val="20"/>
              </w:rPr>
              <w:t>12.5%</w:t>
            </w:r>
            <w:r>
              <w:rPr>
                <w:rFonts w:hint="eastAsia" w:ascii="宋体" w:cs="宋体"/>
                <w:kern w:val="0"/>
                <w:sz w:val="20"/>
                <w:szCs w:val="20"/>
              </w:rPr>
              <w:t>的实际税率计算的抵免额</w:t>
            </w:r>
          </w:p>
        </w:tc>
        <w:tc>
          <w:tcPr>
            <w:tcW w:w="708"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12.5%</w:t>
            </w:r>
            <w:r>
              <w:rPr>
                <w:rFonts w:hint="eastAsia" w:ascii="宋体" w:cs="宋体"/>
                <w:kern w:val="0"/>
                <w:sz w:val="20"/>
                <w:szCs w:val="20"/>
              </w:rPr>
              <w:t>计算的抵免额</w:t>
            </w:r>
          </w:p>
        </w:tc>
        <w:tc>
          <w:tcPr>
            <w:tcW w:w="709"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25%</w:t>
            </w:r>
            <w:r>
              <w:rPr>
                <w:rFonts w:hint="eastAsia" w:ascii="宋体" w:cs="宋体"/>
                <w:kern w:val="0"/>
                <w:sz w:val="20"/>
                <w:szCs w:val="20"/>
              </w:rPr>
              <w:t>计算的抵免额</w:t>
            </w:r>
          </w:p>
        </w:tc>
        <w:tc>
          <w:tcPr>
            <w:tcW w:w="714"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小计</w:t>
            </w:r>
          </w:p>
        </w:tc>
        <w:tc>
          <w:tcPr>
            <w:tcW w:w="851" w:type="dxa"/>
            <w:vMerge w:val="continue"/>
          </w:tcPr>
          <w:p>
            <w:pPr>
              <w:autoSpaceDE w:val="0"/>
              <w:autoSpaceDN w:val="0"/>
              <w:adjustRightInd w:val="0"/>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31" w:type="dxa"/>
            <w:vMerge w:val="continue"/>
          </w:tcPr>
          <w:p>
            <w:pPr>
              <w:autoSpaceDE w:val="0"/>
              <w:autoSpaceDN w:val="0"/>
              <w:adjustRightInd w:val="0"/>
              <w:jc w:val="center"/>
              <w:rPr>
                <w:rFonts w:ascii="宋体" w:cs="宋体"/>
                <w:kern w:val="0"/>
                <w:sz w:val="20"/>
                <w:szCs w:val="20"/>
              </w:rPr>
            </w:pPr>
          </w:p>
        </w:tc>
        <w:tc>
          <w:tcPr>
            <w:tcW w:w="142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2</w:t>
            </w:r>
          </w:p>
        </w:tc>
        <w:tc>
          <w:tcPr>
            <w:tcW w:w="70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w:t>
            </w:r>
          </w:p>
        </w:tc>
        <w:tc>
          <w:tcPr>
            <w:tcW w:w="7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4</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5</w:t>
            </w:r>
          </w:p>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(3-4</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6</w:t>
            </w:r>
          </w:p>
        </w:tc>
        <w:tc>
          <w:tcPr>
            <w:tcW w:w="735"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7</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5-6</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8</w:t>
            </w:r>
          </w:p>
        </w:tc>
        <w:tc>
          <w:tcPr>
            <w:tcW w:w="817"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9</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7</w:t>
            </w:r>
            <w:r>
              <w:rPr>
                <w:rFonts w:hint="eastAsia" w:ascii="宋体" w:cs="宋体"/>
                <w:kern w:val="0"/>
                <w:sz w:val="20"/>
                <w:szCs w:val="20"/>
              </w:rPr>
              <w:t>×</w:t>
            </w:r>
            <w:r>
              <w:rPr>
                <w:rFonts w:ascii="宋体" w:cs="宋体"/>
                <w:kern w:val="0"/>
                <w:sz w:val="20"/>
                <w:szCs w:val="20"/>
              </w:rPr>
              <w:t>8</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10</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11</w:t>
            </w:r>
          </w:p>
        </w:tc>
        <w:tc>
          <w:tcPr>
            <w:tcW w:w="75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12</w:t>
            </w:r>
          </w:p>
        </w:tc>
        <w:tc>
          <w:tcPr>
            <w:tcW w:w="77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13</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11-12</w:t>
            </w:r>
            <w:r>
              <w:rPr>
                <w:rFonts w:hint="eastAsia" w:ascii="宋体" w:cs="宋体"/>
                <w:kern w:val="0"/>
                <w:sz w:val="20"/>
                <w:szCs w:val="20"/>
              </w:rPr>
              <w:t>)</w:t>
            </w:r>
          </w:p>
        </w:tc>
        <w:tc>
          <w:tcPr>
            <w:tcW w:w="73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14</w:t>
            </w:r>
          </w:p>
        </w:tc>
        <w:tc>
          <w:tcPr>
            <w:tcW w:w="910"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15</w:t>
            </w:r>
          </w:p>
        </w:tc>
        <w:tc>
          <w:tcPr>
            <w:tcW w:w="708"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16</w:t>
            </w:r>
          </w:p>
        </w:tc>
        <w:tc>
          <w:tcPr>
            <w:tcW w:w="709"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17</w:t>
            </w:r>
          </w:p>
        </w:tc>
        <w:tc>
          <w:tcPr>
            <w:tcW w:w="71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18</w:t>
            </w:r>
            <w:r>
              <w:rPr>
                <w:rFonts w:hint="eastAsia" w:ascii="宋体" w:cs="宋体"/>
                <w:kern w:val="0"/>
                <w:sz w:val="20"/>
                <w:szCs w:val="20"/>
              </w:rPr>
              <w:t>(</w:t>
            </w:r>
            <w:r>
              <w:rPr>
                <w:rFonts w:ascii="宋体" w:cs="宋体"/>
                <w:kern w:val="0"/>
                <w:sz w:val="20"/>
                <w:szCs w:val="20"/>
              </w:rPr>
              <w:t>15+</w:t>
            </w:r>
            <w:r>
              <w:rPr>
                <w:rFonts w:ascii="宋体" w:cs="宋体"/>
                <w:kern w:val="0"/>
                <w:sz w:val="20"/>
                <w:szCs w:val="20"/>
              </w:rPr>
              <w:br w:type="textWrapping"/>
            </w:r>
            <w:r>
              <w:rPr>
                <w:rFonts w:ascii="宋体" w:cs="宋体"/>
                <w:kern w:val="0"/>
                <w:sz w:val="20"/>
                <w:szCs w:val="20"/>
              </w:rPr>
              <w:t>16+17</w:t>
            </w:r>
            <w:r>
              <w:rPr>
                <w:rFonts w:hint="eastAsia" w:ascii="宋体" w:cs="宋体"/>
                <w:kern w:val="0"/>
                <w:sz w:val="20"/>
                <w:szCs w:val="20"/>
              </w:rPr>
              <w:t>)</w:t>
            </w:r>
          </w:p>
        </w:tc>
        <w:tc>
          <w:tcPr>
            <w:tcW w:w="8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19</w:t>
            </w:r>
            <w:r>
              <w:rPr>
                <w:rFonts w:hint="eastAsia" w:ascii="宋体" w:cs="宋体"/>
                <w:kern w:val="0"/>
                <w:sz w:val="20"/>
                <w:szCs w:val="20"/>
              </w:rPr>
              <w:t>(</w:t>
            </w:r>
            <w:r>
              <w:rPr>
                <w:rFonts w:ascii="宋体" w:cs="宋体"/>
                <w:kern w:val="0"/>
                <w:sz w:val="20"/>
                <w:szCs w:val="20"/>
              </w:rPr>
              <w:t>12+14+18</w:t>
            </w:r>
            <w:r>
              <w:rPr>
                <w:rFonts w:hint="eastAsia" w:asci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2</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3</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4</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5</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6</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7</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8</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9</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10</w:t>
            </w:r>
          </w:p>
        </w:tc>
        <w:tc>
          <w:tcPr>
            <w:tcW w:w="1426"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合计</w:t>
            </w: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bl>
    <w:p>
      <w:pPr>
        <w:pStyle w:val="65"/>
      </w:pPr>
    </w:p>
    <w:p>
      <w:pPr>
        <w:tabs>
          <w:tab w:val="left" w:pos="2775"/>
        </w:tabs>
        <w:rPr>
          <w:rFonts w:ascii="宋体" w:hAnsi="宋体"/>
          <w:sz w:val="24"/>
        </w:rPr>
        <w:sectPr>
          <w:pgSz w:w="16838" w:h="11906" w:orient="landscape"/>
          <w:pgMar w:top="1418" w:right="1985" w:bottom="1418" w:left="1928" w:header="851" w:footer="992" w:gutter="113"/>
          <w:pgNumType w:fmt="decimal"/>
          <w:cols w:space="720" w:num="1"/>
          <w:docGrid w:linePitch="312" w:charSpace="0"/>
        </w:sectPr>
      </w:pPr>
      <w:r>
        <w:rPr>
          <w:rFonts w:ascii="宋体" w:hAnsi="宋体"/>
          <w:sz w:val="24"/>
        </w:rPr>
        <w:tab/>
      </w:r>
    </w:p>
    <w:p>
      <w:pPr>
        <w:pStyle w:val="66"/>
        <w:jc w:val="center"/>
        <w:rPr>
          <w:rFonts w:hint="eastAsia"/>
        </w:rPr>
      </w:pPr>
      <w:bookmarkStart w:id="393" w:name="_Toc26041"/>
      <w:bookmarkStart w:id="394" w:name="_Toc527722760"/>
      <w:r>
        <w:rPr>
          <w:rFonts w:hint="eastAsia"/>
        </w:rPr>
        <w:t>A108000《境外所得税收抵免明细表》填报说明</w:t>
      </w:r>
      <w:bookmarkEnd w:id="393"/>
    </w:p>
    <w:p>
      <w:pPr>
        <w:spacing w:line="360" w:lineRule="auto"/>
        <w:ind w:firstLine="523" w:firstLineChars="218"/>
        <w:rPr>
          <w:rFonts w:hint="eastAsia" w:ascii="宋体" w:hAnsi="宋体" w:cs="宋体"/>
          <w:sz w:val="24"/>
        </w:rPr>
      </w:pPr>
      <w:r>
        <w:rPr>
          <w:rFonts w:hint="eastAsia" w:ascii="宋体" w:hAnsi="宋体" w:cs="宋体"/>
          <w:sz w:val="24"/>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税务总局关于海南自由贸易港企业所得税优惠政策的通知》（财税〔2020〕31号）等规定，填报本年来源于或发生于其他国家、地区的所得按照税收规定计算应缴纳和应抵免的企业所得税。</w:t>
      </w:r>
    </w:p>
    <w:p>
      <w:pPr>
        <w:pStyle w:val="69"/>
        <w:ind w:firstLine="482"/>
        <w:outlineLvl w:val="0"/>
        <w:rPr>
          <w:rFonts w:hint="eastAsia" w:cs="宋体"/>
        </w:rPr>
      </w:pPr>
      <w:bookmarkStart w:id="395" w:name="_Toc54267973"/>
      <w:r>
        <w:rPr>
          <w:rFonts w:hint="eastAsia" w:cs="宋体"/>
        </w:rPr>
        <w:t>一、有关项目填报说明</w:t>
      </w:r>
      <w:bookmarkEnd w:id="395"/>
    </w:p>
    <w:p>
      <w:pPr>
        <w:pStyle w:val="79"/>
        <w:outlineLvl w:val="1"/>
        <w:rPr>
          <w:rFonts w:hint="eastAsia" w:ascii="宋体" w:hAnsi="宋体" w:eastAsia="宋体" w:cs="宋体"/>
        </w:rPr>
      </w:pPr>
      <w:bookmarkStart w:id="396" w:name="_Toc54267974"/>
      <w:r>
        <w:rPr>
          <w:rFonts w:hint="eastAsia" w:ascii="宋体" w:hAnsi="宋体" w:eastAsia="宋体" w:cs="宋体"/>
        </w:rPr>
        <w:t>（一）行次填报</w:t>
      </w:r>
      <w:bookmarkEnd w:id="396"/>
    </w:p>
    <w:p>
      <w:pPr>
        <w:pStyle w:val="65"/>
        <w:rPr>
          <w:rFonts w:hint="eastAsia" w:cs="宋体"/>
        </w:rPr>
      </w:pPr>
      <w:r>
        <w:rPr>
          <w:rFonts w:hint="eastAsia" w:cs="宋体"/>
        </w:rPr>
        <w:t>纳税人若选择“分国（地区）不分项”的境外所得抵免方式，应根据《境外所得纳税调整后所得明细表》（A108010）、《境外分支机构弥补亏损明细表》（A108020）、《跨年度结转抵免境外所得税明细表》（A108030）分国（地区）别逐行填报本表；纳税人若选择“不分国（地区）不分项”的境外所得抵免方式，应按照税收规定计算可抵免境外所得税税额和抵免限额，并根据表A108010、表A108020、表A108030的合计金额填报本表第1行。</w:t>
      </w:r>
    </w:p>
    <w:p>
      <w:pPr>
        <w:pStyle w:val="79"/>
        <w:outlineLvl w:val="1"/>
        <w:rPr>
          <w:rFonts w:hint="eastAsia" w:ascii="宋体" w:hAnsi="宋体" w:eastAsia="宋体" w:cs="宋体"/>
        </w:rPr>
      </w:pPr>
      <w:bookmarkStart w:id="397" w:name="_Toc54267975"/>
      <w:r>
        <w:rPr>
          <w:rFonts w:hint="eastAsia" w:ascii="宋体" w:hAnsi="宋体" w:eastAsia="宋体" w:cs="宋体"/>
        </w:rPr>
        <w:t>（二）列次填报</w:t>
      </w:r>
      <w:bookmarkEnd w:id="397"/>
    </w:p>
    <w:p>
      <w:pPr>
        <w:pStyle w:val="65"/>
        <w:rPr>
          <w:rFonts w:hint="eastAsia" w:cs="宋体"/>
        </w:rPr>
      </w:pPr>
      <w:r>
        <w:rPr>
          <w:rFonts w:hint="eastAsia" w:cs="宋体"/>
        </w:rPr>
        <w:t>1.第1列“国家（地区）”：纳税人若选择“分国（地区）不分项”的境外所得抵免方式，填报纳税人境外所得来源的国家（地区）名称，来源于同一国家（地区）的境外所得合并到一行填报；纳税人若选择“不分国（地区）不分项”的境外所得抵免方式，无需填报。</w:t>
      </w:r>
    </w:p>
    <w:p>
      <w:pPr>
        <w:pStyle w:val="65"/>
        <w:rPr>
          <w:rFonts w:hint="eastAsia" w:cs="宋体"/>
        </w:rPr>
      </w:pPr>
      <w:r>
        <w:rPr>
          <w:rFonts w:hint="eastAsia" w:cs="宋体"/>
        </w:rPr>
        <w:t>2.第2列“境外税前所得”：填报表A108010第14列-第19列-第24列的金额。</w:t>
      </w:r>
    </w:p>
    <w:p>
      <w:pPr>
        <w:pStyle w:val="65"/>
        <w:rPr>
          <w:rFonts w:hint="eastAsia" w:cs="宋体"/>
        </w:rPr>
      </w:pPr>
      <w:r>
        <w:rPr>
          <w:rFonts w:hint="eastAsia" w:cs="宋体"/>
        </w:rPr>
        <w:t>3.第3列“境外所得纳税调整后所得”：填报表A108010第18列-第26列的金额。</w:t>
      </w:r>
    </w:p>
    <w:p>
      <w:pPr>
        <w:pStyle w:val="65"/>
        <w:rPr>
          <w:rFonts w:hint="eastAsia" w:cs="宋体"/>
        </w:rPr>
      </w:pPr>
      <w:r>
        <w:rPr>
          <w:rFonts w:hint="eastAsia" w:cs="宋体"/>
        </w:rPr>
        <w:t>4.第4列“弥补境外以前年度亏损”：填报表A108020第4+8列的合计金额。</w:t>
      </w:r>
    </w:p>
    <w:p>
      <w:pPr>
        <w:pStyle w:val="65"/>
        <w:rPr>
          <w:rFonts w:hint="eastAsia" w:cs="宋体"/>
        </w:rPr>
      </w:pPr>
      <w:r>
        <w:rPr>
          <w:rFonts w:hint="eastAsia" w:cs="宋体"/>
        </w:rPr>
        <w:t>5.第5列“境外应纳税所得额”：填报第3-4列的余额。当第3-4列＜0时，本列填报0。</w:t>
      </w:r>
    </w:p>
    <w:p>
      <w:pPr>
        <w:pStyle w:val="65"/>
        <w:rPr>
          <w:rFonts w:hint="eastAsia" w:cs="宋体"/>
        </w:rPr>
      </w:pPr>
      <w:r>
        <w:rPr>
          <w:rFonts w:hint="eastAsia" w:cs="宋体"/>
        </w:rPr>
        <w:t>6.第6列“抵减境内亏损”：当纳税人选择用境外所得抵减弥补境内亏损时，填报纳税人境外所得按照税收规定抵减境内的亏损额（包括抵减的当年度境内亏损额和弥补的以前年度境内亏损额）；当纳税人选择不用境外所得抵减弥补境内亏损时，填报0。</w:t>
      </w:r>
    </w:p>
    <w:p>
      <w:pPr>
        <w:pStyle w:val="65"/>
        <w:rPr>
          <w:rFonts w:hint="eastAsia" w:cs="宋体"/>
        </w:rPr>
      </w:pPr>
      <w:r>
        <w:rPr>
          <w:rFonts w:hint="eastAsia" w:cs="宋体"/>
        </w:rPr>
        <w:t>7.第7列“抵减境内亏损后的境外应纳税所得额”：填报第5-6列金额。</w:t>
      </w:r>
    </w:p>
    <w:p>
      <w:pPr>
        <w:pStyle w:val="65"/>
        <w:rPr>
          <w:rFonts w:hint="eastAsia" w:cs="宋体"/>
        </w:rPr>
      </w:pPr>
      <w:r>
        <w:rPr>
          <w:rFonts w:hint="eastAsia" w:cs="宋体"/>
        </w:rPr>
        <w:t>8.第8列“税率”：填报法定税率25%。符合《财政部 国家税务总局关于高新技术企业境外所得适用税率及税收抵免问题的通知》（财税〔2011〕47号）第一条规定的高新技术企业填报15%。</w:t>
      </w:r>
    </w:p>
    <w:p>
      <w:pPr>
        <w:pStyle w:val="65"/>
        <w:rPr>
          <w:rFonts w:hint="eastAsia" w:cs="宋体"/>
        </w:rPr>
      </w:pPr>
      <w:r>
        <w:rPr>
          <w:rFonts w:hint="eastAsia" w:cs="宋体"/>
        </w:rPr>
        <w:t>9.第9列“境外所得应纳税额”：填报第7×8列金额。</w:t>
      </w:r>
    </w:p>
    <w:p>
      <w:pPr>
        <w:pStyle w:val="65"/>
        <w:rPr>
          <w:rFonts w:hint="eastAsia" w:cs="宋体"/>
        </w:rPr>
      </w:pPr>
      <w:r>
        <w:rPr>
          <w:rFonts w:hint="eastAsia" w:cs="宋体"/>
        </w:rPr>
        <w:t>10.第10列“境外所得可抵免税额”：填报表A108010第13列-第23列-第25列金额。</w:t>
      </w:r>
    </w:p>
    <w:p>
      <w:pPr>
        <w:pStyle w:val="65"/>
        <w:rPr>
          <w:rFonts w:hint="eastAsia" w:cs="宋体"/>
        </w:rPr>
      </w:pPr>
      <w:r>
        <w:rPr>
          <w:rFonts w:hint="eastAsia" w:cs="宋体"/>
        </w:rPr>
        <w:t>11.第11列“境外所得抵免限额”：境外所得抵免限额按以下公式计算：</w:t>
      </w:r>
    </w:p>
    <w:p>
      <w:pPr>
        <w:pStyle w:val="65"/>
        <w:rPr>
          <w:rFonts w:hint="eastAsia" w:cs="宋体"/>
        </w:rPr>
      </w:pPr>
      <w:r>
        <w:rPr>
          <w:rFonts w:hint="eastAsia" w:cs="宋体"/>
        </w:rPr>
        <w:t>抵免限额＝中国境内、境外所得依照企业所得税法和条例的规定计算的应纳税总额×来源于某国（地区）的应纳税所得额÷中国境内、境外应纳税所得总额。</w:t>
      </w:r>
    </w:p>
    <w:p>
      <w:pPr>
        <w:pStyle w:val="65"/>
        <w:rPr>
          <w:rFonts w:hint="eastAsia" w:cs="宋体"/>
        </w:rPr>
      </w:pPr>
      <w:r>
        <w:rPr>
          <w:rFonts w:hint="eastAsia" w:cs="宋体"/>
        </w:rPr>
        <w:t>12.第12列“本年可抵免境外所得税额”：填报纳税人本年来源于境外的所得已缴纳所得税在本年度允许抵免的金额。按第10列、第11列孰小值填报。</w:t>
      </w:r>
    </w:p>
    <w:p>
      <w:pPr>
        <w:pStyle w:val="65"/>
        <w:rPr>
          <w:rFonts w:hint="eastAsia" w:cs="宋体"/>
        </w:rPr>
      </w:pPr>
      <w:r>
        <w:rPr>
          <w:rFonts w:hint="eastAsia" w:cs="宋体"/>
        </w:rPr>
        <w:t>13.第13列“未超过境外所得税抵免限额的余额”：填报纳税人本年在抵免限额内抵免完境外所得税后有余额的，可用于抵免以前年度结转的待抵免的所得税额。按第11-12列金额填报。</w:t>
      </w:r>
    </w:p>
    <w:p>
      <w:pPr>
        <w:pStyle w:val="65"/>
        <w:rPr>
          <w:rFonts w:hint="eastAsia" w:cs="宋体"/>
        </w:rPr>
      </w:pPr>
      <w:r>
        <w:rPr>
          <w:rFonts w:hint="eastAsia" w:cs="宋体"/>
        </w:rPr>
        <w:t>14.第14列“本年可抵免以前年度未抵免境外所得税额”：填报纳税人本年可抵免以前年度未抵免、结转到本年度抵免的境外所得税额，按表A108030第13列金额填报。</w:t>
      </w:r>
    </w:p>
    <w:p>
      <w:pPr>
        <w:pStyle w:val="65"/>
        <w:rPr>
          <w:rFonts w:hint="eastAsia" w:cs="宋体"/>
        </w:rPr>
      </w:pPr>
      <w:r>
        <w:rPr>
          <w:rFonts w:hint="eastAsia" w:cs="宋体"/>
        </w:rPr>
        <w:t>15.第15列至第18列由选择简易办法计算抵免额的纳税人填报。</w:t>
      </w:r>
    </w:p>
    <w:p>
      <w:pPr>
        <w:pStyle w:val="65"/>
        <w:rPr>
          <w:rFonts w:hint="eastAsia" w:cs="宋体"/>
        </w:rPr>
      </w:pPr>
      <w:r>
        <w:rPr>
          <w:rFonts w:hint="eastAsia" w:cs="宋体"/>
        </w:rPr>
        <w:t>（1）第15列“按低于12.5%的实际税率计算的抵免额”：纳税人从境外取得营业利润所得以及符合境外税额间接抵免条件的股息所得，所得来源国（地区）的实际有效税率低于12.5%的，填报按照实际有效税率计算的抵免额。</w:t>
      </w:r>
    </w:p>
    <w:p>
      <w:pPr>
        <w:pStyle w:val="65"/>
        <w:rPr>
          <w:rFonts w:hint="eastAsia" w:cs="宋体"/>
        </w:rPr>
      </w:pPr>
      <w:r>
        <w:rPr>
          <w:rFonts w:hint="eastAsia" w:cs="宋体"/>
        </w:rPr>
        <w:t>（2）第16列“按12.5%计算的抵免额”：纳税人从境外取得营业利润所得以及符合境外税额间接抵免条件的股息所得，除第15列情形外，填报按照12.5%计算的抵免额。</w:t>
      </w:r>
    </w:p>
    <w:p>
      <w:pPr>
        <w:pStyle w:val="65"/>
        <w:rPr>
          <w:rFonts w:hint="eastAsia" w:cs="宋体"/>
        </w:rPr>
      </w:pPr>
      <w:r>
        <w:rPr>
          <w:rFonts w:hint="eastAsia" w:cs="宋体"/>
        </w:rPr>
        <w:t>（3）第17列“按25%计算的抵免额”：纳税人从境外取得营业利润所得以及符合境外税额间接抵免条件的股息所得，所得来源国（地区）的实际有效税率高于25%的，填报按照25%计算的抵免额。</w:t>
      </w:r>
    </w:p>
    <w:p>
      <w:pPr>
        <w:pStyle w:val="65"/>
        <w:rPr>
          <w:rFonts w:hint="eastAsia" w:cs="宋体"/>
        </w:rPr>
      </w:pPr>
      <w:r>
        <w:rPr>
          <w:rFonts w:hint="eastAsia" w:cs="宋体"/>
        </w:rPr>
        <w:t>16.第19列“境外所得抵免所得税额合计”：填报第12+14+18列金额。</w:t>
      </w:r>
    </w:p>
    <w:p>
      <w:pPr>
        <w:pStyle w:val="69"/>
        <w:ind w:firstLine="482"/>
        <w:outlineLvl w:val="0"/>
        <w:rPr>
          <w:rFonts w:hint="eastAsia" w:cs="宋体"/>
        </w:rPr>
      </w:pPr>
      <w:bookmarkStart w:id="398" w:name="_Toc54267976"/>
      <w:r>
        <w:rPr>
          <w:rFonts w:hint="eastAsia" w:cs="宋体"/>
        </w:rPr>
        <w:t>二、表内、表间关系</w:t>
      </w:r>
      <w:bookmarkEnd w:id="398"/>
    </w:p>
    <w:p>
      <w:pPr>
        <w:pStyle w:val="79"/>
        <w:outlineLvl w:val="1"/>
        <w:rPr>
          <w:rFonts w:hint="eastAsia" w:ascii="宋体" w:hAnsi="宋体" w:eastAsia="宋体" w:cs="宋体"/>
        </w:rPr>
      </w:pPr>
      <w:bookmarkStart w:id="399" w:name="_Toc54267977"/>
      <w:r>
        <w:rPr>
          <w:rFonts w:hint="eastAsia" w:ascii="宋体" w:hAnsi="宋体" w:eastAsia="宋体" w:cs="宋体"/>
        </w:rPr>
        <w:t>（一）表内关系</w:t>
      </w:r>
      <w:bookmarkEnd w:id="399"/>
    </w:p>
    <w:p>
      <w:pPr>
        <w:pStyle w:val="65"/>
        <w:rPr>
          <w:rFonts w:hint="eastAsia" w:cs="宋体"/>
        </w:rPr>
      </w:pPr>
      <w:r>
        <w:rPr>
          <w:rFonts w:hint="eastAsia" w:cs="宋体"/>
        </w:rPr>
        <w:t>1.第5列＝第3-4列，当第3-4列＜0时，本列＝0。</w:t>
      </w:r>
    </w:p>
    <w:p>
      <w:pPr>
        <w:pStyle w:val="65"/>
        <w:rPr>
          <w:rFonts w:hint="eastAsia" w:cs="宋体"/>
        </w:rPr>
      </w:pPr>
      <w:r>
        <w:rPr>
          <w:rFonts w:hint="eastAsia" w:cs="宋体"/>
        </w:rPr>
        <w:t>2.第6列≤第5列。</w:t>
      </w:r>
    </w:p>
    <w:p>
      <w:pPr>
        <w:pStyle w:val="65"/>
        <w:rPr>
          <w:rFonts w:hint="eastAsia" w:cs="宋体"/>
        </w:rPr>
      </w:pPr>
      <w:r>
        <w:rPr>
          <w:rFonts w:hint="eastAsia" w:cs="宋体"/>
        </w:rPr>
        <w:t>3.第7列＝第5-6列。</w:t>
      </w:r>
    </w:p>
    <w:p>
      <w:pPr>
        <w:pStyle w:val="65"/>
        <w:rPr>
          <w:rFonts w:hint="eastAsia" w:cs="宋体"/>
        </w:rPr>
      </w:pPr>
      <w:r>
        <w:rPr>
          <w:rFonts w:hint="eastAsia" w:cs="宋体"/>
        </w:rPr>
        <w:t>4.第9列＝第7×8列。</w:t>
      </w:r>
    </w:p>
    <w:p>
      <w:pPr>
        <w:pStyle w:val="65"/>
        <w:rPr>
          <w:rFonts w:hint="eastAsia" w:cs="宋体"/>
        </w:rPr>
      </w:pPr>
      <w:r>
        <w:rPr>
          <w:rFonts w:hint="eastAsia" w:cs="宋体"/>
        </w:rPr>
        <w:t>5.第12列＝第10列、第11列孰小值。</w:t>
      </w:r>
    </w:p>
    <w:p>
      <w:pPr>
        <w:pStyle w:val="65"/>
        <w:rPr>
          <w:rFonts w:hint="eastAsia" w:cs="宋体"/>
        </w:rPr>
      </w:pPr>
      <w:r>
        <w:rPr>
          <w:rFonts w:hint="eastAsia" w:cs="宋体"/>
        </w:rPr>
        <w:t>6.第13列＝第11-12列。</w:t>
      </w:r>
    </w:p>
    <w:p>
      <w:pPr>
        <w:pStyle w:val="65"/>
        <w:rPr>
          <w:rFonts w:hint="eastAsia" w:cs="宋体"/>
        </w:rPr>
      </w:pPr>
      <w:r>
        <w:rPr>
          <w:rFonts w:hint="eastAsia" w:cs="宋体"/>
        </w:rPr>
        <w:t>7.第14列≤第13列。</w:t>
      </w:r>
    </w:p>
    <w:p>
      <w:pPr>
        <w:pStyle w:val="65"/>
        <w:rPr>
          <w:rFonts w:hint="eastAsia" w:cs="宋体"/>
        </w:rPr>
      </w:pPr>
      <w:r>
        <w:rPr>
          <w:rFonts w:hint="eastAsia" w:cs="宋体"/>
        </w:rPr>
        <w:t>8.第18列＝第15+16+17列。</w:t>
      </w:r>
    </w:p>
    <w:p>
      <w:pPr>
        <w:pStyle w:val="65"/>
        <w:rPr>
          <w:rFonts w:hint="eastAsia" w:cs="宋体"/>
        </w:rPr>
      </w:pPr>
      <w:r>
        <w:rPr>
          <w:rFonts w:hint="eastAsia" w:cs="宋体"/>
        </w:rPr>
        <w:t>9.第19列＝第12+14+18列。</w:t>
      </w:r>
    </w:p>
    <w:p>
      <w:pPr>
        <w:pStyle w:val="79"/>
        <w:outlineLvl w:val="1"/>
        <w:rPr>
          <w:rFonts w:hint="eastAsia" w:ascii="宋体" w:hAnsi="宋体" w:eastAsia="宋体" w:cs="宋体"/>
        </w:rPr>
      </w:pPr>
      <w:bookmarkStart w:id="400" w:name="_Toc54267978"/>
      <w:r>
        <w:rPr>
          <w:rFonts w:hint="eastAsia" w:ascii="宋体" w:hAnsi="宋体" w:eastAsia="宋体" w:cs="宋体"/>
        </w:rPr>
        <w:t>（二）表间关系</w:t>
      </w:r>
      <w:bookmarkEnd w:id="400"/>
    </w:p>
    <w:p>
      <w:pPr>
        <w:pStyle w:val="65"/>
        <w:rPr>
          <w:rFonts w:hint="eastAsia" w:cs="宋体"/>
        </w:rPr>
      </w:pPr>
      <w:r>
        <w:rPr>
          <w:rFonts w:hint="eastAsia" w:cs="宋体"/>
        </w:rPr>
        <w:t>1.若选择“分国（地区）不分项”的境外所得抵免方式，第2列各行＝表A108010第14列相应行次-第19列相应行次-第24列相应行次；若选择“不分国（地区）不分项”的境外所得抵免方式，第1行第2列＝表A108010第14列合计-第19列合计-第24列合计。</w:t>
      </w:r>
    </w:p>
    <w:p>
      <w:pPr>
        <w:pStyle w:val="65"/>
        <w:rPr>
          <w:rFonts w:hint="eastAsia" w:cs="宋体"/>
        </w:rPr>
      </w:pPr>
      <w:r>
        <w:rPr>
          <w:rFonts w:hint="eastAsia" w:cs="宋体"/>
        </w:rPr>
        <w:t>2.若选择“分国（地区）不分项”的境外所得抵免方式，第3列各行＝表A108010第18列相应行次-第26列相应行次；若选择“不分国（地区）不分项”的境外所得抵免方式，第1行第3列＝表A108010第18列合计-第26列合计。</w:t>
      </w:r>
    </w:p>
    <w:p>
      <w:pPr>
        <w:pStyle w:val="65"/>
        <w:rPr>
          <w:rFonts w:hint="eastAsia" w:cs="宋体"/>
        </w:rPr>
      </w:pPr>
      <w:r>
        <w:rPr>
          <w:rFonts w:hint="eastAsia" w:cs="宋体"/>
        </w:rPr>
        <w:t>3.若选择“分国（地区）不分项”的境外所得抵免方式，第4列各行＝表A108020第4列相应行次+第8列相应行次；若选择“不分国（地区）不分项”的境外所得抵免方式，第1行第4列＝表A108020第4列合计+第8列合计。</w:t>
      </w:r>
    </w:p>
    <w:p>
      <w:pPr>
        <w:pStyle w:val="65"/>
        <w:rPr>
          <w:rFonts w:hint="eastAsia" w:cs="宋体"/>
          <w:b/>
        </w:rPr>
      </w:pPr>
      <w:r>
        <w:rPr>
          <w:rFonts w:hint="eastAsia" w:cs="宋体"/>
        </w:rPr>
        <w:t>4.若选择“分国（地区）不分项”的境外所得抵免方式，第6列合计≤第5列合计、表A106000第9列第1行至第10行合计+表A100000第18行的孰小值；若选择“不分国（地区）不分项”的境外所得抵免方式，第1行第6列≤第1行第5列、表A106000第9列第1行至第10行合计+表A100000第18行的孰小值。</w:t>
      </w:r>
    </w:p>
    <w:p>
      <w:pPr>
        <w:pStyle w:val="65"/>
        <w:rPr>
          <w:rFonts w:hint="eastAsia" w:cs="宋体"/>
        </w:rPr>
      </w:pPr>
      <w:r>
        <w:rPr>
          <w:rFonts w:hint="eastAsia" w:cs="宋体"/>
        </w:rPr>
        <w:t>5.第9列合计＝表A100000第29行。</w:t>
      </w:r>
    </w:p>
    <w:p>
      <w:pPr>
        <w:pStyle w:val="65"/>
        <w:rPr>
          <w:rFonts w:hint="eastAsia" w:cs="宋体"/>
        </w:rPr>
      </w:pPr>
      <w:r>
        <w:rPr>
          <w:rFonts w:hint="eastAsia" w:cs="宋体"/>
        </w:rPr>
        <w:t>6.若选择“分国（地区）不分项”的境外所得抵免方式，第10列各行＝表A108010第13列相应行次-第23列相应行次-第25列相应行次；若选择“不分国（地区）不分项”的境外所得抵免方式，第1行第10列＝表A108010第13列合计-第23列合计-第25列合计。</w:t>
      </w:r>
    </w:p>
    <w:p>
      <w:pPr>
        <w:pStyle w:val="65"/>
        <w:rPr>
          <w:rFonts w:hint="eastAsia" w:cs="宋体"/>
        </w:rPr>
      </w:pPr>
      <w:r>
        <w:rPr>
          <w:rFonts w:hint="eastAsia" w:cs="宋体"/>
        </w:rPr>
        <w:t>7.若选择“分国（地区）不分项”的境外所得抵免方式，第14列各行＝表A108030第13列相应行次；若选择“不分国（地区）不分项”的境外所得抵免方式，第1行第14列＝表A108030第13列合计。</w:t>
      </w:r>
    </w:p>
    <w:p>
      <w:pPr>
        <w:pStyle w:val="65"/>
        <w:rPr>
          <w:rFonts w:hint="eastAsia" w:cs="宋体"/>
        </w:rPr>
      </w:pPr>
      <w:r>
        <w:rPr>
          <w:rFonts w:hint="eastAsia" w:cs="宋体"/>
        </w:rPr>
        <w:t>8.第19列合计＝表A100000第30行。</w:t>
      </w:r>
      <w:bookmarkEnd w:id="394"/>
    </w:p>
    <w:p>
      <w:pPr>
        <w:pStyle w:val="80"/>
        <w:rPr>
          <w:rFonts w:hint="eastAsia"/>
        </w:rPr>
        <w:sectPr>
          <w:pgSz w:w="11906" w:h="16838"/>
          <w:pgMar w:top="1985" w:right="1418" w:bottom="1928" w:left="1418" w:header="851" w:footer="992" w:gutter="113"/>
          <w:pgNumType w:fmt="decimal"/>
          <w:cols w:space="720" w:num="1"/>
          <w:docGrid w:linePitch="312" w:charSpace="0"/>
        </w:sectPr>
      </w:pPr>
    </w:p>
    <w:p>
      <w:pPr>
        <w:pStyle w:val="92"/>
        <w:tabs>
          <w:tab w:val="center" w:pos="6940"/>
          <w:tab w:val="clear" w:pos="4620"/>
        </w:tabs>
        <w:spacing w:before="156" w:after="156"/>
        <w:jc w:val="both"/>
        <w:rPr>
          <w:rFonts w:hint="eastAsia" w:ascii="宋体" w:hAnsi="宋体" w:eastAsia="宋体" w:cs="宋体"/>
        </w:rPr>
      </w:pPr>
      <w:bookmarkStart w:id="401" w:name="_Toc54267979"/>
      <w:bookmarkStart w:id="402" w:name="_Toc952612756_WPSOffice_Level1"/>
      <w:bookmarkStart w:id="403" w:name="_Toc589522363_WPSOffice_Level1"/>
      <w:bookmarkStart w:id="404" w:name="_Toc27989765"/>
      <w:bookmarkStart w:id="405" w:name="_Toc717"/>
      <w:bookmarkStart w:id="406" w:name="_Hlk49938487"/>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w:t>
      </w:r>
      <w:bookmarkEnd w:id="401"/>
      <w:bookmarkEnd w:id="402"/>
      <w:bookmarkEnd w:id="403"/>
      <w:bookmarkEnd w:id="404"/>
      <w:bookmarkEnd w:id="405"/>
    </w:p>
    <w:tbl>
      <w:tblPr>
        <w:tblStyle w:val="25"/>
        <w:tblW w:w="14605" w:type="dxa"/>
        <w:jc w:val="center"/>
        <w:tblLayout w:type="fixed"/>
        <w:tblCellMar>
          <w:top w:w="0" w:type="dxa"/>
          <w:left w:w="108" w:type="dxa"/>
          <w:bottom w:w="0" w:type="dxa"/>
          <w:right w:w="108" w:type="dxa"/>
        </w:tblCellMar>
      </w:tblPr>
      <w:tblGrid>
        <w:gridCol w:w="552"/>
        <w:gridCol w:w="566"/>
        <w:gridCol w:w="495"/>
        <w:gridCol w:w="497"/>
        <w:gridCol w:w="483"/>
        <w:gridCol w:w="504"/>
        <w:gridCol w:w="532"/>
        <w:gridCol w:w="518"/>
        <w:gridCol w:w="518"/>
        <w:gridCol w:w="630"/>
        <w:gridCol w:w="462"/>
        <w:gridCol w:w="503"/>
        <w:gridCol w:w="528"/>
        <w:gridCol w:w="567"/>
        <w:gridCol w:w="515"/>
        <w:gridCol w:w="518"/>
        <w:gridCol w:w="526"/>
        <w:gridCol w:w="468"/>
        <w:gridCol w:w="490"/>
        <w:gridCol w:w="460"/>
        <w:gridCol w:w="568"/>
        <w:gridCol w:w="425"/>
        <w:gridCol w:w="709"/>
        <w:gridCol w:w="567"/>
        <w:gridCol w:w="709"/>
        <w:gridCol w:w="709"/>
        <w:gridCol w:w="586"/>
      </w:tblGrid>
      <w:tr>
        <w:tblPrEx>
          <w:tblCellMar>
            <w:top w:w="0" w:type="dxa"/>
            <w:left w:w="108" w:type="dxa"/>
            <w:bottom w:w="0" w:type="dxa"/>
            <w:right w:w="108" w:type="dxa"/>
          </w:tblCellMar>
        </w:tblPrEx>
        <w:trPr>
          <w:trHeight w:val="20" w:hRule="atLeast"/>
          <w:jc w:val="center"/>
        </w:trPr>
        <w:tc>
          <w:tcPr>
            <w:tcW w:w="552"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行次</w:t>
            </w:r>
          </w:p>
        </w:tc>
        <w:tc>
          <w:tcPr>
            <w:tcW w:w="56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国家（地区）</w:t>
            </w:r>
          </w:p>
        </w:tc>
        <w:tc>
          <w:tcPr>
            <w:tcW w:w="4177" w:type="dxa"/>
            <w:gridSpan w:val="8"/>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境外税后所得</w:t>
            </w:r>
          </w:p>
        </w:tc>
        <w:tc>
          <w:tcPr>
            <w:tcW w:w="2060" w:type="dxa"/>
            <w:gridSpan w:val="4"/>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境外所得可抵免的所得税额</w:t>
            </w:r>
          </w:p>
        </w:tc>
        <w:tc>
          <w:tcPr>
            <w:tcW w:w="515"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境外税前</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所得</w:t>
            </w:r>
          </w:p>
        </w:tc>
        <w:tc>
          <w:tcPr>
            <w:tcW w:w="51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sz w:val="20"/>
              </w:rPr>
              <w:t>境外分支机构收入与支出纳税调整额</w:t>
            </w:r>
          </w:p>
        </w:tc>
        <w:tc>
          <w:tcPr>
            <w:tcW w:w="52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境外分支</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机构调整分摊扣除的有关成本费用</w:t>
            </w:r>
          </w:p>
        </w:tc>
        <w:tc>
          <w:tcPr>
            <w:tcW w:w="46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对应调整的相关成本费用支出</w:t>
            </w:r>
          </w:p>
        </w:tc>
        <w:tc>
          <w:tcPr>
            <w:tcW w:w="490" w:type="dxa"/>
            <w:vMerge w:val="restart"/>
            <w:tcBorders>
              <w:top w:val="single" w:color="auto" w:sz="12" w:space="0"/>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4733" w:type="dxa"/>
            <w:gridSpan w:val="8"/>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其中：新增境外直接投资所得</w:t>
            </w:r>
          </w:p>
        </w:tc>
      </w:tr>
      <w:tr>
        <w:tblPrEx>
          <w:tblCellMar>
            <w:top w:w="0" w:type="dxa"/>
            <w:left w:w="108" w:type="dxa"/>
            <w:bottom w:w="0" w:type="dxa"/>
            <w:right w:w="108" w:type="dxa"/>
          </w:tblCellMar>
        </w:tblPrEx>
        <w:trPr>
          <w:trHeight w:val="633"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分支机构营业利润所得</w:t>
            </w:r>
          </w:p>
        </w:tc>
        <w:tc>
          <w:tcPr>
            <w:tcW w:w="49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股息、红利等权益性投资所得</w:t>
            </w:r>
          </w:p>
        </w:tc>
        <w:tc>
          <w:tcPr>
            <w:tcW w:w="48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利息所得</w:t>
            </w:r>
          </w:p>
        </w:tc>
        <w:tc>
          <w:tcPr>
            <w:tcW w:w="504"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租金所得</w:t>
            </w:r>
          </w:p>
        </w:tc>
        <w:tc>
          <w:tcPr>
            <w:tcW w:w="53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特许权使用费所得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财产转让所得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其他所得</w:t>
            </w:r>
          </w:p>
        </w:tc>
        <w:tc>
          <w:tcPr>
            <w:tcW w:w="63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46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直接缴纳的所得税额</w:t>
            </w:r>
          </w:p>
        </w:tc>
        <w:tc>
          <w:tcPr>
            <w:tcW w:w="50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间接负担的所得税额</w:t>
            </w:r>
          </w:p>
        </w:tc>
        <w:tc>
          <w:tcPr>
            <w:tcW w:w="52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享受税收饶让抵免税额</w:t>
            </w:r>
          </w:p>
        </w:tc>
        <w:tc>
          <w:tcPr>
            <w:tcW w:w="56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515"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2729"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新设境外分支机构所得</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新增境外直接投资相对应的股息所得</w:t>
            </w:r>
          </w:p>
        </w:tc>
        <w:tc>
          <w:tcPr>
            <w:tcW w:w="586" w:type="dxa"/>
            <w:tcBorders>
              <w:top w:val="single" w:color="auto" w:sz="4" w:space="0"/>
              <w:left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境外享受免税政策的所得小计</w:t>
            </w:r>
          </w:p>
        </w:tc>
      </w:tr>
      <w:tr>
        <w:tblPrEx>
          <w:tblCellMar>
            <w:top w:w="0" w:type="dxa"/>
            <w:left w:w="108" w:type="dxa"/>
            <w:bottom w:w="0" w:type="dxa"/>
            <w:right w:w="108" w:type="dxa"/>
          </w:tblCellMar>
        </w:tblPrEx>
        <w:trPr>
          <w:trHeight w:val="1461"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8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3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63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46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营业利润</w:t>
            </w:r>
          </w:p>
        </w:tc>
        <w:tc>
          <w:tcPr>
            <w:tcW w:w="568"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调整分摊扣除的有关成本费用</w:t>
            </w:r>
          </w:p>
        </w:tc>
        <w:tc>
          <w:tcPr>
            <w:tcW w:w="42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567"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境外所得税额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对应的股息所得</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对应的股息境外所得税额</w:t>
            </w:r>
          </w:p>
        </w:tc>
        <w:tc>
          <w:tcPr>
            <w:tcW w:w="586" w:type="dxa"/>
            <w:tcBorders>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164" w:hRule="atLeast"/>
          <w:jc w:val="center"/>
        </w:trPr>
        <w:tc>
          <w:tcPr>
            <w:tcW w:w="552"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w:t>
            </w: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w:t>
            </w: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3</w:t>
            </w: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4</w:t>
            </w: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5</w:t>
            </w: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6</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7</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8</w:t>
            </w: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9(2+…+8)</w:t>
            </w: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10</w:t>
            </w: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11</w:t>
            </w: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12</w:t>
            </w: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13(10+11+12)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14(9+10+11)</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15</w:t>
            </w: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16</w:t>
            </w: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17</w:t>
            </w: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18(14+15-16-17)</w:t>
            </w: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19</w:t>
            </w: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20</w:t>
            </w: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21</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22（19-20+21）</w:t>
            </w: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23</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24</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25</w:t>
            </w: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26（22+24）</w:t>
            </w: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4</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6</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7</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8</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9</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10</w:t>
            </w:r>
          </w:p>
        </w:tc>
        <w:tc>
          <w:tcPr>
            <w:tcW w:w="56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合计</w:t>
            </w:r>
          </w:p>
        </w:tc>
        <w:tc>
          <w:tcPr>
            <w:tcW w:w="49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bl>
    <w:p>
      <w:pPr>
        <w:rPr>
          <w:rFonts w:hint="eastAsia" w:ascii="宋体" w:hAnsi="宋体" w:cs="宋体"/>
        </w:rPr>
        <w:sectPr>
          <w:pgSz w:w="16838" w:h="11906" w:orient="landscape"/>
          <w:pgMar w:top="1380" w:right="1440" w:bottom="1800" w:left="1440" w:header="851" w:footer="992" w:gutter="0"/>
          <w:pgNumType w:fmt="decimal"/>
          <w:cols w:space="720" w:num="1"/>
          <w:docGrid w:type="lines" w:linePitch="312" w:charSpace="0"/>
        </w:sectPr>
      </w:pPr>
    </w:p>
    <w:p>
      <w:pPr>
        <w:pStyle w:val="93"/>
        <w:spacing w:before="156" w:after="156"/>
        <w:rPr>
          <w:rFonts w:hint="eastAsia" w:ascii="宋体" w:hAnsi="宋体" w:eastAsia="宋体" w:cs="宋体"/>
        </w:rPr>
      </w:pPr>
      <w:bookmarkStart w:id="407" w:name="_Toc199338586_WPSOffice_Level1"/>
      <w:bookmarkStart w:id="408" w:name="_Toc31746037_WPSOffice_Level1"/>
      <w:bookmarkStart w:id="409" w:name="_Toc54267980"/>
      <w:bookmarkStart w:id="410" w:name="_Toc27989766"/>
      <w:bookmarkStart w:id="411" w:name="_Toc20469"/>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《境外所得纳税调整后所得明细表》填报说明</w:t>
      </w:r>
      <w:bookmarkEnd w:id="407"/>
      <w:bookmarkEnd w:id="408"/>
      <w:bookmarkEnd w:id="409"/>
      <w:bookmarkEnd w:id="410"/>
      <w:bookmarkEnd w:id="411"/>
    </w:p>
    <w:p>
      <w:pPr>
        <w:pStyle w:val="94"/>
        <w:ind w:firstLine="480"/>
        <w:rPr>
          <w:rFonts w:hint="eastAsia" w:ascii="宋体" w:hAnsi="宋体" w:eastAsia="宋体" w:cs="宋体"/>
        </w:rPr>
      </w:pPr>
      <w:r>
        <w:rPr>
          <w:rFonts w:hint="eastAsia" w:ascii="宋体" w:hAnsi="宋体" w:eastAsia="宋体" w:cs="宋体"/>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等规定，填报本年来源于或发生于不同国家、地区的所得按照税收规定计算的境外所得纳税调整后所得。对于境外所得税收抵免方式选择“不分国（地区）不分项”的纳税人，也应按照规定计算可抵免境外所得税税额，并按国（地区）别逐行填报。</w:t>
      </w:r>
    </w:p>
    <w:p>
      <w:pPr>
        <w:pStyle w:val="96"/>
        <w:spacing w:before="156"/>
        <w:ind w:firstLine="480"/>
        <w:outlineLvl w:val="0"/>
        <w:rPr>
          <w:rFonts w:hint="eastAsia" w:ascii="宋体" w:hAnsi="宋体" w:eastAsia="宋体" w:cs="宋体"/>
        </w:rPr>
      </w:pPr>
      <w:bookmarkStart w:id="412" w:name="_Toc250958996_WPSOffice_Level1"/>
      <w:bookmarkStart w:id="413" w:name="_Toc54267981"/>
      <w:bookmarkStart w:id="414" w:name="_Toc1484455596_WPSOffice_Level1"/>
      <w:r>
        <w:rPr>
          <w:rFonts w:hint="eastAsia" w:ascii="宋体" w:hAnsi="宋体" w:eastAsia="宋体" w:cs="宋体"/>
        </w:rPr>
        <w:t>一、有关项目填报说明</w:t>
      </w:r>
      <w:bookmarkEnd w:id="412"/>
      <w:bookmarkEnd w:id="413"/>
      <w:bookmarkEnd w:id="414"/>
    </w:p>
    <w:p>
      <w:pPr>
        <w:pStyle w:val="94"/>
        <w:ind w:firstLine="480"/>
        <w:rPr>
          <w:rFonts w:hint="eastAsia" w:ascii="宋体" w:hAnsi="宋体" w:eastAsia="宋体" w:cs="宋体"/>
        </w:rPr>
      </w:pPr>
      <w:r>
        <w:rPr>
          <w:rFonts w:hint="eastAsia" w:ascii="宋体" w:hAnsi="宋体" w:eastAsia="宋体" w:cs="宋体"/>
        </w:rPr>
        <w:t>1.第1列“国家（地区）”：填报纳税人境外所得来源的国家（地区）名称，来源于同一个国家（地区）的境外所得可合并到一行填报。</w:t>
      </w:r>
    </w:p>
    <w:p>
      <w:pPr>
        <w:pStyle w:val="94"/>
        <w:ind w:firstLine="480"/>
        <w:rPr>
          <w:rFonts w:hint="eastAsia" w:ascii="宋体" w:hAnsi="宋体" w:eastAsia="宋体" w:cs="宋体"/>
        </w:rPr>
      </w:pPr>
      <w:r>
        <w:rPr>
          <w:rFonts w:hint="eastAsia" w:ascii="宋体" w:hAnsi="宋体" w:eastAsia="宋体" w:cs="宋体"/>
        </w:rPr>
        <w:t>2.第2列至第9列“境外税后所得”：填报纳税人取得的来源于境外的税后所得，包含已计入利润总额以及按照税法相关规定已在《纳税调整项目明细表》（A105000）进行纳税调整的境外税后所得。</w:t>
      </w:r>
    </w:p>
    <w:p>
      <w:pPr>
        <w:pStyle w:val="94"/>
        <w:ind w:firstLine="480"/>
        <w:rPr>
          <w:rFonts w:hint="eastAsia" w:ascii="宋体" w:hAnsi="宋体" w:eastAsia="宋体" w:cs="宋体"/>
        </w:rPr>
      </w:pPr>
      <w:r>
        <w:rPr>
          <w:rFonts w:hint="eastAsia" w:ascii="宋体" w:hAnsi="宋体" w:eastAsia="宋体" w:cs="宋体"/>
        </w:rPr>
        <w:t>3.第10列“直接缴纳的所得税额”：填报纳税人来源于境外的营业利润所得在境外所缴纳的企业所得税，以及就来源于或发生于境外的股息、红利等权益性投资所得、利息、租金、特许权使用费、财产转让等所得在境外被源泉扣缴的预提所得税。</w:t>
      </w:r>
    </w:p>
    <w:p>
      <w:pPr>
        <w:pStyle w:val="94"/>
        <w:ind w:firstLine="480"/>
        <w:rPr>
          <w:rFonts w:hint="eastAsia" w:ascii="宋体" w:hAnsi="宋体" w:eastAsia="宋体" w:cs="宋体"/>
        </w:rPr>
      </w:pPr>
      <w:r>
        <w:rPr>
          <w:rFonts w:hint="eastAsia" w:ascii="宋体" w:hAnsi="宋体" w:eastAsia="宋体" w:cs="宋体"/>
        </w:rPr>
        <w:t>4.第11列“间接负担的所得税额”：填报纳税人从其直接或者间接控制的外国企业分得的来源于中国境外的股息、红利等权益性投资收益，外国企业在境外实际缴纳的所得税额中属于该项所得负担的部分。</w:t>
      </w:r>
    </w:p>
    <w:p>
      <w:pPr>
        <w:pStyle w:val="94"/>
        <w:ind w:firstLine="480"/>
        <w:rPr>
          <w:rFonts w:hint="eastAsia" w:ascii="宋体" w:hAnsi="宋体" w:eastAsia="宋体" w:cs="宋体"/>
        </w:rPr>
      </w:pPr>
      <w:r>
        <w:rPr>
          <w:rFonts w:hint="eastAsia" w:ascii="宋体" w:hAnsi="宋体" w:eastAsia="宋体" w:cs="宋体"/>
        </w:rPr>
        <w:t>5.第12列“享受税收饶让抵免税额”：填报纳税人从与我国政府订立税收协定（或安排）的国家（地区）取得的所得，按照该国（地区）税收法律享受了免税或减税待遇，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6.第15列“境外分支机构收入与支出纳税调整额”：填报纳税人境外分支机构收入、支出按照税收规定计算的纳税调整额。</w:t>
      </w:r>
    </w:p>
    <w:p>
      <w:pPr>
        <w:pStyle w:val="94"/>
        <w:ind w:firstLine="480"/>
        <w:rPr>
          <w:rFonts w:hint="eastAsia" w:ascii="宋体" w:hAnsi="宋体" w:eastAsia="宋体" w:cs="宋体"/>
        </w:rPr>
      </w:pPr>
      <w:r>
        <w:rPr>
          <w:rFonts w:hint="eastAsia" w:ascii="宋体" w:hAnsi="宋体" w:eastAsia="宋体" w:cs="宋体"/>
        </w:rPr>
        <w:t>7.第16列“境外分支机构调整分摊扣除的有关成本费用”：填报纳税人境外分支机构应合理分摊的总部管理费等有关成本费用，同时在《纳税调整项目明细表》（A105000）进行纳税调增。</w:t>
      </w:r>
    </w:p>
    <w:p>
      <w:pPr>
        <w:pStyle w:val="94"/>
        <w:ind w:firstLine="480"/>
        <w:rPr>
          <w:rFonts w:hint="eastAsia" w:ascii="宋体" w:hAnsi="宋体" w:eastAsia="宋体" w:cs="宋体"/>
        </w:rPr>
      </w:pPr>
      <w:r>
        <w:rPr>
          <w:rFonts w:hint="eastAsia" w:ascii="宋体" w:hAnsi="宋体" w:eastAsia="宋体" w:cs="宋体"/>
        </w:rPr>
        <w:t>8.第17列“境外所得对应调整的相关成本费用支出”：填报纳税人实际发生与取得境外所得有关但未直接计入境外所得应纳税所得的成本费用支出，同时在《纳税调整项目明细表》（A105000）进行纳税调增。</w:t>
      </w:r>
    </w:p>
    <w:p>
      <w:pPr>
        <w:pStyle w:val="94"/>
        <w:ind w:firstLine="480"/>
        <w:rPr>
          <w:rFonts w:hint="eastAsia" w:ascii="宋体" w:hAnsi="宋体" w:eastAsia="宋体" w:cs="宋体"/>
        </w:rPr>
      </w:pPr>
      <w:r>
        <w:rPr>
          <w:rFonts w:hint="eastAsia" w:ascii="宋体" w:hAnsi="宋体" w:eastAsia="宋体" w:cs="宋体"/>
        </w:rPr>
        <w:t>9.第18列“境外所得纳税调整后所得”：填报第14+15-16-17列的金额。</w:t>
      </w:r>
    </w:p>
    <w:p>
      <w:pPr>
        <w:pStyle w:val="94"/>
        <w:ind w:firstLine="480"/>
        <w:rPr>
          <w:rFonts w:hint="eastAsia" w:ascii="宋体" w:hAnsi="宋体" w:eastAsia="宋体" w:cs="宋体"/>
        </w:rPr>
      </w:pPr>
      <w:r>
        <w:rPr>
          <w:rFonts w:hint="eastAsia" w:ascii="宋体" w:hAnsi="宋体" w:eastAsia="宋体" w:cs="宋体"/>
        </w:rPr>
        <w:t>10.第19列至第26列“其中：新增境外直接投资所得”：填报在海南自由贸易港等特定地区设立的旅游业、现代服务业、高新技术产业企业新增境外直接投资取得的所得。</w:t>
      </w:r>
    </w:p>
    <w:p>
      <w:pPr>
        <w:pStyle w:val="94"/>
        <w:ind w:firstLine="480"/>
        <w:rPr>
          <w:rFonts w:hint="eastAsia" w:ascii="宋体" w:hAnsi="宋体" w:eastAsia="宋体" w:cs="宋体"/>
        </w:rPr>
      </w:pPr>
      <w:r>
        <w:rPr>
          <w:rFonts w:hint="eastAsia" w:ascii="宋体" w:hAnsi="宋体" w:eastAsia="宋体" w:cs="宋体"/>
        </w:rPr>
        <w:t>11.第19列“营业利润”：填报纳税人已计入本年利润总额的新设立境外分支机构营业利润。</w:t>
      </w:r>
    </w:p>
    <w:p>
      <w:pPr>
        <w:pStyle w:val="94"/>
        <w:ind w:firstLine="480"/>
        <w:rPr>
          <w:rFonts w:hint="eastAsia" w:ascii="宋体" w:hAnsi="宋体" w:eastAsia="宋体" w:cs="宋体"/>
        </w:rPr>
      </w:pPr>
      <w:r>
        <w:rPr>
          <w:rFonts w:hint="eastAsia" w:ascii="宋体" w:hAnsi="宋体" w:eastAsia="宋体" w:cs="宋体"/>
        </w:rPr>
        <w:t>12.第20列“调整分摊扣除的有关成本费用”：填报纳税人境外新设立分支机构本年应合理分摊的总部管理费等有关成本费用。</w:t>
      </w:r>
    </w:p>
    <w:p>
      <w:pPr>
        <w:pStyle w:val="94"/>
        <w:ind w:firstLine="480"/>
        <w:rPr>
          <w:rFonts w:hint="eastAsia" w:ascii="宋体" w:hAnsi="宋体" w:eastAsia="宋体" w:cs="宋体"/>
        </w:rPr>
      </w:pPr>
      <w:r>
        <w:rPr>
          <w:rFonts w:hint="eastAsia" w:ascii="宋体" w:hAnsi="宋体" w:eastAsia="宋体" w:cs="宋体"/>
        </w:rPr>
        <w:t>13.第21列“纳税调整额”：填报纳税人境外新设立分支机构收入、扣除等按照税收规定计算的纳税调整额。</w:t>
      </w:r>
    </w:p>
    <w:p>
      <w:pPr>
        <w:pStyle w:val="94"/>
        <w:ind w:firstLine="480"/>
        <w:rPr>
          <w:rFonts w:hint="eastAsia" w:ascii="宋体" w:hAnsi="宋体" w:eastAsia="宋体" w:cs="宋体"/>
        </w:rPr>
      </w:pPr>
      <w:r>
        <w:rPr>
          <w:rFonts w:hint="eastAsia" w:ascii="宋体" w:hAnsi="宋体" w:eastAsia="宋体" w:cs="宋体"/>
        </w:rPr>
        <w:t>14.第22列“纳税调整后所得”：填报第19-20+21列的金额，若为负数则填0。</w:t>
      </w:r>
    </w:p>
    <w:p>
      <w:pPr>
        <w:pStyle w:val="94"/>
        <w:ind w:firstLine="480"/>
        <w:rPr>
          <w:rFonts w:hint="eastAsia" w:ascii="宋体" w:hAnsi="宋体" w:eastAsia="宋体" w:cs="宋体"/>
        </w:rPr>
      </w:pPr>
      <w:r>
        <w:rPr>
          <w:rFonts w:hint="eastAsia" w:ascii="宋体" w:hAnsi="宋体" w:eastAsia="宋体" w:cs="宋体"/>
        </w:rPr>
        <w:t>15.第23列“境外所得税额”：填报纳税人新设立的境外分支机构本年营业利润按照中国境外税收法律以及相关规定应当缴纳并已实际缴纳的企业所得税性质的税款，包括从与我国政府订立税收协定（或安排）的国家（地区）取得的新设立的境外分支机构的营业利润按照该国（地区）税收法律享受了免税或减税待遇的税额，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16.第24列“对应的股息所得”：填报纳税人本年从其持股比例超过20%（含）的境外子公司分回的来源于中国境外的股息、红利等权益性投资收益中，属于新增直接投资所对应的股息、红利等权益性投资收益，包括按照税法规定进行纳税调整的股息、红利等权益性投资收益。</w:t>
      </w:r>
    </w:p>
    <w:p>
      <w:pPr>
        <w:pStyle w:val="94"/>
        <w:ind w:firstLine="480"/>
        <w:rPr>
          <w:rFonts w:hint="eastAsia" w:ascii="宋体" w:hAnsi="宋体" w:eastAsia="宋体" w:cs="宋体"/>
        </w:rPr>
      </w:pPr>
      <w:r>
        <w:rPr>
          <w:rFonts w:hint="eastAsia" w:ascii="宋体" w:hAnsi="宋体" w:eastAsia="宋体" w:cs="宋体"/>
        </w:rPr>
        <w:t>17.第25列“对应的股息境外所得税额”：填报纳税人本年从其持股比例超过20%（含）的境外子公司分回的来源于中国境外的股息、红利等权益性投资收益中，属于新增直接投资所对应的股息、红利等权益性投资收益已缴境外所得税，包含如下：</w:t>
      </w:r>
    </w:p>
    <w:p>
      <w:pPr>
        <w:pStyle w:val="94"/>
        <w:ind w:firstLine="480"/>
        <w:rPr>
          <w:rFonts w:hint="eastAsia" w:ascii="宋体" w:hAnsi="宋体" w:eastAsia="宋体" w:cs="宋体"/>
        </w:rPr>
      </w:pPr>
      <w:r>
        <w:rPr>
          <w:rFonts w:hint="eastAsia" w:ascii="宋体" w:hAnsi="宋体" w:eastAsia="宋体" w:cs="宋体"/>
        </w:rPr>
        <w:t>一是在境外被源泉扣缴的预提所得税；</w:t>
      </w:r>
    </w:p>
    <w:p>
      <w:pPr>
        <w:pStyle w:val="94"/>
        <w:ind w:firstLine="480"/>
        <w:rPr>
          <w:rFonts w:hint="eastAsia" w:ascii="宋体" w:hAnsi="宋体" w:eastAsia="宋体" w:cs="宋体"/>
        </w:rPr>
      </w:pPr>
      <w:r>
        <w:rPr>
          <w:rFonts w:hint="eastAsia" w:ascii="宋体" w:hAnsi="宋体" w:eastAsia="宋体" w:cs="宋体"/>
        </w:rPr>
        <w:t>二是间接负担的境外所得税；</w:t>
      </w:r>
    </w:p>
    <w:p>
      <w:pPr>
        <w:pStyle w:val="94"/>
        <w:ind w:firstLine="480"/>
        <w:rPr>
          <w:rFonts w:hint="eastAsia" w:ascii="宋体" w:hAnsi="宋体" w:eastAsia="宋体" w:cs="宋体"/>
        </w:rPr>
      </w:pPr>
      <w:r>
        <w:rPr>
          <w:rFonts w:hint="eastAsia" w:ascii="宋体" w:hAnsi="宋体" w:eastAsia="宋体" w:cs="宋体"/>
        </w:rPr>
        <w:t>三是享受了与我国政府订立税收协定（或安排）的国家（地区）给予的免税或减税待遇，且该免税或减税的数额按照税收协定应视同已缴税额的金额。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18.第26列“境外享受免税政策的所得小计”：填报纳税人按照财税〔2020〕31号规定享受免税的境外所得金额，金额等于第22+24列。</w:t>
      </w:r>
    </w:p>
    <w:p>
      <w:pPr>
        <w:pStyle w:val="94"/>
        <w:ind w:firstLine="480"/>
        <w:outlineLvl w:val="0"/>
        <w:rPr>
          <w:rFonts w:hint="eastAsia" w:ascii="宋体" w:hAnsi="宋体" w:eastAsia="宋体" w:cs="宋体"/>
        </w:rPr>
      </w:pPr>
      <w:bookmarkStart w:id="415" w:name="_Toc1633711810_WPSOffice_Level1"/>
      <w:bookmarkStart w:id="416" w:name="_Toc54267982"/>
      <w:bookmarkStart w:id="417" w:name="_Toc808659191_WPSOffice_Level1"/>
      <w:r>
        <w:rPr>
          <w:rFonts w:hint="eastAsia" w:ascii="宋体" w:hAnsi="宋体" w:eastAsia="宋体" w:cs="宋体"/>
        </w:rPr>
        <w:t>二、表内、表间关系</w:t>
      </w:r>
      <w:bookmarkEnd w:id="415"/>
      <w:bookmarkEnd w:id="416"/>
      <w:bookmarkEnd w:id="417"/>
    </w:p>
    <w:p>
      <w:pPr>
        <w:pStyle w:val="94"/>
        <w:ind w:firstLine="480"/>
        <w:outlineLvl w:val="1"/>
        <w:rPr>
          <w:rFonts w:hint="eastAsia" w:ascii="宋体" w:hAnsi="宋体" w:eastAsia="宋体" w:cs="宋体"/>
        </w:rPr>
      </w:pPr>
      <w:bookmarkStart w:id="418" w:name="_Toc1127608957_WPSOffice_Level2"/>
      <w:bookmarkStart w:id="419" w:name="_Toc54267983"/>
      <w:bookmarkStart w:id="420" w:name="_Toc1138330731_WPSOffice_Level2"/>
      <w:r>
        <w:rPr>
          <w:rFonts w:hint="eastAsia" w:ascii="宋体" w:hAnsi="宋体" w:eastAsia="宋体" w:cs="宋体"/>
        </w:rPr>
        <w:t>（一）表内关系</w:t>
      </w:r>
      <w:bookmarkEnd w:id="418"/>
      <w:bookmarkEnd w:id="419"/>
      <w:bookmarkEnd w:id="420"/>
    </w:p>
    <w:p>
      <w:pPr>
        <w:pStyle w:val="94"/>
        <w:ind w:firstLine="480"/>
        <w:rPr>
          <w:rFonts w:hint="eastAsia" w:ascii="宋体" w:hAnsi="宋体" w:eastAsia="宋体" w:cs="宋体"/>
        </w:rPr>
      </w:pPr>
      <w:bookmarkStart w:id="421" w:name="_Toc773340212_WPSOffice_Level3"/>
      <w:r>
        <w:rPr>
          <w:rFonts w:hint="eastAsia" w:ascii="宋体" w:hAnsi="宋体" w:eastAsia="宋体" w:cs="宋体"/>
        </w:rPr>
        <w:t>1.第9列＝第2+3+…+8列。</w:t>
      </w:r>
      <w:bookmarkEnd w:id="421"/>
    </w:p>
    <w:p>
      <w:pPr>
        <w:pStyle w:val="94"/>
        <w:ind w:firstLine="480"/>
        <w:rPr>
          <w:rFonts w:hint="eastAsia" w:ascii="宋体" w:hAnsi="宋体" w:eastAsia="宋体" w:cs="宋体"/>
        </w:rPr>
      </w:pPr>
      <w:bookmarkStart w:id="422" w:name="_Toc1855843208_WPSOffice_Level3"/>
      <w:r>
        <w:rPr>
          <w:rFonts w:hint="eastAsia" w:ascii="宋体" w:hAnsi="宋体" w:eastAsia="宋体" w:cs="宋体"/>
        </w:rPr>
        <w:t>2.第13列＝第10+11+12列。</w:t>
      </w:r>
      <w:bookmarkEnd w:id="422"/>
    </w:p>
    <w:p>
      <w:pPr>
        <w:pStyle w:val="94"/>
        <w:ind w:firstLine="480"/>
        <w:rPr>
          <w:rFonts w:hint="eastAsia" w:ascii="宋体" w:hAnsi="宋体" w:eastAsia="宋体" w:cs="宋体"/>
        </w:rPr>
      </w:pPr>
      <w:bookmarkStart w:id="423" w:name="_Toc1361112916_WPSOffice_Level3"/>
      <w:r>
        <w:rPr>
          <w:rFonts w:hint="eastAsia" w:ascii="宋体" w:hAnsi="宋体" w:eastAsia="宋体" w:cs="宋体"/>
        </w:rPr>
        <w:t>3.第14列＝第9+10+11列。</w:t>
      </w:r>
      <w:bookmarkEnd w:id="423"/>
    </w:p>
    <w:p>
      <w:pPr>
        <w:pStyle w:val="94"/>
        <w:ind w:firstLine="480"/>
        <w:rPr>
          <w:rFonts w:hint="eastAsia" w:ascii="宋体" w:hAnsi="宋体" w:eastAsia="宋体" w:cs="宋体"/>
        </w:rPr>
      </w:pPr>
      <w:bookmarkStart w:id="424" w:name="_Toc1460002745_WPSOffice_Level3"/>
      <w:r>
        <w:rPr>
          <w:rFonts w:hint="eastAsia" w:ascii="宋体" w:hAnsi="宋体" w:eastAsia="宋体" w:cs="宋体"/>
        </w:rPr>
        <w:t>4.第18列＝第14+15-16-17列。</w:t>
      </w:r>
      <w:bookmarkEnd w:id="424"/>
    </w:p>
    <w:p>
      <w:pPr>
        <w:pStyle w:val="94"/>
        <w:ind w:firstLine="480"/>
        <w:rPr>
          <w:rFonts w:hint="eastAsia" w:ascii="宋体" w:hAnsi="宋体" w:eastAsia="宋体" w:cs="宋体"/>
          <w:lang w:val="en"/>
        </w:rPr>
      </w:pPr>
      <w:bookmarkStart w:id="425" w:name="_Toc329588109_WPSOffice_Level3"/>
      <w:r>
        <w:rPr>
          <w:rFonts w:hint="eastAsia" w:ascii="宋体" w:hAnsi="宋体" w:eastAsia="宋体" w:cs="宋体"/>
        </w:rPr>
        <w:t>5.第22列＝第19-20+21列。</w:t>
      </w:r>
      <w:bookmarkEnd w:id="425"/>
      <w:r>
        <w:rPr>
          <w:rFonts w:hint="eastAsia" w:ascii="宋体" w:hAnsi="宋体" w:eastAsia="宋体" w:cs="宋体"/>
        </w:rPr>
        <w:t>当第19-20+21列＜0时,第22列＝0。</w:t>
      </w:r>
    </w:p>
    <w:p>
      <w:pPr>
        <w:pStyle w:val="94"/>
        <w:ind w:firstLine="480"/>
        <w:rPr>
          <w:rFonts w:hint="eastAsia" w:ascii="宋体" w:hAnsi="宋体" w:eastAsia="宋体" w:cs="宋体"/>
        </w:rPr>
      </w:pPr>
      <w:bookmarkStart w:id="426" w:name="_Toc869000868_WPSOffice_Level3"/>
      <w:r>
        <w:rPr>
          <w:rFonts w:hint="eastAsia" w:ascii="宋体" w:hAnsi="宋体" w:eastAsia="宋体" w:cs="宋体"/>
        </w:rPr>
        <w:t>6.第26列＝第22+24列。</w:t>
      </w:r>
      <w:bookmarkEnd w:id="426"/>
    </w:p>
    <w:p>
      <w:pPr>
        <w:pStyle w:val="94"/>
        <w:ind w:firstLine="480"/>
        <w:outlineLvl w:val="1"/>
        <w:rPr>
          <w:rFonts w:hint="eastAsia" w:ascii="宋体" w:hAnsi="宋体" w:eastAsia="宋体" w:cs="宋体"/>
        </w:rPr>
      </w:pPr>
      <w:bookmarkStart w:id="427" w:name="_Toc54267984"/>
      <w:bookmarkStart w:id="428" w:name="_Toc738767668_WPSOffice_Level2"/>
      <w:bookmarkStart w:id="429" w:name="_Toc991789515_WPSOffice_Level2"/>
      <w:r>
        <w:rPr>
          <w:rFonts w:hint="eastAsia" w:ascii="宋体" w:hAnsi="宋体" w:eastAsia="宋体" w:cs="宋体"/>
        </w:rPr>
        <w:t>（二）表间关系</w:t>
      </w:r>
      <w:bookmarkEnd w:id="427"/>
      <w:bookmarkEnd w:id="428"/>
      <w:bookmarkEnd w:id="429"/>
    </w:p>
    <w:p>
      <w:pPr>
        <w:pStyle w:val="94"/>
        <w:ind w:firstLine="480"/>
        <w:rPr>
          <w:rFonts w:hint="eastAsia" w:ascii="宋体" w:hAnsi="宋体" w:eastAsia="宋体" w:cs="宋体"/>
        </w:rPr>
      </w:pPr>
      <w:bookmarkStart w:id="430" w:name="_Hlk49938596"/>
      <w:r>
        <w:rPr>
          <w:rFonts w:hint="eastAsia" w:ascii="宋体" w:hAnsi="宋体" w:eastAsia="宋体" w:cs="宋体"/>
        </w:rPr>
        <w:t>1.若选择“分国（地区）不分项”的境外所得抵免方式，本表</w:t>
      </w:r>
      <w:bookmarkStart w:id="431" w:name="_Hlk49938082"/>
      <w:r>
        <w:rPr>
          <w:rFonts w:hint="eastAsia" w:ascii="宋体" w:hAnsi="宋体" w:eastAsia="宋体" w:cs="宋体"/>
        </w:rPr>
        <w:t>第13列各行-第23列各行-第25列各行</w:t>
      </w:r>
      <w:bookmarkEnd w:id="431"/>
      <w:r>
        <w:rPr>
          <w:rFonts w:hint="eastAsia" w:ascii="宋体" w:hAnsi="宋体" w:eastAsia="宋体" w:cs="宋体"/>
        </w:rPr>
        <w:t>＝表A108000第10列相应行次；若选择“不分国（地区）不分项”的境外所得抵免方式，本表第13列合计-第23列合计-第25列合计＝表A108000第1行第10列。</w:t>
      </w:r>
    </w:p>
    <w:bookmarkEnd w:id="430"/>
    <w:p>
      <w:pPr>
        <w:pStyle w:val="94"/>
        <w:ind w:firstLine="480"/>
        <w:rPr>
          <w:rFonts w:hint="eastAsia" w:ascii="宋体" w:hAnsi="宋体" w:eastAsia="宋体" w:cs="宋体"/>
        </w:rPr>
      </w:pPr>
      <w:r>
        <w:rPr>
          <w:rFonts w:hint="eastAsia" w:ascii="宋体" w:hAnsi="宋体" w:eastAsia="宋体" w:cs="宋体"/>
        </w:rPr>
        <w:t>2.</w:t>
      </w:r>
      <w:bookmarkStart w:id="432" w:name="_Hlk49938301"/>
      <w:r>
        <w:rPr>
          <w:rFonts w:hint="eastAsia" w:ascii="宋体" w:hAnsi="宋体" w:eastAsia="宋体" w:cs="宋体"/>
        </w:rPr>
        <w:t>若选择“分国（地区）不分项”的境外所得抵免方式，本表第14列各行-第19列各行-第24列各行＝表A108000第2列相应行次；若选择“不分国（地区）不分项”的境外所得抵免方式，本表第14列合计-第19列合计-第24列合计＝表A108000第1行第2列。</w:t>
      </w:r>
    </w:p>
    <w:bookmarkEnd w:id="432"/>
    <w:p>
      <w:pPr>
        <w:pStyle w:val="94"/>
        <w:ind w:firstLine="480"/>
        <w:rPr>
          <w:rFonts w:hint="eastAsia" w:ascii="宋体" w:hAnsi="宋体" w:eastAsia="宋体" w:cs="宋体"/>
        </w:rPr>
      </w:pPr>
      <w:r>
        <w:rPr>
          <w:rFonts w:hint="eastAsia" w:ascii="宋体" w:hAnsi="宋体" w:eastAsia="宋体" w:cs="宋体"/>
        </w:rPr>
        <w:t>3.第14列合计-第11列合计＝表A100000第14行。</w:t>
      </w:r>
    </w:p>
    <w:p>
      <w:pPr>
        <w:pStyle w:val="94"/>
        <w:ind w:firstLine="480"/>
        <w:rPr>
          <w:rFonts w:hint="eastAsia" w:ascii="宋体" w:hAnsi="宋体" w:eastAsia="宋体" w:cs="宋体"/>
        </w:rPr>
      </w:pPr>
      <w:r>
        <w:rPr>
          <w:rFonts w:hint="eastAsia" w:ascii="宋体" w:hAnsi="宋体" w:eastAsia="宋体" w:cs="宋体"/>
        </w:rPr>
        <w:t>4.第16列合计+第17列合计＝表A105000第28行第3列。</w:t>
      </w:r>
    </w:p>
    <w:p>
      <w:pPr>
        <w:pStyle w:val="94"/>
        <w:ind w:firstLine="480"/>
        <w:rPr>
          <w:rFonts w:ascii="宋体" w:hAnsi="宋体" w:cs="宋体"/>
          <w:b/>
          <w:bCs/>
          <w:kern w:val="0"/>
          <w:sz w:val="28"/>
          <w:szCs w:val="28"/>
        </w:rPr>
        <w:sectPr>
          <w:footerReference r:id="rId24" w:type="default"/>
          <w:pgSz w:w="11906" w:h="16838"/>
          <w:pgMar w:top="1985" w:right="1418" w:bottom="1928" w:left="1418" w:header="851" w:footer="992" w:gutter="113"/>
          <w:pgNumType w:fmt="decimal"/>
          <w:cols w:space="720" w:num="1"/>
          <w:titlePg/>
          <w:docGrid w:linePitch="312" w:charSpace="0"/>
        </w:sectPr>
      </w:pPr>
      <w:r>
        <w:rPr>
          <w:rFonts w:hint="eastAsia" w:ascii="宋体" w:hAnsi="宋体" w:eastAsia="宋体" w:cs="宋体"/>
        </w:rPr>
        <w:t>5.若选择“分国（地区）不分项”的境外所得抵免方式，本表第18列各行</w:t>
      </w:r>
      <w:bookmarkStart w:id="433" w:name="_Hlk49937995"/>
      <w:r>
        <w:rPr>
          <w:rFonts w:hint="eastAsia" w:ascii="宋体" w:hAnsi="宋体" w:eastAsia="宋体" w:cs="宋体"/>
        </w:rPr>
        <w:t>-第26列</w:t>
      </w:r>
      <w:bookmarkEnd w:id="433"/>
      <w:r>
        <w:rPr>
          <w:rFonts w:hint="eastAsia" w:ascii="宋体" w:hAnsi="宋体" w:eastAsia="宋体" w:cs="宋体"/>
        </w:rPr>
        <w:t>各行＝表A108000第3列相应行次；若选择“不分国（地区）不分项” 的境外所得抵免方式，本表第18列合计-第26列合计＝表A108000第1行第3列</w:t>
      </w:r>
      <w:r>
        <w:rPr>
          <w:rFonts w:hint="eastAsia" w:ascii="宋体" w:hAnsi="宋体" w:eastAsia="宋体" w:cs="宋体"/>
          <w:lang w:eastAsia="zh-CN"/>
        </w:rPr>
        <w:t>。</w:t>
      </w:r>
      <w:bookmarkEnd w:id="406"/>
      <w:bookmarkStart w:id="434" w:name="_Toc527722761"/>
    </w:p>
    <w:p>
      <w:pPr>
        <w:tabs>
          <w:tab w:val="center" w:pos="6521"/>
        </w:tabs>
        <w:spacing w:line="360" w:lineRule="auto"/>
        <w:jc w:val="left"/>
        <w:outlineLvl w:val="0"/>
        <w:rPr>
          <w:rFonts w:ascii="宋体" w:hAnsi="宋体"/>
          <w:b/>
          <w:bCs/>
          <w:kern w:val="0"/>
          <w:sz w:val="28"/>
          <w:szCs w:val="28"/>
        </w:rPr>
      </w:pPr>
      <w:bookmarkStart w:id="435" w:name="_Toc4226"/>
      <w:r>
        <w:rPr>
          <w:rFonts w:ascii="宋体" w:hAnsi="宋体" w:cs="宋体"/>
          <w:b/>
          <w:bCs/>
          <w:kern w:val="0"/>
          <w:sz w:val="28"/>
          <w:szCs w:val="28"/>
        </w:rPr>
        <w:t>A108020</w:t>
      </w:r>
      <w:r>
        <w:rPr>
          <w:rFonts w:ascii="宋体" w:hAnsi="宋体" w:cs="宋体"/>
          <w:b/>
          <w:bCs/>
          <w:kern w:val="0"/>
          <w:sz w:val="28"/>
          <w:szCs w:val="28"/>
        </w:rPr>
        <w:tab/>
      </w:r>
      <w:r>
        <w:rPr>
          <w:rFonts w:hint="eastAsia" w:ascii="宋体" w:hAnsi="宋体" w:cs="宋体"/>
          <w:b/>
          <w:bCs/>
          <w:kern w:val="0"/>
          <w:sz w:val="28"/>
          <w:szCs w:val="28"/>
        </w:rPr>
        <w:t>境外分支机构弥补亏损明细表</w:t>
      </w:r>
      <w:bookmarkEnd w:id="434"/>
      <w:bookmarkEnd w:id="435"/>
    </w:p>
    <w:tbl>
      <w:tblPr>
        <w:tblStyle w:val="25"/>
        <w:tblW w:w="13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5"/>
        <w:gridCol w:w="1365"/>
        <w:gridCol w:w="1365"/>
        <w:gridCol w:w="1365"/>
        <w:gridCol w:w="1365"/>
        <w:gridCol w:w="1302"/>
        <w:gridCol w:w="1323"/>
        <w:gridCol w:w="1365"/>
        <w:gridCol w:w="1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行次</w:t>
            </w:r>
          </w:p>
        </w:tc>
        <w:tc>
          <w:tcPr>
            <w:tcW w:w="1785"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国家</w:t>
            </w:r>
            <w:r>
              <w:rPr>
                <w:rFonts w:ascii="宋体" w:hAnsi="宋体" w:cs="宋体"/>
                <w:bCs/>
                <w:kern w:val="0"/>
                <w:sz w:val="20"/>
                <w:szCs w:val="20"/>
              </w:rPr>
              <w:t>(</w:t>
            </w:r>
            <w:r>
              <w:rPr>
                <w:rFonts w:hint="eastAsia" w:ascii="宋体" w:hAnsi="宋体" w:cs="宋体"/>
                <w:bCs/>
                <w:kern w:val="0"/>
                <w:sz w:val="20"/>
                <w:szCs w:val="20"/>
              </w:rPr>
              <w:t>地区</w:t>
            </w:r>
            <w:r>
              <w:rPr>
                <w:rFonts w:ascii="宋体" w:hAnsi="宋体" w:cs="宋体"/>
                <w:bCs/>
                <w:kern w:val="0"/>
                <w:sz w:val="20"/>
                <w:szCs w:val="20"/>
              </w:rPr>
              <w:t>)</w:t>
            </w:r>
          </w:p>
        </w:tc>
        <w:tc>
          <w:tcPr>
            <w:tcW w:w="5460" w:type="dxa"/>
            <w:gridSpan w:val="4"/>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非实际亏损额的弥补</w:t>
            </w:r>
          </w:p>
        </w:tc>
        <w:tc>
          <w:tcPr>
            <w:tcW w:w="5302" w:type="dxa"/>
            <w:gridSpan w:val="4"/>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实际亏损额的弥补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结转以后年度弥补的非实际亏损额</w:t>
            </w:r>
          </w:p>
        </w:tc>
        <w:tc>
          <w:tcPr>
            <w:tcW w:w="1302"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以前年度结转尚未弥补的实际亏损额</w:t>
            </w:r>
          </w:p>
        </w:tc>
        <w:tc>
          <w:tcPr>
            <w:tcW w:w="1323"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本年弥补的以前年度实际亏损额</w:t>
            </w:r>
          </w:p>
        </w:tc>
        <w:tc>
          <w:tcPr>
            <w:tcW w:w="1312" w:type="dxa"/>
            <w:vMerge w:val="restart"/>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结转以后年度弥补的实际亏损额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02"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23"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12" w:type="dxa"/>
            <w:vMerge w:val="continue"/>
            <w:tcBorders>
              <w:top w:val="single" w:color="auto" w:sz="6" w:space="0"/>
              <w:left w:val="single" w:color="auto" w:sz="6" w:space="0"/>
              <w:bottom w:val="single" w:color="auto" w:sz="6" w:space="0"/>
              <w:right w:val="single" w:color="auto" w:sz="12" w:space="0"/>
            </w:tcBorders>
            <w:vAlign w:val="center"/>
          </w:tcPr>
          <w:p>
            <w:pPr>
              <w:keepNext/>
              <w:keepLines/>
              <w:widowControl/>
              <w:spacing w:before="340" w:after="330" w:line="576" w:lineRule="auto"/>
              <w:jc w:val="center"/>
              <w:outlineLvl w:val="0"/>
              <w:rPr>
                <w:rFonts w:ascii="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1</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2</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3</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4</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5(2+3-4)</w:t>
            </w: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6</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7</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8</w:t>
            </w: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ascii="宋体" w:hAnsi="宋体" w:cs="宋体"/>
                <w:bCs/>
                <w:kern w:val="0"/>
                <w:sz w:val="20"/>
                <w:szCs w:val="20"/>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178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436" w:name="_Toc22331"/>
      <w:bookmarkStart w:id="437" w:name="_Toc527722762"/>
      <w:r>
        <w:rPr>
          <w:rFonts w:ascii="宋体" w:hAnsi="宋体" w:cs="方正小标宋简体"/>
          <w:b/>
          <w:kern w:val="44"/>
          <w:sz w:val="28"/>
          <w:szCs w:val="28"/>
        </w:rPr>
        <w:t>A108020</w:t>
      </w:r>
      <w:r>
        <w:rPr>
          <w:rFonts w:hint="eastAsia" w:ascii="宋体" w:hAnsi="宋体" w:cs="方正小标宋简体"/>
          <w:b/>
          <w:kern w:val="44"/>
          <w:sz w:val="28"/>
          <w:szCs w:val="28"/>
        </w:rPr>
        <w:t>《境外分支机构弥补亏损明细表》填报说明</w:t>
      </w:r>
      <w:bookmarkEnd w:id="436"/>
      <w:bookmarkEnd w:id="437"/>
    </w:p>
    <w:p>
      <w:pPr>
        <w:spacing w:line="360" w:lineRule="auto"/>
        <w:ind w:firstLine="480" w:firstLineChars="200"/>
        <w:rPr>
          <w:rFonts w:ascii="宋体" w:hAnsi="宋体"/>
          <w:sz w:val="24"/>
        </w:rPr>
      </w:pPr>
      <w:r>
        <w:rPr>
          <w:rFonts w:hint="eastAsia" w:ascii="宋体" w:hAnsi="宋体" w:cs="宋体"/>
          <w:sz w:val="24"/>
        </w:rPr>
        <w:t>本表适用于取得境外所得的纳税人填报。纳税人应根据税法、《财政部</w:t>
      </w:r>
      <w:r>
        <w:rPr>
          <w:rFonts w:ascii="宋体" w:hAnsi="宋体" w:cs="宋体"/>
          <w:sz w:val="24"/>
        </w:rPr>
        <w:t xml:space="preserve"> </w:t>
      </w:r>
      <w:r>
        <w:rPr>
          <w:rFonts w:hint="eastAsia" w:ascii="宋体" w:hAnsi="宋体" w:cs="宋体"/>
          <w:sz w:val="24"/>
        </w:rPr>
        <w:t>国家税务总局关于企业境外所得税收抵免有关问题的通知》（财税〔</w:t>
      </w:r>
      <w:r>
        <w:rPr>
          <w:rFonts w:ascii="宋体" w:hAnsi="宋体" w:cs="宋体"/>
          <w:sz w:val="24"/>
        </w:rPr>
        <w:t>2009</w:t>
      </w:r>
      <w:r>
        <w:rPr>
          <w:rFonts w:hint="eastAsia" w:ascii="宋体" w:hAnsi="宋体" w:cs="宋体"/>
          <w:sz w:val="24"/>
        </w:rPr>
        <w:t>〕</w:t>
      </w:r>
      <w:r>
        <w:rPr>
          <w:rFonts w:ascii="宋体" w:hAnsi="宋体" w:cs="宋体"/>
          <w:sz w:val="24"/>
        </w:rPr>
        <w:t>125</w:t>
      </w:r>
      <w:r>
        <w:rPr>
          <w:rFonts w:hint="eastAsia" w:ascii="宋体" w:hAnsi="宋体" w:cs="宋体"/>
          <w:sz w:val="24"/>
        </w:rPr>
        <w:t>号）、《国家税务总局关于发布〈企业境外所得税收抵免操作指南〉的公告》（国家税务总局公告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国家税务总局关于我国石油企业从事油（气）资源开采所得税收抵免有关问题的通知》（财税〔</w:t>
      </w:r>
      <w:r>
        <w:rPr>
          <w:rFonts w:ascii="宋体" w:hAnsi="宋体" w:cs="宋体"/>
          <w:sz w:val="24"/>
        </w:rPr>
        <w:t>2011</w:t>
      </w:r>
      <w:r>
        <w:rPr>
          <w:rFonts w:hint="eastAsia" w:ascii="宋体" w:hAnsi="宋体" w:cs="宋体"/>
          <w:sz w:val="24"/>
        </w:rPr>
        <w:t>〕</w:t>
      </w:r>
      <w:r>
        <w:rPr>
          <w:rFonts w:ascii="宋体" w:hAnsi="宋体" w:cs="宋体"/>
          <w:sz w:val="24"/>
        </w:rPr>
        <w:t>23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税务总局关于完善企业境外所得税收抵免政策问题的通知》（财税〔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税务总局关于延长高新技术企业和科技型中小企业亏损结转年限的通知》（财税〔</w:t>
      </w:r>
      <w:r>
        <w:rPr>
          <w:rFonts w:ascii="宋体" w:hAnsi="宋体" w:cs="宋体"/>
          <w:sz w:val="24"/>
        </w:rPr>
        <w:t>2018</w:t>
      </w:r>
      <w:r>
        <w:rPr>
          <w:rFonts w:hint="eastAsia" w:ascii="宋体" w:hAnsi="宋体" w:cs="宋体"/>
          <w:sz w:val="24"/>
        </w:rPr>
        <w:t>〕</w:t>
      </w:r>
      <w:r>
        <w:rPr>
          <w:rFonts w:ascii="宋体" w:hAnsi="宋体" w:cs="宋体"/>
          <w:sz w:val="24"/>
        </w:rPr>
        <w:t>76</w:t>
      </w:r>
      <w:r>
        <w:rPr>
          <w:rFonts w:hint="eastAsia" w:ascii="宋体" w:hAnsi="宋体" w:cs="宋体"/>
          <w:sz w:val="24"/>
        </w:rPr>
        <w:t>号）、《国家税务总局关于延长高新技术企业和科技型中小企业亏损结转弥补年限有关企业所得税处理问题的公告》（国家税务总局公告</w:t>
      </w:r>
      <w:r>
        <w:rPr>
          <w:rFonts w:ascii="宋体" w:hAnsi="宋体" w:cs="宋体"/>
          <w:sz w:val="24"/>
        </w:rPr>
        <w:t>2018</w:t>
      </w:r>
      <w:r>
        <w:rPr>
          <w:rFonts w:hint="eastAsia" w:ascii="宋体" w:hAnsi="宋体" w:cs="宋体"/>
          <w:sz w:val="24"/>
        </w:rPr>
        <w:t>年第</w:t>
      </w:r>
      <w:r>
        <w:rPr>
          <w:rFonts w:ascii="宋体" w:hAnsi="宋体" w:cs="宋体"/>
          <w:sz w:val="24"/>
        </w:rPr>
        <w:t>45</w:t>
      </w:r>
      <w:r>
        <w:rPr>
          <w:rFonts w:hint="eastAsia" w:ascii="宋体" w:hAnsi="宋体" w:cs="宋体"/>
          <w:sz w:val="24"/>
        </w:rPr>
        <w:t>号）规定，填报境外分支机构本年及以前年度发生的税前尚未弥补的非实际亏损额和实际亏损额、结转以后年度弥补的非实际亏损额和实际亏损额，并按国（地区）别逐行填报。</w:t>
      </w:r>
    </w:p>
    <w:p>
      <w:pPr>
        <w:spacing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480" w:firstLineChars="200"/>
        <w:rPr>
          <w:rFonts w:ascii="宋体" w:hAnsi="宋体" w:cs="宋体"/>
          <w:sz w:val="24"/>
        </w:rPr>
      </w:pPr>
      <w:r>
        <w:rPr>
          <w:rFonts w:hint="eastAsia" w:ascii="宋体" w:hAnsi="宋体" w:cs="宋体"/>
          <w:sz w:val="24"/>
        </w:rPr>
        <w:t>纳税人选择“分国（地区）不分项”的境外所得抵免方式，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纳税人选择“不分国（地区）不分项”的境外所得抵免方式，按照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号规定按国（地区）别逐行填报。在填报本表时，应按照国家税务总局公告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号第三条等有关规定，分析填报企业的境外分支机构发生的实际亏损额和非实际亏损额及其弥补、结转的金额。</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列“国家（地区）”：填报纳税人境外所得来源的国家（地区）名称，来源于同一国家（地区）的境外所得合并到一行填报。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列至第</w:t>
      </w:r>
      <w:r>
        <w:rPr>
          <w:rFonts w:ascii="宋体" w:hAnsi="宋体" w:cs="宋体"/>
          <w:sz w:val="24"/>
        </w:rPr>
        <w:t>5</w:t>
      </w:r>
      <w:r>
        <w:rPr>
          <w:rFonts w:hint="eastAsia" w:ascii="宋体" w:hAnsi="宋体" w:cs="宋体"/>
          <w:sz w:val="24"/>
        </w:rPr>
        <w:t>列“非实际亏损额的弥补”：填报纳税人境外分支机构非实际亏损额未弥补金额、本年发生的金额、本年弥补的金额、结转以后年度弥补的金额。</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列至第</w:t>
      </w:r>
      <w:r>
        <w:rPr>
          <w:rFonts w:ascii="宋体" w:hAnsi="宋体" w:cs="宋体"/>
          <w:sz w:val="24"/>
        </w:rPr>
        <w:t>9</w:t>
      </w:r>
      <w:r>
        <w:rPr>
          <w:rFonts w:hint="eastAsia" w:ascii="宋体" w:hAnsi="宋体" w:cs="宋体"/>
          <w:sz w:val="24"/>
        </w:rPr>
        <w:t>列“实际亏损额的弥补”：填报纳税人境外分支机构实际亏损额弥补金额。</w:t>
      </w:r>
    </w:p>
    <w:p>
      <w:pPr>
        <w:spacing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480" w:firstLineChars="200"/>
        <w:rPr>
          <w:rFonts w:ascii="宋体" w:hAnsi="宋体"/>
          <w:sz w:val="24"/>
        </w:rPr>
      </w:pPr>
      <w:r>
        <w:rPr>
          <w:rFonts w:hint="eastAsia" w:ascii="宋体" w:hAnsi="宋体" w:cs="宋体"/>
          <w:sz w:val="24"/>
        </w:rPr>
        <w:t>第</w:t>
      </w:r>
      <w:r>
        <w:rPr>
          <w:rFonts w:ascii="宋体" w:hAnsi="宋体" w:cs="宋体"/>
          <w:sz w:val="24"/>
        </w:rPr>
        <w:t>5</w:t>
      </w:r>
      <w:r>
        <w:rPr>
          <w:rFonts w:hint="eastAsia" w:ascii="宋体" w:hAnsi="宋体" w:cs="宋体"/>
          <w:sz w:val="24"/>
        </w:rPr>
        <w:t>列＝第</w:t>
      </w:r>
      <w:r>
        <w:rPr>
          <w:rFonts w:ascii="宋体" w:hAnsi="宋体" w:cs="宋体"/>
          <w:sz w:val="24"/>
        </w:rPr>
        <w:t>2+3-4</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480" w:firstLineChars="200"/>
        <w:rPr>
          <w:rFonts w:hint="eastAsia" w:ascii="宋体" w:hAnsi="宋体" w:cs="宋体"/>
          <w:sz w:val="24"/>
        </w:rPr>
      </w:pPr>
      <w:r>
        <w:rPr>
          <w:rFonts w:hint="eastAsia" w:ascii="宋体" w:hAnsi="宋体" w:cs="宋体"/>
          <w:sz w:val="24"/>
        </w:rPr>
        <w:t>若选择“分国（地区）不分项”的境外所得抵免方式，第</w:t>
      </w:r>
      <w:r>
        <w:rPr>
          <w:rFonts w:ascii="宋体" w:hAnsi="宋体" w:cs="宋体"/>
          <w:sz w:val="24"/>
        </w:rPr>
        <w:t>4</w:t>
      </w:r>
      <w:r>
        <w:rPr>
          <w:rFonts w:hint="eastAsia" w:ascii="宋体" w:hAnsi="宋体" w:cs="宋体"/>
          <w:sz w:val="24"/>
        </w:rPr>
        <w:t>列各行</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列各行＝表</w:t>
      </w:r>
      <w:r>
        <w:rPr>
          <w:rFonts w:ascii="宋体" w:hAnsi="宋体" w:cs="宋体"/>
          <w:sz w:val="24"/>
        </w:rPr>
        <w:t>A108000</w:t>
      </w:r>
      <w:r>
        <w:rPr>
          <w:rFonts w:hint="eastAsia" w:ascii="宋体" w:hAnsi="宋体" w:cs="宋体"/>
          <w:sz w:val="24"/>
        </w:rPr>
        <w:t>第</w:t>
      </w:r>
      <w:r>
        <w:rPr>
          <w:rFonts w:ascii="宋体" w:hAnsi="宋体" w:cs="宋体"/>
          <w:sz w:val="24"/>
        </w:rPr>
        <w:t>4</w:t>
      </w:r>
      <w:r>
        <w:rPr>
          <w:rFonts w:hint="eastAsia" w:ascii="宋体" w:hAnsi="宋体" w:cs="宋体"/>
          <w:sz w:val="24"/>
        </w:rPr>
        <w:t>列相应行次；若选择“不分国（地区）不分项”的境外所得抵免方式，第</w:t>
      </w:r>
      <w:r>
        <w:rPr>
          <w:rFonts w:ascii="宋体" w:hAnsi="宋体" w:cs="宋体"/>
          <w:sz w:val="24"/>
        </w:rPr>
        <w:t>4</w:t>
      </w:r>
      <w:r>
        <w:rPr>
          <w:rFonts w:hint="eastAsia" w:ascii="宋体" w:hAnsi="宋体" w:cs="宋体"/>
          <w:sz w:val="24"/>
        </w:rPr>
        <w:t>列合计</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列合计＝表</w:t>
      </w:r>
      <w:r>
        <w:rPr>
          <w:rFonts w:ascii="宋体" w:hAnsi="宋体" w:cs="宋体"/>
          <w:sz w:val="24"/>
        </w:rPr>
        <w:t>A108000</w:t>
      </w:r>
      <w:r>
        <w:rPr>
          <w:rFonts w:hint="eastAsia" w:ascii="宋体" w:hAnsi="宋体" w:cs="宋体"/>
          <w:sz w:val="24"/>
        </w:rPr>
        <w:t>第</w:t>
      </w:r>
      <w:r>
        <w:rPr>
          <w:rFonts w:ascii="宋体" w:hAnsi="宋体" w:cs="宋体"/>
          <w:sz w:val="24"/>
        </w:rPr>
        <w:t>1</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80"/>
      </w:pPr>
      <w:bookmarkStart w:id="438" w:name="_Toc10400"/>
      <w:r>
        <w:rPr>
          <w:rFonts w:hint="eastAsia"/>
        </w:rPr>
        <w:t>A108030</w:t>
      </w:r>
      <w:r>
        <w:tab/>
      </w:r>
      <w:r>
        <w:rPr>
          <w:rFonts w:hint="eastAsia"/>
        </w:rPr>
        <w:t>跨年度结转抵免境外所得税明细表</w:t>
      </w:r>
      <w:bookmarkEnd w:id="438"/>
    </w:p>
    <w:tbl>
      <w:tblPr>
        <w:tblStyle w:val="25"/>
        <w:tblW w:w="138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639"/>
        <w:gridCol w:w="838"/>
        <w:gridCol w:w="611"/>
        <w:gridCol w:w="653"/>
        <w:gridCol w:w="643"/>
        <w:gridCol w:w="610"/>
        <w:gridCol w:w="711"/>
        <w:gridCol w:w="709"/>
        <w:gridCol w:w="684"/>
        <w:gridCol w:w="718"/>
        <w:gridCol w:w="637"/>
        <w:gridCol w:w="833"/>
        <w:gridCol w:w="711"/>
        <w:gridCol w:w="800"/>
        <w:gridCol w:w="806"/>
        <w:gridCol w:w="839"/>
        <w:gridCol w:w="765"/>
        <w:gridCol w:w="537"/>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3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国家(地区)</w:t>
            </w:r>
          </w:p>
        </w:tc>
        <w:tc>
          <w:tcPr>
            <w:tcW w:w="4066"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前五年境外所得已缴所得税未抵免余额</w:t>
            </w:r>
          </w:p>
        </w:tc>
        <w:tc>
          <w:tcPr>
            <w:tcW w:w="4292"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本年实际抵免以前年度未抵免的境外已缴所得税额</w:t>
            </w:r>
          </w:p>
        </w:tc>
        <w:tc>
          <w:tcPr>
            <w:tcW w:w="4464"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结转以后年度抵免的境外所得已缴所得税额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Merge w:val="continue"/>
            <w:vAlign w:val="center"/>
          </w:tcPr>
          <w:p>
            <w:pPr>
              <w:widowControl/>
              <w:jc w:val="left"/>
              <w:rPr>
                <w:rFonts w:ascii="宋体" w:hAnsi="宋体" w:cs="宋体"/>
                <w:kern w:val="0"/>
                <w:sz w:val="20"/>
                <w:szCs w:val="20"/>
              </w:rPr>
            </w:pP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本年</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w:t>
            </w: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2</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3</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4</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5</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6</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7(2+</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6)</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8</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9</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10</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11</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12</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13(8+</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+12)</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14</w:t>
            </w:r>
            <w:r>
              <w:rPr>
                <w:rFonts w:ascii="宋体" w:hAnsi="宋体" w:cs="宋体"/>
                <w:kern w:val="0"/>
                <w:sz w:val="20"/>
                <w:szCs w:val="20"/>
              </w:rPr>
              <w:br w:type="textWrapping"/>
            </w:r>
            <w:r>
              <w:rPr>
                <w:rFonts w:hint="eastAsia" w:ascii="宋体" w:hAnsi="宋体" w:cs="宋体"/>
                <w:kern w:val="0"/>
                <w:sz w:val="20"/>
                <w:szCs w:val="20"/>
              </w:rPr>
              <w:t>(3-9)</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15</w:t>
            </w:r>
            <w:r>
              <w:rPr>
                <w:rFonts w:ascii="宋体" w:hAnsi="宋体" w:cs="宋体"/>
                <w:kern w:val="0"/>
                <w:sz w:val="20"/>
                <w:szCs w:val="20"/>
              </w:rPr>
              <w:br w:type="textWrapping"/>
            </w:r>
            <w:r>
              <w:rPr>
                <w:rFonts w:hint="eastAsia" w:ascii="宋体" w:hAnsi="宋体" w:cs="宋体"/>
                <w:kern w:val="0"/>
                <w:sz w:val="20"/>
                <w:szCs w:val="20"/>
              </w:rPr>
              <w:t>(4-10)</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16</w:t>
            </w:r>
            <w:r>
              <w:rPr>
                <w:rFonts w:ascii="宋体" w:hAnsi="宋体" w:cs="宋体"/>
                <w:kern w:val="0"/>
                <w:sz w:val="20"/>
                <w:szCs w:val="20"/>
              </w:rPr>
              <w:br w:type="textWrapping"/>
            </w:r>
            <w:r>
              <w:rPr>
                <w:rFonts w:hint="eastAsia" w:ascii="宋体" w:hAnsi="宋体" w:cs="宋体"/>
                <w:kern w:val="0"/>
                <w:sz w:val="20"/>
                <w:szCs w:val="20"/>
              </w:rPr>
              <w:t>(5-11)</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17</w:t>
            </w:r>
            <w:r>
              <w:rPr>
                <w:rFonts w:ascii="宋体" w:hAnsi="宋体" w:cs="宋体"/>
                <w:kern w:val="0"/>
                <w:sz w:val="20"/>
                <w:szCs w:val="20"/>
              </w:rPr>
              <w:br w:type="textWrapping"/>
            </w:r>
            <w:r>
              <w:rPr>
                <w:rFonts w:hint="eastAsia" w:ascii="宋体" w:hAnsi="宋体" w:cs="宋体"/>
                <w:kern w:val="0"/>
                <w:sz w:val="20"/>
                <w:szCs w:val="20"/>
              </w:rPr>
              <w:t>(6-12)</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18</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19(14+</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439" w:name="_Toc18354"/>
      <w:r>
        <w:rPr>
          <w:rFonts w:hint="eastAsia" w:ascii="宋体" w:eastAsia="宋体"/>
          <w:b/>
        </w:rPr>
        <w:t>A108030</w:t>
      </w:r>
      <w:r>
        <w:rPr>
          <w:rFonts w:ascii="宋体" w:eastAsia="宋体"/>
          <w:b/>
        </w:rPr>
        <w:tab/>
      </w:r>
      <w:r>
        <w:rPr>
          <w:rFonts w:hint="eastAsia" w:ascii="宋体" w:eastAsia="宋体"/>
          <w:b/>
        </w:rPr>
        <w:t>《跨年度结转抵免境外所得税明细表》填报说明</w:t>
      </w:r>
      <w:bookmarkEnd w:id="439"/>
    </w:p>
    <w:p>
      <w:pPr>
        <w:pStyle w:val="65"/>
      </w:pPr>
      <w:r>
        <w:rPr>
          <w:rFonts w:hint="eastAsia"/>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w:t>
      </w:r>
      <w:r>
        <w:rPr>
          <w:rFonts w:hint="eastAsia" w:cs="Calibri"/>
        </w:rPr>
        <w:t>、</w:t>
      </w:r>
      <w:r>
        <w:rPr>
          <w:rFonts w:hint="eastAsia"/>
        </w:rPr>
        <w:t>《财政部 国家税务总局关于我国石油企业从事油（气）资源开采所得税收抵免有关问题的通知》（财税〔</w:t>
      </w:r>
      <w:r>
        <w:t>201</w:t>
      </w:r>
      <w:r>
        <w:rPr>
          <w:rFonts w:hint="eastAsia"/>
        </w:rPr>
        <w:t>1〕23号）、</w:t>
      </w:r>
      <w:r>
        <w:rPr>
          <w:rFonts w:hint="eastAsia" w:cs="Calibri"/>
        </w:rPr>
        <w:t>《财政部</w:t>
      </w:r>
      <w:r>
        <w:rPr>
          <w:rFonts w:cs="Calibri"/>
        </w:rPr>
        <w:t xml:space="preserve"> </w:t>
      </w:r>
      <w:r>
        <w:rPr>
          <w:rFonts w:hint="eastAsia" w:cs="Calibri"/>
        </w:rPr>
        <w:t>税务总局关于完善企业境外所得税收抵免政策问题的通知》（财税〔</w:t>
      </w:r>
      <w:r>
        <w:rPr>
          <w:rFonts w:cs="Calibri"/>
        </w:rPr>
        <w:t>2017</w:t>
      </w:r>
      <w:r>
        <w:rPr>
          <w:rFonts w:hint="eastAsia" w:cs="Calibri"/>
        </w:rPr>
        <w:t>〕</w:t>
      </w:r>
      <w:r>
        <w:rPr>
          <w:rFonts w:cs="Calibri"/>
        </w:rPr>
        <w:t>84</w:t>
      </w:r>
      <w:r>
        <w:rPr>
          <w:rFonts w:hint="eastAsia" w:cs="Calibri"/>
        </w:rPr>
        <w:t>号）规定，</w:t>
      </w:r>
      <w:r>
        <w:rPr>
          <w:rFonts w:hint="eastAsia"/>
        </w:rPr>
        <w:t>填报本年发生的来源于不同国家或地区的境外所得按照我国税收法律、法规的规定可以抵免的所得税额，并按国（地区）别逐行填报。</w:t>
      </w:r>
    </w:p>
    <w:p>
      <w:pPr>
        <w:pStyle w:val="69"/>
        <w:ind w:firstLine="482"/>
        <w:outlineLvl w:val="0"/>
      </w:pPr>
      <w:r>
        <w:rPr>
          <w:rFonts w:hint="eastAsia"/>
        </w:rPr>
        <w:t>一、有关项目填报说明</w:t>
      </w:r>
    </w:p>
    <w:p>
      <w:pPr>
        <w:pStyle w:val="65"/>
      </w:pPr>
      <w:r>
        <w:rPr>
          <w:rFonts w:hint="eastAsia"/>
        </w:rPr>
        <w:t>1.第2列至第7列“前五年境外所得已缴所得税未抵免余额”：填报纳税人前五年境外所得已缴纳的企业所得税尚未抵免的余额。</w:t>
      </w:r>
    </w:p>
    <w:p>
      <w:pPr>
        <w:pStyle w:val="65"/>
      </w:pPr>
      <w:r>
        <w:rPr>
          <w:rFonts w:hint="eastAsia"/>
        </w:rPr>
        <w:t>2.第8列至第13列“本年实际抵免以前年度未抵免的境外已缴所得税额”：填报纳税人用本年未超过境外所得税款抵免限额的余额抵免以前年度未抵免的境外已缴所得税额。</w:t>
      </w:r>
    </w:p>
    <w:p>
      <w:pPr>
        <w:pStyle w:val="65"/>
      </w:pPr>
      <w:r>
        <w:rPr>
          <w:rFonts w:hint="eastAsia"/>
        </w:rPr>
        <w:t>3.第14列至第19列“结转以后年度抵免的境外所得已缴所得税额”：填报纳税人以前年度和本年未能抵免并结转以后年度抵免的境外所得已缴所得税额。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1.第7列＝第2+3+</w:t>
      </w:r>
      <w:r>
        <w:t>…</w:t>
      </w:r>
      <w:r>
        <w:rPr>
          <w:rFonts w:hint="eastAsia"/>
        </w:rPr>
        <w:t>+6列。</w:t>
      </w:r>
    </w:p>
    <w:p>
      <w:pPr>
        <w:pStyle w:val="65"/>
      </w:pPr>
      <w:r>
        <w:rPr>
          <w:rFonts w:hint="eastAsia"/>
        </w:rPr>
        <w:t>2.第13列＝第8+9+</w:t>
      </w:r>
      <w:r>
        <w:t>…</w:t>
      </w:r>
      <w:r>
        <w:rPr>
          <w:rFonts w:hint="eastAsia"/>
        </w:rPr>
        <w:t>+12列。</w:t>
      </w:r>
    </w:p>
    <w:p>
      <w:pPr>
        <w:pStyle w:val="65"/>
      </w:pPr>
      <w:r>
        <w:rPr>
          <w:rFonts w:hint="eastAsia"/>
        </w:rPr>
        <w:t>3.第19列＝第14+15+</w:t>
      </w:r>
      <w:r>
        <w:t>…</w:t>
      </w:r>
      <w:r>
        <w:rPr>
          <w:rFonts w:hint="eastAsia"/>
        </w:rPr>
        <w:t>+18列。</w:t>
      </w:r>
    </w:p>
    <w:p>
      <w:pPr>
        <w:pStyle w:val="79"/>
        <w:outlineLvl w:val="1"/>
      </w:pPr>
      <w:r>
        <w:rPr>
          <w:rFonts w:hint="eastAsia"/>
        </w:rPr>
        <w:t>（二）表间关系</w:t>
      </w:r>
    </w:p>
    <w:p>
      <w:pPr>
        <w:pStyle w:val="65"/>
      </w:pPr>
      <w:r>
        <w:rPr>
          <w:rFonts w:hint="eastAsia"/>
        </w:rPr>
        <w:t>1.若选择“分国（地区）不分项”的境外所得抵免方式，第13列各行＝表A108000第14列相应行次；若选择“不分国（地区）不分项” 的境外所得抵免方式，第13列合计＝表A108000第1行第14列。</w:t>
      </w:r>
    </w:p>
    <w:p>
      <w:pPr>
        <w:pStyle w:val="65"/>
      </w:pPr>
      <w:r>
        <w:rPr>
          <w:rFonts w:hint="eastAsia"/>
        </w:rPr>
        <w:t>2.若选择“分国（地区）不分项”的境外所得抵免方式，第18列各行＝表A108000第10列相应行次-第12列相应行次（当表A108000第10列相应行次大于第12列相应行次时填报）；若选择“不分国（地区）不分项” 的境外所得抵免方式，第18列合计＝表A108000第1行第10列-第1行第12列（当表A108000第1行第10列次大于第1行第12列时填报）。</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66"/>
      </w:pPr>
      <w:bookmarkStart w:id="440" w:name="_Toc25837"/>
      <w:bookmarkStart w:id="441" w:name="_Toc1371501501_WPSOffice_Level1"/>
      <w:bookmarkStart w:id="442" w:name="_Toc391487835_WPSOffice_Level1"/>
      <w:r>
        <w:rPr>
          <w:rFonts w:hint="eastAsia"/>
        </w:rPr>
        <w:t>A109000</w:t>
      </w:r>
      <w:r>
        <w:tab/>
      </w:r>
      <w:r>
        <w:rPr>
          <w:rFonts w:hint="eastAsia"/>
        </w:rPr>
        <w:t>跨地区经营汇总纳税企业年度分摊企业所得税明细表</w:t>
      </w:r>
      <w:bookmarkEnd w:id="440"/>
    </w:p>
    <w:bookmarkEnd w:id="441"/>
    <w:bookmarkEnd w:id="442"/>
    <w:tbl>
      <w:tblPr>
        <w:tblStyle w:val="25"/>
        <w:tblW w:w="9218" w:type="dxa"/>
        <w:jc w:val="center"/>
        <w:tblLayout w:type="fixed"/>
        <w:tblCellMar>
          <w:top w:w="15" w:type="dxa"/>
          <w:left w:w="15" w:type="dxa"/>
          <w:bottom w:w="15" w:type="dxa"/>
          <w:right w:w="15" w:type="dxa"/>
        </w:tblCellMar>
      </w:tblPr>
      <w:tblGrid>
        <w:gridCol w:w="677"/>
        <w:gridCol w:w="7479"/>
        <w:gridCol w:w="1062"/>
      </w:tblGrid>
      <w:tr>
        <w:tblPrEx>
          <w:tblCellMar>
            <w:top w:w="15" w:type="dxa"/>
            <w:left w:w="15" w:type="dxa"/>
            <w:bottom w:w="15" w:type="dxa"/>
            <w:right w:w="15" w:type="dxa"/>
          </w:tblCellMar>
        </w:tblPrEx>
        <w:trPr>
          <w:trHeight w:val="510" w:hRule="atLeast"/>
          <w:jc w:val="center"/>
        </w:trPr>
        <w:tc>
          <w:tcPr>
            <w:tcW w:w="677"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7479"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062" w:type="dxa"/>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一、实际应纳所得税额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减：境外所得应纳所得税额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加：境外所得抵免所得税额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二、用于分摊的本年实际应纳所得税额（1-2+3）</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三、本年累计已预分、已分摊所得税额（6+7+8+9）</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（一）总机构直接管理建筑项目部已预分所得税额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（二）总机构已分摊所得税额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（三）财政集中已分配所得税额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（四）分支机构已分摊所得税额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leftChars="450"/>
              <w:jc w:val="left"/>
              <w:textAlignment w:val="center"/>
              <w:rPr>
                <w:rFonts w:hint="eastAsia" w:ascii="宋体" w:hAnsi="宋体" w:cs="宋体"/>
                <w:sz w:val="20"/>
                <w:szCs w:val="20"/>
              </w:rPr>
            </w:pPr>
            <w:r>
              <w:rPr>
                <w:rFonts w:hint="eastAsia" w:ascii="宋体" w:hAnsi="宋体" w:cs="宋体"/>
                <w:kern w:val="0"/>
                <w:sz w:val="20"/>
                <w:szCs w:val="20"/>
              </w:rPr>
              <w:t>其中：总机构主体生产经营部门已分摊所得税额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四、本年度应分摊的应补（退）的所得税额（4-5）</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（一）总机构分摊本年应补（退）的所得税额（11×总机构分摊比例）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（二）财政集中分配本年应补（退）的所得税额（11×财政集中分配比例）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（三）分支机构分摊本年应补（退）的所得税额（11×分支机构分摊比例）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leftChars="450"/>
              <w:jc w:val="left"/>
              <w:textAlignment w:val="center"/>
              <w:rPr>
                <w:rFonts w:hint="eastAsia" w:ascii="宋体" w:hAnsi="宋体" w:cs="宋体"/>
                <w:sz w:val="20"/>
                <w:szCs w:val="20"/>
              </w:rPr>
            </w:pPr>
            <w:r>
              <w:rPr>
                <w:rFonts w:hint="eastAsia" w:ascii="宋体" w:hAnsi="宋体" w:cs="宋体"/>
                <w:kern w:val="0"/>
                <w:sz w:val="20"/>
                <w:szCs w:val="20"/>
              </w:rPr>
              <w:t>其中：总机构主体生产经营部门分摊本年应补（退）的所得税额（11×总机构主体生产经营部门分摊比例）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五、境外所得抵免后的应纳所得税额（2-3）</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六、总机构本年应补（退）所得税额（12+13+15+16）</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lang w:val="en"/>
              </w:rPr>
            </w:pPr>
            <w:r>
              <w:rPr>
                <w:rFonts w:hint="eastAsia" w:ascii="宋体" w:hAnsi="宋体" w:cs="宋体"/>
                <w:kern w:val="0"/>
                <w:sz w:val="20"/>
                <w:szCs w:val="20"/>
              </w:rPr>
              <w:t>七、总机构应享受民族地方优惠金额</w:t>
            </w:r>
            <w:r>
              <w:rPr>
                <w:rFonts w:ascii="宋体" w:hAnsi="宋体" w:cs="宋体"/>
                <w:kern w:val="0"/>
                <w:sz w:val="20"/>
                <w:szCs w:val="20"/>
                <w:lang w:val="en"/>
              </w:rPr>
              <w:t>[</w:t>
            </w:r>
            <w:r>
              <w:rPr>
                <w:rFonts w:hint="eastAsia" w:ascii="宋体" w:hAnsi="宋体" w:cs="宋体"/>
                <w:kern w:val="0"/>
                <w:sz w:val="20"/>
                <w:szCs w:val="20"/>
              </w:rPr>
              <w:t>（7+10+12+15+16）×40%×减征幅度</w:t>
            </w:r>
            <w:r>
              <w:rPr>
                <w:rFonts w:ascii="宋体" w:hAnsi="宋体" w:cs="宋体"/>
                <w:kern w:val="0"/>
                <w:sz w:val="20"/>
                <w:szCs w:val="20"/>
                <w:lang w:val="en"/>
              </w:rPr>
              <w:t>]</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总机构全年累计已享受民族地方优惠金额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总机构因民族地方优惠调整分配金额（18-19）</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2"/>
                <w:szCs w:val="22"/>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7479" w:type="dxa"/>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八、总机构本年实际应补（退）所得税额（17-20)</w:t>
            </w:r>
          </w:p>
        </w:tc>
        <w:tc>
          <w:tcPr>
            <w:tcW w:w="1062" w:type="dxa"/>
            <w:tcBorders>
              <w:top w:val="single" w:color="000000" w:sz="4" w:space="0"/>
              <w:left w:val="single" w:color="000000" w:sz="4" w:space="0"/>
              <w:bottom w:val="single" w:color="000000" w:sz="12" w:space="0"/>
              <w:right w:val="single" w:color="000000" w:sz="12" w:space="0"/>
            </w:tcBorders>
            <w:noWrap w:val="0"/>
            <w:vAlign w:val="top"/>
          </w:tcPr>
          <w:p>
            <w:pPr>
              <w:jc w:val="right"/>
              <w:rPr>
                <w:rFonts w:hint="eastAsia" w:ascii="宋体" w:hAnsi="宋体" w:cs="宋体"/>
                <w:sz w:val="22"/>
                <w:szCs w:val="22"/>
              </w:rPr>
            </w:pPr>
          </w:p>
        </w:tc>
      </w:tr>
    </w:tbl>
    <w:p>
      <w:pPr>
        <w:rPr>
          <w:rFonts w:hint="eastAsia" w:ascii="宋体" w:hAnsi="宋体" w:eastAsia="宋体" w:cs="宋体"/>
          <w:lang w:val="zh-CN"/>
        </w:rPr>
      </w:pPr>
      <w:r>
        <w:rPr>
          <w:rFonts w:hint="eastAsia" w:ascii="宋体" w:hAnsi="宋体" w:eastAsia="宋体" w:cs="宋体"/>
          <w:lang w:val="zh-CN"/>
        </w:rPr>
        <w:br w:type="page"/>
      </w:r>
    </w:p>
    <w:p>
      <w:pPr>
        <w:pStyle w:val="93"/>
        <w:spacing w:before="156" w:after="156"/>
        <w:rPr>
          <w:rFonts w:hint="eastAsia" w:ascii="宋体" w:hAnsi="宋体" w:eastAsia="宋体" w:cs="宋体"/>
          <w:lang w:val="zh-CN"/>
        </w:rPr>
      </w:pPr>
      <w:bookmarkStart w:id="443" w:name="_Toc16726"/>
      <w:r>
        <w:rPr>
          <w:rFonts w:hint="eastAsia" w:ascii="宋体" w:hAnsi="宋体" w:eastAsia="宋体" w:cs="宋体"/>
          <w:lang w:val="zh-CN"/>
        </w:rPr>
        <w:t>A109000</w:t>
      </w:r>
      <w:r>
        <w:rPr>
          <w:rFonts w:hint="eastAsia" w:ascii="宋体" w:hAnsi="宋体" w:eastAsia="宋体" w:cs="宋体"/>
          <w:lang w:val="zh-CN"/>
        </w:rPr>
        <w:tab/>
      </w:r>
      <w:r>
        <w:rPr>
          <w:rFonts w:hint="eastAsia" w:ascii="宋体" w:hAnsi="宋体" w:eastAsia="宋体" w:cs="宋体"/>
          <w:lang w:val="zh-CN"/>
        </w:rPr>
        <w:t>《跨地区经营汇总纳税企业年度分摊企业所得税明细表》</w:t>
      </w:r>
      <w:r>
        <w:rPr>
          <w:rFonts w:hint="eastAsia" w:ascii="宋体" w:hAnsi="宋体" w:eastAsia="宋体" w:cs="宋体"/>
          <w:lang w:val="zh-CN"/>
        </w:rPr>
        <w:br w:type="textWrapping"/>
      </w:r>
      <w:r>
        <w:rPr>
          <w:rFonts w:hint="eastAsia" w:ascii="宋体" w:hAnsi="宋体" w:eastAsia="宋体" w:cs="宋体"/>
          <w:lang w:val="zh-CN"/>
        </w:rPr>
        <w:t>填报说明</w:t>
      </w:r>
      <w:bookmarkEnd w:id="443"/>
    </w:p>
    <w:p>
      <w:pPr>
        <w:pStyle w:val="94"/>
        <w:ind w:firstLine="480"/>
        <w:rPr>
          <w:rFonts w:hint="eastAsia" w:ascii="宋体" w:hAnsi="宋体" w:eastAsia="宋体" w:cs="宋体"/>
        </w:rPr>
      </w:pPr>
      <w:r>
        <w:rPr>
          <w:rFonts w:hint="eastAsia" w:ascii="宋体" w:hAnsi="宋体" w:eastAsia="宋体" w:cs="宋体"/>
        </w:rPr>
        <w:t>本表适用于跨地区经营汇总纳税的纳税人填报。纳税人应根据税法、《财政部 国家税务总局 中国人民银行关于印发〈跨省市总分机构企业所得税分配及预算管理办法〉的通知》（财预〔2012〕40号）、《国家税务总局关于印发〈跨地区经营汇总纳税企业所得税征收管理办法〉的公告》（2012年第57号发布，国家税务总局2018年第31号修改）规定计算企业每一纳税年度应缴的企业所得税、总机构和分支机构应分摊的企业所得税。仅在同一省（自治区、直辖市和计划单列市）内设立不具有法人资格分支机构的汇总纳税企业，省（自治区、直辖市和计划单列市）参照上述文件规定制定企业所得税分配管理办法的，按照其规定填报本表。</w:t>
      </w:r>
    </w:p>
    <w:p>
      <w:pPr>
        <w:pStyle w:val="94"/>
        <w:ind w:firstLine="480"/>
        <w:outlineLvl w:val="0"/>
        <w:rPr>
          <w:rFonts w:hint="eastAsia" w:ascii="宋体" w:hAnsi="宋体" w:eastAsia="宋体" w:cs="宋体"/>
          <w:b/>
          <w:bCs/>
        </w:rPr>
      </w:pPr>
      <w:r>
        <w:rPr>
          <w:rFonts w:hint="eastAsia" w:ascii="宋体" w:hAnsi="宋体" w:eastAsia="宋体" w:cs="宋体"/>
          <w:b/>
          <w:bCs/>
        </w:rPr>
        <w:t>一、有关项目填报说明</w:t>
      </w:r>
    </w:p>
    <w:p>
      <w:pPr>
        <w:pStyle w:val="94"/>
        <w:ind w:firstLine="480"/>
        <w:rPr>
          <w:rFonts w:hint="eastAsia" w:ascii="宋体" w:hAnsi="宋体" w:eastAsia="宋体" w:cs="宋体"/>
        </w:rPr>
      </w:pPr>
      <w:r>
        <w:rPr>
          <w:rFonts w:hint="eastAsia" w:ascii="宋体" w:hAnsi="宋体" w:eastAsia="宋体" w:cs="宋体"/>
        </w:rPr>
        <w:t>1.第1行“实际应纳所得税额”：填报表A100000第31行的金额。</w:t>
      </w:r>
    </w:p>
    <w:p>
      <w:pPr>
        <w:pStyle w:val="94"/>
        <w:ind w:firstLine="480"/>
        <w:rPr>
          <w:rFonts w:hint="eastAsia" w:ascii="宋体" w:hAnsi="宋体" w:eastAsia="宋体" w:cs="宋体"/>
        </w:rPr>
      </w:pPr>
      <w:r>
        <w:rPr>
          <w:rFonts w:hint="eastAsia" w:ascii="宋体" w:hAnsi="宋体" w:eastAsia="宋体" w:cs="宋体"/>
        </w:rPr>
        <w:t>2.第2行“境外所得应纳所得税额”：填报表A100000第29行的金额。</w:t>
      </w:r>
    </w:p>
    <w:p>
      <w:pPr>
        <w:pStyle w:val="94"/>
        <w:ind w:firstLine="480"/>
        <w:rPr>
          <w:rFonts w:hint="eastAsia" w:ascii="宋体" w:hAnsi="宋体" w:eastAsia="宋体" w:cs="宋体"/>
        </w:rPr>
      </w:pPr>
      <w:r>
        <w:rPr>
          <w:rFonts w:hint="eastAsia" w:ascii="宋体" w:hAnsi="宋体" w:eastAsia="宋体" w:cs="宋体"/>
        </w:rPr>
        <w:t>3.第3行“境外所得抵免所得税额”：填报表A100000第30行的金额。</w:t>
      </w:r>
    </w:p>
    <w:p>
      <w:pPr>
        <w:pStyle w:val="94"/>
        <w:ind w:firstLine="480"/>
        <w:rPr>
          <w:rFonts w:hint="eastAsia" w:ascii="宋体" w:hAnsi="宋体" w:eastAsia="宋体" w:cs="宋体"/>
        </w:rPr>
      </w:pPr>
      <w:r>
        <w:rPr>
          <w:rFonts w:hint="eastAsia" w:ascii="宋体" w:hAnsi="宋体" w:eastAsia="宋体" w:cs="宋体"/>
        </w:rPr>
        <w:t>4.第4行“用于分摊的本年实际应纳所得税额”：填报第1-2+3行的金额。</w:t>
      </w:r>
    </w:p>
    <w:p>
      <w:pPr>
        <w:pStyle w:val="94"/>
        <w:ind w:firstLine="480"/>
        <w:rPr>
          <w:rFonts w:hint="eastAsia" w:ascii="宋体" w:hAnsi="宋体" w:eastAsia="宋体" w:cs="宋体"/>
        </w:rPr>
      </w:pPr>
      <w:r>
        <w:rPr>
          <w:rFonts w:hint="eastAsia" w:ascii="宋体" w:hAnsi="宋体" w:eastAsia="宋体" w:cs="宋体"/>
        </w:rPr>
        <w:t>5.第5行“本年累计已预分、已分摊所得税额”：填报企业按照税收规定计算的分支机构本年累计已分摊的所得税额、建筑企业总机构直接管理的跨地区项目部本年累计已预分并就地预缴的所得税额。填报第6+7+8+9行的合计金额。</w:t>
      </w:r>
    </w:p>
    <w:p>
      <w:pPr>
        <w:pStyle w:val="94"/>
        <w:ind w:firstLine="480"/>
        <w:rPr>
          <w:rFonts w:hint="eastAsia" w:ascii="宋体" w:hAnsi="宋体" w:eastAsia="宋体" w:cs="宋体"/>
        </w:rPr>
      </w:pPr>
      <w:r>
        <w:rPr>
          <w:rFonts w:hint="eastAsia" w:ascii="宋体" w:hAnsi="宋体" w:eastAsia="宋体" w:cs="宋体"/>
        </w:rPr>
        <w:t>6.第6行“总机构直接管理建筑项目部已预分所得税额”：填报建筑企业总机构按照规定在预缴纳税申报时，向其总机构直接管理的项目部所在地按照项目收入的0.2%预分的所得税额。</w:t>
      </w:r>
    </w:p>
    <w:p>
      <w:pPr>
        <w:pStyle w:val="94"/>
        <w:ind w:firstLine="480"/>
        <w:rPr>
          <w:rFonts w:hint="eastAsia" w:ascii="宋体" w:hAnsi="宋体" w:eastAsia="宋体" w:cs="宋体"/>
        </w:rPr>
      </w:pPr>
      <w:r>
        <w:rPr>
          <w:rFonts w:hint="eastAsia" w:ascii="宋体" w:hAnsi="宋体" w:eastAsia="宋体" w:cs="宋体"/>
        </w:rPr>
        <w:t>7.第7行“总机构已分摊所得税额”：填报企业在预缴申报时已按照规定比例计算缴纳的由总机构分摊的所得税额。</w:t>
      </w:r>
    </w:p>
    <w:p>
      <w:pPr>
        <w:pStyle w:val="94"/>
        <w:ind w:firstLine="480"/>
        <w:rPr>
          <w:rFonts w:hint="eastAsia" w:ascii="宋体" w:hAnsi="宋体" w:eastAsia="宋体" w:cs="宋体"/>
        </w:rPr>
      </w:pPr>
      <w:r>
        <w:rPr>
          <w:rFonts w:hint="eastAsia" w:ascii="宋体" w:hAnsi="宋体" w:eastAsia="宋体" w:cs="宋体"/>
        </w:rPr>
        <w:t>8.第8行“财政集中已分配所得税额”：填报企业在预缴申报时已按照规定比例计算缴纳的由财政集中分配的所得税额。</w:t>
      </w:r>
    </w:p>
    <w:p>
      <w:pPr>
        <w:pStyle w:val="94"/>
        <w:ind w:firstLine="480"/>
        <w:rPr>
          <w:rFonts w:hint="eastAsia" w:ascii="宋体" w:hAnsi="宋体" w:eastAsia="宋体" w:cs="宋体"/>
        </w:rPr>
      </w:pPr>
      <w:r>
        <w:rPr>
          <w:rFonts w:hint="eastAsia" w:ascii="宋体" w:hAnsi="宋体" w:eastAsia="宋体" w:cs="宋体"/>
        </w:rPr>
        <w:t>9.第9行“分支机构已分摊所得税额”：填报企业在预缴申报时已按照规定比例计算缴纳的由所属分支机构分摊的所得税额。</w:t>
      </w:r>
    </w:p>
    <w:p>
      <w:pPr>
        <w:pStyle w:val="94"/>
        <w:ind w:firstLine="480"/>
        <w:rPr>
          <w:rFonts w:hint="eastAsia" w:ascii="宋体" w:hAnsi="宋体" w:eastAsia="宋体" w:cs="宋体"/>
        </w:rPr>
      </w:pPr>
      <w:r>
        <w:rPr>
          <w:rFonts w:hint="eastAsia" w:ascii="宋体" w:hAnsi="宋体" w:eastAsia="宋体" w:cs="宋体"/>
        </w:rPr>
        <w:t>10.第10行“其中：总机构主体生产经营部门已分摊所得税额”：填报企业在预缴申报时已按照规定比例计算缴纳的由总机构主体生产经营部门分摊的所得税额。</w:t>
      </w:r>
    </w:p>
    <w:p>
      <w:pPr>
        <w:pStyle w:val="94"/>
        <w:ind w:firstLine="480"/>
        <w:rPr>
          <w:rFonts w:hint="eastAsia" w:ascii="宋体" w:hAnsi="宋体" w:eastAsia="宋体" w:cs="宋体"/>
        </w:rPr>
      </w:pPr>
      <w:r>
        <w:rPr>
          <w:rFonts w:hint="eastAsia" w:ascii="宋体" w:hAnsi="宋体" w:eastAsia="宋体" w:cs="宋体"/>
        </w:rPr>
        <w:t>11.第11行“本年度应分摊的应补（退）的所得税额”：填报企业本年度应补（退）的所得税额，不包括境外所得应纳所得税额。填报第4-5行的余额。</w:t>
      </w:r>
    </w:p>
    <w:p>
      <w:pPr>
        <w:pStyle w:val="94"/>
        <w:ind w:firstLine="480"/>
        <w:rPr>
          <w:rFonts w:hint="eastAsia" w:ascii="宋体" w:hAnsi="宋体" w:eastAsia="宋体" w:cs="宋体"/>
        </w:rPr>
      </w:pPr>
      <w:r>
        <w:rPr>
          <w:rFonts w:hint="eastAsia" w:ascii="宋体" w:hAnsi="宋体" w:eastAsia="宋体" w:cs="宋体"/>
        </w:rPr>
        <w:t>12.第12行“总机构分摊本年应补（退）的所得税额”：填报第11行×总机构分摊比例后的金额。</w:t>
      </w:r>
    </w:p>
    <w:p>
      <w:pPr>
        <w:pStyle w:val="94"/>
        <w:ind w:firstLine="480"/>
        <w:rPr>
          <w:rFonts w:hint="eastAsia" w:ascii="宋体" w:hAnsi="宋体" w:eastAsia="宋体" w:cs="宋体"/>
        </w:rPr>
      </w:pPr>
      <w:r>
        <w:rPr>
          <w:rFonts w:hint="eastAsia" w:ascii="宋体" w:hAnsi="宋体" w:eastAsia="宋体" w:cs="宋体"/>
        </w:rPr>
        <w:t>13.第13行“财政集中分配本年应补（退）的所得税额”：填报第11行×财政集中分配比例后的金额。</w:t>
      </w:r>
    </w:p>
    <w:p>
      <w:pPr>
        <w:pStyle w:val="94"/>
        <w:ind w:firstLine="480"/>
        <w:rPr>
          <w:rFonts w:hint="eastAsia" w:ascii="宋体" w:hAnsi="宋体" w:eastAsia="宋体" w:cs="宋体"/>
        </w:rPr>
      </w:pPr>
      <w:r>
        <w:rPr>
          <w:rFonts w:hint="eastAsia" w:ascii="宋体" w:hAnsi="宋体" w:eastAsia="宋体" w:cs="宋体"/>
        </w:rPr>
        <w:t>14.第14行“分支机构分摊本年应补（退）的所得税额”：填报第11行×分支机构分摊比例后的金额。</w:t>
      </w:r>
    </w:p>
    <w:p>
      <w:pPr>
        <w:pStyle w:val="94"/>
        <w:ind w:firstLine="480"/>
        <w:rPr>
          <w:rFonts w:hint="eastAsia" w:ascii="宋体" w:hAnsi="宋体" w:eastAsia="宋体" w:cs="宋体"/>
        </w:rPr>
      </w:pPr>
      <w:r>
        <w:rPr>
          <w:rFonts w:hint="eastAsia" w:ascii="宋体" w:hAnsi="宋体" w:eastAsia="宋体" w:cs="宋体"/>
        </w:rPr>
        <w:t>15.第15行“其中：总机构主体生产经营部门分摊本年应补（退）的所得税额”：填报第11行×总机构主体生产经营部门分摊比例后的金额。</w:t>
      </w:r>
    </w:p>
    <w:p>
      <w:pPr>
        <w:pStyle w:val="94"/>
        <w:ind w:firstLine="480"/>
        <w:rPr>
          <w:rFonts w:hint="eastAsia" w:ascii="宋体" w:hAnsi="宋体" w:eastAsia="宋体" w:cs="宋体"/>
        </w:rPr>
      </w:pPr>
      <w:r>
        <w:rPr>
          <w:rFonts w:hint="eastAsia" w:ascii="宋体" w:hAnsi="宋体" w:eastAsia="宋体" w:cs="宋体"/>
        </w:rPr>
        <w:t>16.第16行“境外所得抵免后的应纳所得税额”：填报第2-3行的余额。</w:t>
      </w:r>
    </w:p>
    <w:p>
      <w:pPr>
        <w:pStyle w:val="94"/>
        <w:ind w:firstLine="480"/>
        <w:rPr>
          <w:rFonts w:hint="eastAsia" w:ascii="宋体" w:hAnsi="宋体" w:eastAsia="宋体" w:cs="宋体"/>
        </w:rPr>
      </w:pPr>
      <w:r>
        <w:rPr>
          <w:rFonts w:hint="eastAsia" w:ascii="宋体" w:hAnsi="宋体" w:eastAsia="宋体" w:cs="宋体"/>
        </w:rPr>
        <w:t>17.第17行“总机构本年应补（退）所得税额”：填报第12+13+15+16行的合计金额。</w:t>
      </w:r>
    </w:p>
    <w:p>
      <w:pPr>
        <w:pStyle w:val="94"/>
        <w:ind w:firstLine="480"/>
        <w:rPr>
          <w:rFonts w:hint="eastAsia" w:ascii="宋体" w:hAnsi="宋体" w:eastAsia="宋体" w:cs="宋体"/>
        </w:rPr>
      </w:pPr>
      <w:r>
        <w:rPr>
          <w:rFonts w:hint="eastAsia" w:ascii="宋体" w:hAnsi="宋体" w:eastAsia="宋体" w:cs="宋体"/>
        </w:rPr>
        <w:t>18.第18行“总机构应享受民族地方优惠金额”：填报按照税收规定在总机构所在地应享受的民族自治地区企业所得税地方分享部分优惠金额。本行填报第7+10+12+15+16行×40%×减征幅度。</w:t>
      </w:r>
    </w:p>
    <w:p>
      <w:pPr>
        <w:pStyle w:val="94"/>
        <w:ind w:firstLine="480"/>
        <w:rPr>
          <w:rFonts w:hint="eastAsia" w:ascii="宋体" w:hAnsi="宋体" w:eastAsia="宋体" w:cs="宋体"/>
        </w:rPr>
      </w:pPr>
      <w:r>
        <w:rPr>
          <w:rFonts w:hint="eastAsia" w:ascii="宋体" w:hAnsi="宋体" w:eastAsia="宋体" w:cs="宋体"/>
        </w:rPr>
        <w:t>19.第19行“总机构全年累计已享受民族地方优惠金额”：填报总机构所在地本年预缴申报累计已减免的民族自治地区企业所得税地方分享部分的金额。</w:t>
      </w:r>
    </w:p>
    <w:p>
      <w:pPr>
        <w:pStyle w:val="94"/>
        <w:ind w:firstLine="480"/>
        <w:rPr>
          <w:rFonts w:hint="eastAsia" w:ascii="宋体" w:hAnsi="宋体" w:eastAsia="宋体" w:cs="宋体"/>
        </w:rPr>
      </w:pPr>
      <w:r>
        <w:rPr>
          <w:rFonts w:hint="eastAsia" w:ascii="宋体" w:hAnsi="宋体" w:eastAsia="宋体" w:cs="宋体"/>
        </w:rPr>
        <w:t>20.第20行“总机构因民族地方优惠调整分配金额”：填报总机构所在地年度因优惠需调整的民族自治地区企业所得税地方分享部分的分配金额。本行填报第18-19行金额。</w:t>
      </w:r>
    </w:p>
    <w:p>
      <w:pPr>
        <w:pStyle w:val="94"/>
        <w:ind w:firstLine="480"/>
        <w:rPr>
          <w:rFonts w:hint="eastAsia" w:ascii="宋体" w:hAnsi="宋体" w:eastAsia="宋体" w:cs="宋体"/>
        </w:rPr>
      </w:pPr>
      <w:r>
        <w:rPr>
          <w:rFonts w:hint="eastAsia" w:ascii="宋体" w:hAnsi="宋体" w:eastAsia="宋体" w:cs="宋体"/>
        </w:rPr>
        <w:t>21.第21行“总机构本年实际应补（退）所得税额”：填报总机构本年实际应补（退）的所得税额。本行填报第17-20行金额。</w:t>
      </w:r>
    </w:p>
    <w:p>
      <w:pPr>
        <w:pStyle w:val="94"/>
        <w:ind w:firstLine="480"/>
        <w:outlineLvl w:val="0"/>
        <w:rPr>
          <w:rFonts w:hint="eastAsia" w:ascii="宋体" w:hAnsi="宋体" w:eastAsia="宋体" w:cs="宋体"/>
          <w:b/>
          <w:bCs/>
        </w:rPr>
      </w:pPr>
      <w:r>
        <w:rPr>
          <w:rFonts w:hint="eastAsia" w:ascii="宋体" w:hAnsi="宋体" w:eastAsia="宋体" w:cs="宋体"/>
          <w:b/>
          <w:bCs/>
        </w:rPr>
        <w:t>二、表内、表间关系</w:t>
      </w:r>
    </w:p>
    <w:p>
      <w:pPr>
        <w:pStyle w:val="94"/>
        <w:ind w:firstLine="480"/>
        <w:outlineLvl w:val="1"/>
        <w:rPr>
          <w:rFonts w:hint="eastAsia" w:ascii="宋体" w:hAnsi="宋体" w:eastAsia="宋体" w:cs="宋体"/>
          <w:b/>
          <w:bCs/>
        </w:rPr>
      </w:pPr>
      <w:r>
        <w:rPr>
          <w:rFonts w:hint="eastAsia" w:ascii="宋体" w:hAnsi="宋体" w:eastAsia="宋体" w:cs="宋体"/>
          <w:b/>
          <w:bCs/>
        </w:rPr>
        <w:t>（一）表内关系</w:t>
      </w:r>
    </w:p>
    <w:p>
      <w:pPr>
        <w:pStyle w:val="94"/>
        <w:ind w:firstLine="480"/>
        <w:rPr>
          <w:rFonts w:hint="eastAsia" w:ascii="宋体" w:hAnsi="宋体" w:eastAsia="宋体" w:cs="宋体"/>
        </w:rPr>
      </w:pPr>
      <w:r>
        <w:rPr>
          <w:rFonts w:hint="eastAsia" w:ascii="宋体" w:hAnsi="宋体" w:eastAsia="宋体" w:cs="宋体"/>
        </w:rPr>
        <w:t>1.第4行＝第1-2+3行。</w:t>
      </w:r>
    </w:p>
    <w:p>
      <w:pPr>
        <w:pStyle w:val="94"/>
        <w:ind w:firstLine="480"/>
        <w:rPr>
          <w:rFonts w:hint="eastAsia" w:ascii="宋体" w:hAnsi="宋体" w:eastAsia="宋体" w:cs="宋体"/>
        </w:rPr>
      </w:pPr>
      <w:r>
        <w:rPr>
          <w:rFonts w:hint="eastAsia" w:ascii="宋体" w:hAnsi="宋体" w:eastAsia="宋体" w:cs="宋体"/>
        </w:rPr>
        <w:t>2.第5行＝第6+7+8+9行。</w:t>
      </w:r>
    </w:p>
    <w:p>
      <w:pPr>
        <w:pStyle w:val="94"/>
        <w:ind w:firstLine="480"/>
        <w:rPr>
          <w:rFonts w:hint="eastAsia" w:ascii="宋体" w:hAnsi="宋体" w:eastAsia="宋体" w:cs="宋体"/>
        </w:rPr>
      </w:pPr>
      <w:r>
        <w:rPr>
          <w:rFonts w:hint="eastAsia" w:ascii="宋体" w:hAnsi="宋体" w:eastAsia="宋体" w:cs="宋体"/>
        </w:rPr>
        <w:t>3.第11行＝第4-5行。</w:t>
      </w:r>
    </w:p>
    <w:p>
      <w:pPr>
        <w:pStyle w:val="94"/>
        <w:ind w:firstLine="480"/>
        <w:rPr>
          <w:rFonts w:hint="eastAsia" w:ascii="宋体" w:hAnsi="宋体" w:eastAsia="宋体" w:cs="宋体"/>
        </w:rPr>
      </w:pPr>
      <w:r>
        <w:rPr>
          <w:rFonts w:hint="eastAsia" w:ascii="宋体" w:hAnsi="宋体" w:eastAsia="宋体" w:cs="宋体"/>
        </w:rPr>
        <w:t>4.第12行＝第11行×总机构分摊比例。</w:t>
      </w:r>
    </w:p>
    <w:p>
      <w:pPr>
        <w:pStyle w:val="94"/>
        <w:ind w:firstLine="480"/>
        <w:rPr>
          <w:rFonts w:hint="eastAsia" w:ascii="宋体" w:hAnsi="宋体" w:eastAsia="宋体" w:cs="宋体"/>
        </w:rPr>
      </w:pPr>
      <w:r>
        <w:rPr>
          <w:rFonts w:hint="eastAsia" w:ascii="宋体" w:hAnsi="宋体" w:eastAsia="宋体" w:cs="宋体"/>
        </w:rPr>
        <w:t>5.第13行＝第11行×财政集中分配比例。</w:t>
      </w:r>
    </w:p>
    <w:p>
      <w:pPr>
        <w:pStyle w:val="94"/>
        <w:ind w:firstLine="480"/>
        <w:rPr>
          <w:rFonts w:hint="eastAsia" w:ascii="宋体" w:hAnsi="宋体" w:eastAsia="宋体" w:cs="宋体"/>
        </w:rPr>
      </w:pPr>
      <w:r>
        <w:rPr>
          <w:rFonts w:hint="eastAsia" w:ascii="宋体" w:hAnsi="宋体" w:eastAsia="宋体" w:cs="宋体"/>
        </w:rPr>
        <w:t>6.第14行＝第11行×分支机构分摊比例。</w:t>
      </w:r>
    </w:p>
    <w:p>
      <w:pPr>
        <w:pStyle w:val="94"/>
        <w:ind w:firstLine="480"/>
        <w:rPr>
          <w:rFonts w:hint="eastAsia" w:ascii="宋体" w:hAnsi="宋体" w:eastAsia="宋体" w:cs="宋体"/>
        </w:rPr>
      </w:pPr>
      <w:r>
        <w:rPr>
          <w:rFonts w:hint="eastAsia" w:ascii="宋体" w:hAnsi="宋体" w:eastAsia="宋体" w:cs="宋体"/>
        </w:rPr>
        <w:t>7.第15行＝第11行×总机构主体生产经营部门分摊比例。</w:t>
      </w:r>
    </w:p>
    <w:p>
      <w:pPr>
        <w:pStyle w:val="94"/>
        <w:ind w:firstLine="480"/>
        <w:rPr>
          <w:rFonts w:hint="eastAsia" w:ascii="宋体" w:hAnsi="宋体" w:eastAsia="宋体" w:cs="宋体"/>
        </w:rPr>
      </w:pPr>
      <w:r>
        <w:rPr>
          <w:rFonts w:hint="eastAsia" w:ascii="宋体" w:hAnsi="宋体" w:eastAsia="宋体" w:cs="宋体"/>
        </w:rPr>
        <w:t>8.第16行＝第2-3行。</w:t>
      </w:r>
    </w:p>
    <w:p>
      <w:pPr>
        <w:pStyle w:val="94"/>
        <w:ind w:firstLine="480"/>
        <w:rPr>
          <w:rFonts w:hint="eastAsia" w:ascii="宋体" w:hAnsi="宋体" w:eastAsia="宋体" w:cs="宋体"/>
        </w:rPr>
      </w:pPr>
      <w:r>
        <w:rPr>
          <w:rFonts w:hint="eastAsia" w:ascii="宋体" w:hAnsi="宋体" w:eastAsia="宋体" w:cs="宋体"/>
        </w:rPr>
        <w:t>9.第17行＝第12+13+15+16行。</w:t>
      </w:r>
    </w:p>
    <w:p>
      <w:pPr>
        <w:pStyle w:val="94"/>
        <w:ind w:firstLine="480"/>
        <w:rPr>
          <w:rFonts w:hint="eastAsia" w:ascii="宋体" w:hAnsi="宋体" w:eastAsia="宋体" w:cs="宋体"/>
        </w:rPr>
      </w:pPr>
      <w:r>
        <w:rPr>
          <w:rFonts w:hint="eastAsia" w:ascii="宋体" w:hAnsi="宋体" w:eastAsia="宋体" w:cs="宋体"/>
        </w:rPr>
        <w:t>10.第18行＝第7+10+12+15+16行×40%×减征幅度</w:t>
      </w:r>
    </w:p>
    <w:p>
      <w:pPr>
        <w:pStyle w:val="94"/>
        <w:ind w:firstLine="480"/>
        <w:rPr>
          <w:rFonts w:hint="eastAsia" w:ascii="宋体" w:hAnsi="宋体" w:eastAsia="宋体" w:cs="宋体"/>
        </w:rPr>
      </w:pPr>
      <w:r>
        <w:rPr>
          <w:rFonts w:hint="eastAsia" w:ascii="宋体" w:hAnsi="宋体" w:eastAsia="宋体" w:cs="宋体"/>
        </w:rPr>
        <w:t>11.第20行＝第18-19行。</w:t>
      </w:r>
    </w:p>
    <w:p>
      <w:pPr>
        <w:pStyle w:val="94"/>
        <w:ind w:firstLine="480"/>
        <w:rPr>
          <w:rFonts w:hint="eastAsia" w:ascii="宋体" w:hAnsi="宋体" w:eastAsia="宋体" w:cs="宋体"/>
        </w:rPr>
      </w:pPr>
      <w:r>
        <w:rPr>
          <w:rFonts w:hint="eastAsia" w:ascii="宋体" w:hAnsi="宋体" w:eastAsia="宋体" w:cs="宋体"/>
        </w:rPr>
        <w:t>12.第21行＝第17-20行。</w:t>
      </w:r>
    </w:p>
    <w:p>
      <w:pPr>
        <w:pStyle w:val="94"/>
        <w:ind w:firstLine="480"/>
        <w:outlineLvl w:val="1"/>
        <w:rPr>
          <w:rFonts w:hint="eastAsia" w:ascii="宋体" w:hAnsi="宋体" w:eastAsia="宋体" w:cs="宋体"/>
          <w:b/>
          <w:bCs/>
        </w:rPr>
      </w:pPr>
      <w:r>
        <w:rPr>
          <w:rFonts w:hint="eastAsia" w:ascii="宋体" w:hAnsi="宋体" w:eastAsia="宋体" w:cs="宋体"/>
          <w:b/>
          <w:bCs/>
        </w:rPr>
        <w:t>（二）表间关系</w:t>
      </w:r>
    </w:p>
    <w:p>
      <w:pPr>
        <w:pStyle w:val="94"/>
        <w:ind w:firstLine="480"/>
        <w:rPr>
          <w:rFonts w:hint="eastAsia" w:ascii="宋体" w:hAnsi="宋体" w:eastAsia="宋体" w:cs="宋体"/>
        </w:rPr>
      </w:pPr>
      <w:r>
        <w:rPr>
          <w:rFonts w:hint="eastAsia" w:ascii="宋体" w:hAnsi="宋体" w:eastAsia="宋体" w:cs="宋体"/>
        </w:rPr>
        <w:t>1.第1行＝表A10000</w:t>
      </w:r>
      <w:r>
        <w:rPr>
          <w:rFonts w:hint="eastAsia" w:ascii="宋体" w:hAnsi="宋体" w:eastAsia="宋体" w:cs="宋体"/>
          <w:lang w:val="en"/>
        </w:rPr>
        <w:t>0</w:t>
      </w:r>
      <w:r>
        <w:rPr>
          <w:rFonts w:hint="eastAsia" w:ascii="宋体" w:hAnsi="宋体" w:eastAsia="宋体" w:cs="宋体"/>
        </w:rPr>
        <w:t>第31行。</w:t>
      </w:r>
    </w:p>
    <w:p>
      <w:pPr>
        <w:pStyle w:val="94"/>
        <w:ind w:firstLine="480"/>
        <w:rPr>
          <w:rFonts w:hint="eastAsia" w:ascii="宋体" w:hAnsi="宋体" w:eastAsia="宋体" w:cs="宋体"/>
        </w:rPr>
      </w:pPr>
      <w:r>
        <w:rPr>
          <w:rFonts w:hint="eastAsia" w:ascii="宋体" w:hAnsi="宋体" w:eastAsia="宋体" w:cs="宋体"/>
        </w:rPr>
        <w:t>2.第2行＝表A10000</w:t>
      </w:r>
      <w:r>
        <w:rPr>
          <w:rFonts w:hint="eastAsia" w:ascii="宋体" w:hAnsi="宋体" w:eastAsia="宋体" w:cs="宋体"/>
          <w:lang w:val="en"/>
        </w:rPr>
        <w:t>0</w:t>
      </w:r>
      <w:r>
        <w:rPr>
          <w:rFonts w:hint="eastAsia" w:ascii="宋体" w:hAnsi="宋体" w:eastAsia="宋体" w:cs="宋体"/>
        </w:rPr>
        <w:t>第29行。</w:t>
      </w:r>
    </w:p>
    <w:p>
      <w:pPr>
        <w:pStyle w:val="94"/>
        <w:ind w:firstLine="480"/>
        <w:rPr>
          <w:rFonts w:hint="eastAsia" w:ascii="宋体" w:hAnsi="宋体" w:eastAsia="宋体" w:cs="宋体"/>
        </w:rPr>
      </w:pPr>
      <w:r>
        <w:rPr>
          <w:rFonts w:hint="eastAsia" w:ascii="宋体" w:hAnsi="宋体" w:eastAsia="宋体" w:cs="宋体"/>
        </w:rPr>
        <w:t>3.第3行＝表A10000</w:t>
      </w:r>
      <w:r>
        <w:rPr>
          <w:rFonts w:hint="eastAsia" w:ascii="宋体" w:hAnsi="宋体" w:eastAsia="宋体" w:cs="宋体"/>
          <w:lang w:val="en"/>
        </w:rPr>
        <w:t>0</w:t>
      </w:r>
      <w:r>
        <w:rPr>
          <w:rFonts w:hint="eastAsia" w:ascii="宋体" w:hAnsi="宋体" w:eastAsia="宋体" w:cs="宋体"/>
        </w:rPr>
        <w:t>第30行。</w:t>
      </w:r>
    </w:p>
    <w:p>
      <w:pPr>
        <w:pStyle w:val="94"/>
        <w:ind w:firstLine="480"/>
        <w:rPr>
          <w:rFonts w:hint="eastAsia" w:ascii="宋体" w:hAnsi="宋体" w:eastAsia="宋体" w:cs="宋体"/>
        </w:rPr>
      </w:pPr>
      <w:r>
        <w:rPr>
          <w:rFonts w:hint="eastAsia" w:ascii="宋体" w:hAnsi="宋体" w:eastAsia="宋体" w:cs="宋体"/>
        </w:rPr>
        <w:t>4.第5行＝表A10000</w:t>
      </w:r>
      <w:r>
        <w:rPr>
          <w:rFonts w:hint="eastAsia" w:ascii="宋体" w:hAnsi="宋体" w:eastAsia="宋体" w:cs="宋体"/>
          <w:lang w:val="en"/>
        </w:rPr>
        <w:t>0</w:t>
      </w:r>
      <w:r>
        <w:rPr>
          <w:rFonts w:hint="eastAsia" w:ascii="宋体" w:hAnsi="宋体" w:eastAsia="宋体" w:cs="宋体"/>
        </w:rPr>
        <w:t>第32行。</w:t>
      </w:r>
    </w:p>
    <w:p>
      <w:pPr>
        <w:pStyle w:val="94"/>
        <w:ind w:firstLine="480"/>
        <w:rPr>
          <w:rFonts w:hint="eastAsia" w:ascii="宋体" w:hAnsi="宋体" w:eastAsia="宋体" w:cs="宋体"/>
        </w:rPr>
      </w:pPr>
      <w:r>
        <w:rPr>
          <w:rFonts w:hint="eastAsia" w:ascii="宋体" w:hAnsi="宋体" w:eastAsia="宋体" w:cs="宋体"/>
        </w:rPr>
        <w:t>5.第12+16行＝表A10000</w:t>
      </w:r>
      <w:r>
        <w:rPr>
          <w:rFonts w:hint="eastAsia" w:ascii="宋体" w:hAnsi="宋体" w:eastAsia="宋体" w:cs="宋体"/>
          <w:lang w:val="en"/>
        </w:rPr>
        <w:t>0</w:t>
      </w:r>
      <w:r>
        <w:rPr>
          <w:rFonts w:hint="eastAsia" w:ascii="宋体" w:hAnsi="宋体" w:eastAsia="宋体" w:cs="宋体"/>
        </w:rPr>
        <w:t>第34行。</w:t>
      </w:r>
    </w:p>
    <w:p>
      <w:pPr>
        <w:pStyle w:val="94"/>
        <w:ind w:firstLine="480"/>
        <w:rPr>
          <w:rFonts w:hint="eastAsia" w:ascii="宋体" w:hAnsi="宋体" w:eastAsia="宋体" w:cs="宋体"/>
        </w:rPr>
      </w:pPr>
      <w:r>
        <w:rPr>
          <w:rFonts w:hint="eastAsia" w:ascii="宋体" w:hAnsi="宋体" w:eastAsia="宋体" w:cs="宋体"/>
        </w:rPr>
        <w:t>6.第13行＝表A100000第35行。</w:t>
      </w:r>
    </w:p>
    <w:p>
      <w:pPr>
        <w:pStyle w:val="94"/>
        <w:ind w:firstLine="480"/>
        <w:rPr>
          <w:rFonts w:hint="eastAsia" w:ascii="宋体" w:hAnsi="宋体" w:eastAsia="宋体" w:cs="宋体"/>
        </w:rPr>
      </w:pPr>
      <w:r>
        <w:rPr>
          <w:rFonts w:hint="eastAsia" w:ascii="宋体" w:hAnsi="宋体" w:eastAsia="宋体" w:cs="宋体"/>
        </w:rPr>
        <w:t>7.第15行＝表A100000第36行。</w:t>
      </w:r>
    </w:p>
    <w:p>
      <w:pPr>
        <w:pStyle w:val="94"/>
        <w:ind w:firstLine="480"/>
        <w:rPr>
          <w:rFonts w:hint="eastAsia" w:ascii="宋体" w:hAnsi="宋体" w:eastAsia="宋体" w:cs="宋体"/>
        </w:rPr>
      </w:pPr>
      <w:r>
        <w:rPr>
          <w:rFonts w:hint="eastAsia" w:ascii="宋体" w:hAnsi="宋体" w:eastAsia="宋体" w:cs="宋体"/>
        </w:rPr>
        <w:t>8.第20行＝表A100000第37行。</w:t>
      </w:r>
    </w:p>
    <w:p>
      <w:pPr>
        <w:pStyle w:val="94"/>
        <w:ind w:firstLine="480"/>
        <w:rPr>
          <w:rFonts w:hint="eastAsia" w:ascii="宋体" w:hAnsi="宋体" w:eastAsia="宋体" w:cs="宋体"/>
        </w:rPr>
      </w:pPr>
      <w:r>
        <w:rPr>
          <w:rFonts w:hint="eastAsia" w:ascii="宋体" w:hAnsi="宋体" w:eastAsia="宋体" w:cs="宋体"/>
        </w:rPr>
        <w:t>9.第21行＝表A100000第38行。</w:t>
      </w:r>
    </w:p>
    <w:p>
      <w:pPr>
        <w:pStyle w:val="65"/>
      </w:pPr>
    </w:p>
    <w:p>
      <w:pPr>
        <w:pStyle w:val="65"/>
      </w:pPr>
    </w:p>
    <w:p>
      <w:pPr>
        <w:pStyle w:val="65"/>
      </w:pPr>
    </w:p>
    <w:p>
      <w:pPr>
        <w:pStyle w:val="65"/>
      </w:pPr>
    </w:p>
    <w:p>
      <w:pPr>
        <w:rPr>
          <w:rFonts w:hint="eastAsia"/>
        </w:rPr>
      </w:pPr>
      <w:r>
        <w:rPr>
          <w:rFonts w:hint="eastAsia"/>
        </w:rPr>
        <w:br w:type="page"/>
      </w:r>
    </w:p>
    <w:p>
      <w:pPr>
        <w:pStyle w:val="80"/>
        <w:tabs>
          <w:tab w:val="center" w:pos="4678"/>
        </w:tabs>
        <w:rPr>
          <w:rFonts w:hint="eastAsia"/>
        </w:rPr>
        <w:sectPr>
          <w:pgSz w:w="11906" w:h="16838"/>
          <w:pgMar w:top="1440" w:right="1800" w:bottom="1440" w:left="1800" w:header="851" w:footer="992" w:gutter="0"/>
          <w:pgNumType w:fmt="decimal"/>
          <w:cols w:space="720" w:num="1"/>
          <w:docGrid w:type="lines" w:linePitch="312" w:charSpace="0"/>
        </w:sectPr>
      </w:pPr>
    </w:p>
    <w:p>
      <w:pPr>
        <w:pStyle w:val="80"/>
        <w:tabs>
          <w:tab w:val="center" w:pos="4678"/>
        </w:tabs>
      </w:pPr>
      <w:bookmarkStart w:id="444" w:name="_Toc25983"/>
      <w:r>
        <w:rPr>
          <w:rFonts w:hint="eastAsia"/>
        </w:rPr>
        <w:t>A109010</w:t>
      </w:r>
      <w:r>
        <w:tab/>
      </w:r>
      <w:r>
        <w:rPr>
          <w:rFonts w:hint="eastAsia"/>
        </w:rPr>
        <w:t>企业所得税汇总纳税分支机构所得税分配表</w:t>
      </w:r>
      <w:bookmarkEnd w:id="444"/>
    </w:p>
    <w:tbl>
      <w:tblPr>
        <w:tblStyle w:val="25"/>
        <w:tblW w:w="14520" w:type="dxa"/>
        <w:jc w:val="center"/>
        <w:tblLayout w:type="autofit"/>
        <w:tblCellMar>
          <w:top w:w="0" w:type="dxa"/>
          <w:left w:w="108" w:type="dxa"/>
          <w:bottom w:w="0" w:type="dxa"/>
          <w:right w:w="108" w:type="dxa"/>
        </w:tblCellMar>
      </w:tblPr>
      <w:tblGrid>
        <w:gridCol w:w="640"/>
        <w:gridCol w:w="2720"/>
        <w:gridCol w:w="2720"/>
        <w:gridCol w:w="1760"/>
        <w:gridCol w:w="1760"/>
        <w:gridCol w:w="1760"/>
        <w:gridCol w:w="1060"/>
        <w:gridCol w:w="2100"/>
      </w:tblGrid>
      <w:tr>
        <w:tblPrEx>
          <w:tblCellMar>
            <w:top w:w="0" w:type="dxa"/>
            <w:left w:w="108" w:type="dxa"/>
            <w:bottom w:w="0" w:type="dxa"/>
            <w:right w:w="108" w:type="dxa"/>
          </w:tblCellMar>
        </w:tblPrEx>
        <w:trPr>
          <w:cantSplit/>
          <w:trHeight w:val="340" w:hRule="atLeast"/>
          <w:jc w:val="center"/>
        </w:trPr>
        <w:tc>
          <w:tcPr>
            <w:tcW w:w="14520" w:type="dxa"/>
            <w:gridSpan w:val="8"/>
            <w:tcBorders>
              <w:top w:val="nil"/>
              <w:left w:val="nil"/>
              <w:bottom w:val="nil"/>
              <w:right w:val="nil"/>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税款所属期间：   年  月  日至   年  月  日</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nil"/>
              <w:left w:val="nil"/>
              <w:bottom w:val="nil"/>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总机构名称（盖章）</w:t>
            </w:r>
            <w:r>
              <w:rPr>
                <w:kern w:val="0"/>
                <w:sz w:val="24"/>
              </w:rPr>
              <w:t xml:space="preserve">:                                                                   </w:t>
            </w:r>
          </w:p>
        </w:tc>
        <w:tc>
          <w:tcPr>
            <w:tcW w:w="4480" w:type="dxa"/>
            <w:gridSpan w:val="2"/>
            <w:tcBorders>
              <w:top w:val="nil"/>
              <w:left w:val="nil"/>
              <w:bottom w:val="nil"/>
              <w:right w:val="nil"/>
            </w:tcBorders>
            <w:noWrap/>
            <w:vAlign w:val="center"/>
          </w:tcPr>
          <w:p>
            <w:pPr>
              <w:widowControl/>
              <w:jc w:val="left"/>
              <w:rPr>
                <w:rFonts w:ascii="宋体" w:hAnsi="宋体" w:cs="宋体"/>
                <w:kern w:val="0"/>
                <w:sz w:val="20"/>
                <w:szCs w:val="20"/>
              </w:rPr>
            </w:pPr>
          </w:p>
        </w:tc>
        <w:tc>
          <w:tcPr>
            <w:tcW w:w="1760" w:type="dxa"/>
            <w:tcBorders>
              <w:top w:val="nil"/>
              <w:left w:val="nil"/>
              <w:bottom w:val="nil"/>
              <w:right w:val="nil"/>
            </w:tcBorders>
            <w:noWrap/>
            <w:vAlign w:val="center"/>
          </w:tcPr>
          <w:p>
            <w:pPr>
              <w:widowControl/>
              <w:jc w:val="center"/>
              <w:rPr>
                <w:rFonts w:eastAsia="Times New Roman"/>
                <w:kern w:val="0"/>
                <w:sz w:val="20"/>
                <w:szCs w:val="20"/>
              </w:rPr>
            </w:pPr>
          </w:p>
        </w:tc>
        <w:tc>
          <w:tcPr>
            <w:tcW w:w="1760" w:type="dxa"/>
            <w:tcBorders>
              <w:top w:val="nil"/>
              <w:left w:val="nil"/>
              <w:bottom w:val="nil"/>
              <w:right w:val="nil"/>
            </w:tcBorders>
            <w:noWrap/>
            <w:vAlign w:val="center"/>
          </w:tcPr>
          <w:p>
            <w:pPr>
              <w:widowControl/>
              <w:jc w:val="left"/>
              <w:rPr>
                <w:rFonts w:eastAsia="Times New Roman"/>
                <w:kern w:val="0"/>
                <w:sz w:val="20"/>
                <w:szCs w:val="20"/>
              </w:rPr>
            </w:pPr>
          </w:p>
        </w:tc>
        <w:tc>
          <w:tcPr>
            <w:tcW w:w="3160" w:type="dxa"/>
            <w:gridSpan w:val="2"/>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6080" w:type="dxa"/>
            <w:gridSpan w:val="3"/>
            <w:tcBorders>
              <w:top w:val="nil"/>
              <w:left w:val="nil"/>
              <w:bottom w:val="single" w:color="auto" w:sz="12" w:space="0"/>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总机构统一社会信用代码（纳税人识别号）：</w:t>
            </w:r>
          </w:p>
        </w:tc>
        <w:tc>
          <w:tcPr>
            <w:tcW w:w="5280" w:type="dxa"/>
            <w:gridSpan w:val="3"/>
            <w:tcBorders>
              <w:top w:val="nil"/>
              <w:left w:val="nil"/>
              <w:bottom w:val="single" w:color="auto" w:sz="12" w:space="0"/>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160" w:type="dxa"/>
            <w:gridSpan w:val="2"/>
            <w:tcBorders>
              <w:top w:val="nil"/>
              <w:left w:val="nil"/>
              <w:bottom w:val="single" w:color="auto" w:sz="12" w:space="0"/>
              <w:right w:val="nil"/>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金额单位: 元（列至角分）</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应纳所得税额</w:t>
            </w:r>
          </w:p>
        </w:tc>
        <w:tc>
          <w:tcPr>
            <w:tcW w:w="2720"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总机构财政集中分配所得税额</w:t>
            </w:r>
          </w:p>
        </w:tc>
        <w:tc>
          <w:tcPr>
            <w:tcW w:w="3160" w:type="dxa"/>
            <w:gridSpan w:val="2"/>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分支机构分摊所得税额</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6" w:space="0"/>
              <w:left w:val="single" w:color="auto" w:sz="12"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5280" w:type="dxa"/>
            <w:gridSpan w:val="3"/>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60" w:type="dxa"/>
            <w:gridSpan w:val="2"/>
            <w:tcBorders>
              <w:top w:val="single" w:color="auto" w:sz="6" w:space="0"/>
              <w:left w:val="single" w:color="auto" w:sz="6" w:space="0"/>
              <w:bottom w:val="single" w:color="auto" w:sz="12"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restart"/>
            <w:tcBorders>
              <w:top w:val="single" w:color="auto" w:sz="12" w:space="0"/>
              <w:left w:val="single" w:color="auto" w:sz="12" w:space="0"/>
              <w:bottom w:val="single" w:color="auto" w:sz="6" w:space="0"/>
              <w:right w:val="single" w:color="auto" w:sz="6" w:space="0"/>
            </w:tcBorders>
            <w:textDirection w:val="tbRlV"/>
            <w:vAlign w:val="center"/>
          </w:tcPr>
          <w:p>
            <w:pPr>
              <w:widowControl/>
              <w:jc w:val="center"/>
              <w:rPr>
                <w:rFonts w:ascii="宋体" w:hAnsi="宋体" w:cs="宋体"/>
                <w:kern w:val="0"/>
                <w:sz w:val="20"/>
                <w:szCs w:val="20"/>
              </w:rPr>
            </w:pPr>
            <w:r>
              <w:rPr>
                <w:rFonts w:hint="eastAsia" w:ascii="宋体" w:hAnsi="宋体" w:cs="宋体"/>
                <w:kern w:val="0"/>
                <w:sz w:val="20"/>
                <w:szCs w:val="20"/>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分支机构统一社会信用代码</w:t>
            </w:r>
            <w:r>
              <w:rPr>
                <w:rFonts w:hint="eastAsia" w:ascii="宋体" w:hAnsi="宋体" w:cs="宋体"/>
                <w:kern w:val="0"/>
                <w:sz w:val="20"/>
                <w:szCs w:val="20"/>
              </w:rPr>
              <w:br w:type="textWrapping"/>
            </w:r>
            <w:r>
              <w:rPr>
                <w:rFonts w:hint="eastAsia" w:ascii="宋体" w:hAnsi="宋体" w:cs="宋体"/>
                <w:kern w:val="0"/>
                <w:sz w:val="20"/>
                <w:szCs w:val="20"/>
              </w:rPr>
              <w:t>（纳税人识别号）</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分支机构名称</w:t>
            </w:r>
          </w:p>
        </w:tc>
        <w:tc>
          <w:tcPr>
            <w:tcW w:w="5280" w:type="dxa"/>
            <w:gridSpan w:val="3"/>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三项因素</w:t>
            </w:r>
          </w:p>
        </w:tc>
        <w:tc>
          <w:tcPr>
            <w:tcW w:w="106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分配</w:t>
            </w:r>
            <w:r>
              <w:rPr>
                <w:rFonts w:hint="eastAsia" w:ascii="宋体" w:hAnsi="宋体" w:cs="宋体"/>
                <w:kern w:val="0"/>
                <w:sz w:val="20"/>
                <w:szCs w:val="20"/>
              </w:rPr>
              <w:br w:type="textWrapping"/>
            </w:r>
            <w:r>
              <w:rPr>
                <w:rFonts w:hint="eastAsia" w:ascii="宋体" w:hAnsi="宋体" w:cs="宋体"/>
                <w:kern w:val="0"/>
                <w:sz w:val="20"/>
                <w:szCs w:val="20"/>
              </w:rPr>
              <w:t>比例</w:t>
            </w:r>
          </w:p>
        </w:tc>
        <w:tc>
          <w:tcPr>
            <w:tcW w:w="2100" w:type="dxa"/>
            <w:vMerge w:val="restart"/>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分配所得税额</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营业收入</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职工薪酬</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资产总额</w:t>
            </w:r>
          </w:p>
        </w:tc>
        <w:tc>
          <w:tcPr>
            <w:tcW w:w="106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100" w:type="dxa"/>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kern w:val="0"/>
                <w:sz w:val="20"/>
                <w:szCs w:val="20"/>
              </w:rPr>
            </w:pPr>
          </w:p>
        </w:tc>
        <w:tc>
          <w:tcPr>
            <w:tcW w:w="5440" w:type="dxa"/>
            <w:gridSpan w:val="2"/>
            <w:tcBorders>
              <w:top w:val="single" w:color="auto" w:sz="6"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12"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
    <w:p>
      <w:pPr>
        <w:pStyle w:val="88"/>
        <w:spacing w:before="240" w:after="360"/>
        <w:rPr>
          <w:rFonts w:hint="eastAsia" w:ascii="宋体" w:eastAsia="宋体"/>
          <w:b/>
        </w:rPr>
        <w:sectPr>
          <w:type w:val="continuous"/>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445" w:name="_Toc3019"/>
      <w:r>
        <w:rPr>
          <w:rFonts w:hint="eastAsia" w:ascii="宋体" w:eastAsia="宋体"/>
          <w:b/>
        </w:rPr>
        <w:t>A109010《企业所得税汇总纳税分支机构所得税分配表》填报说明</w:t>
      </w:r>
      <w:bookmarkEnd w:id="445"/>
    </w:p>
    <w:p>
      <w:pPr>
        <w:pStyle w:val="65"/>
      </w:pPr>
      <w:r>
        <w:rPr>
          <w:rFonts w:hint="eastAsia"/>
        </w:rPr>
        <w:t>本表适用于跨地区经营汇总纳税的总机构填报。纳税人应根据税法、《财政部 国家税务总局 中国人民银行关于印发〈跨省市总分机构企业所得税分配及预算管理办法〉的通知》（财预〔2012〕40号）、《国家税务总局关于印发〈跨地区经营汇总纳税企业所得税征收管理办法〉的公告》（国家税务总局公告2012年第57号）规定计算总分机构每一纳税年度应缴的企业所得税额、总机构和分支机构应分摊的企业所得税额。对于仅在同一省（自治区、直辖市和计划单列市）内设立不具有法人资格分支机构的企业，根据本省（自治区、直辖市和计划单列市）汇总纳税分配办法在总机构和各分支机构分配企业所得税额的，填报本表。</w:t>
      </w:r>
    </w:p>
    <w:p>
      <w:pPr>
        <w:pStyle w:val="69"/>
        <w:ind w:firstLine="482"/>
        <w:outlineLvl w:val="0"/>
      </w:pPr>
      <w:r>
        <w:rPr>
          <w:rFonts w:hint="eastAsia"/>
        </w:rPr>
        <w:t>一、具体项目填报说明</w:t>
      </w:r>
    </w:p>
    <w:p>
      <w:pPr>
        <w:pStyle w:val="65"/>
      </w:pPr>
      <w:r>
        <w:rPr>
          <w:rFonts w:hint="eastAsia"/>
        </w:rPr>
        <w:t>1.“税款所属时期”：填报公历1月1日至12月31日。</w:t>
      </w:r>
    </w:p>
    <w:p>
      <w:pPr>
        <w:pStyle w:val="65"/>
      </w:pPr>
      <w:r>
        <w:rPr>
          <w:rFonts w:hint="eastAsia"/>
        </w:rPr>
        <w:t>2.“总机构名称”“分支机构名称”：填报营业执照、税务登记证等证件载明的纳税人名称。</w:t>
      </w:r>
    </w:p>
    <w:p>
      <w:pPr>
        <w:pStyle w:val="65"/>
      </w:pPr>
      <w:r>
        <w:t>3</w:t>
      </w:r>
      <w:r>
        <w:rPr>
          <w:rFonts w:hint="eastAsia"/>
        </w:rPr>
        <w:t>.“总机构统一社会信用代码（纳税人识别号）”“分支机构统一社会信用代码（纳税人识别号）”：填报工商等部门核发的纳税人统一社会信用代码。未取得统一社会信用代码的，填报税务机关核发的纳税人识别号。</w:t>
      </w:r>
    </w:p>
    <w:p>
      <w:pPr>
        <w:pStyle w:val="65"/>
      </w:pPr>
      <w:r>
        <w:t>4</w:t>
      </w:r>
      <w:r>
        <w:rPr>
          <w:rFonts w:hint="eastAsia"/>
        </w:rPr>
        <w:t>.“应纳所得税额”：填报企业汇总计算的、且不包括境外所得应纳所得税额的本年应补（退）的所得税额。数据来源于《跨地区经营汇总纳税企业年度分摊企业所得税明细表》（A109000）第11行“本年度应分摊的应补（退）所得税额”。</w:t>
      </w:r>
    </w:p>
    <w:p>
      <w:pPr>
        <w:pStyle w:val="65"/>
      </w:pPr>
      <w:r>
        <w:t>5</w:t>
      </w:r>
      <w:r>
        <w:rPr>
          <w:rFonts w:hint="eastAsia"/>
        </w:rPr>
        <w:t>.“总机构分摊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65"/>
      </w:pPr>
      <w:r>
        <w:t>6</w:t>
      </w:r>
      <w:r>
        <w:rPr>
          <w:rFonts w:hint="eastAsia"/>
        </w:rPr>
        <w:t>.“总机构财政集中分配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65"/>
      </w:pPr>
      <w:r>
        <w:t>7</w:t>
      </w:r>
      <w:r>
        <w:rPr>
          <w:rFonts w:hint="eastAsia"/>
        </w:rPr>
        <w:t>.“分支机构分摊所得税额”：对于跨省（自治区、直辖市、计划单列市）经营汇总纳税企业，填报企业本年应补（退）的所得税额×50%后的金额；对于同一省（自治区、直辖市、计划单列市）内跨地区经营汇总纳税企业，填报企业本年应补（退）所得税额×规定比例后的金额。</w:t>
      </w:r>
    </w:p>
    <w:p>
      <w:pPr>
        <w:pStyle w:val="65"/>
      </w:pPr>
      <w:r>
        <w:t>8</w:t>
      </w:r>
      <w:r>
        <w:rPr>
          <w:rFonts w:hint="eastAsia"/>
        </w:rPr>
        <w:t>.“营业收入”：填报上一年度各分支机构销售商品、提供劳务、让渡资产使用权等日常经营活动实现的全部收入的合计额。</w:t>
      </w:r>
    </w:p>
    <w:p>
      <w:pPr>
        <w:pStyle w:val="65"/>
      </w:pPr>
      <w:r>
        <w:t>9</w:t>
      </w:r>
      <w:r>
        <w:rPr>
          <w:rFonts w:hint="eastAsia"/>
        </w:rPr>
        <w:t>.“职工薪酬”：填报上一年度各分支机构为获得职工提供的服务而给予各种形式的报酬以及其他相关支出的合计额。</w:t>
      </w:r>
    </w:p>
    <w:p>
      <w:pPr>
        <w:pStyle w:val="65"/>
      </w:pPr>
      <w:r>
        <w:t>10</w:t>
      </w:r>
      <w:r>
        <w:rPr>
          <w:rFonts w:hint="eastAsia"/>
        </w:rPr>
        <w:t>.“资产总额”：填报上一年度各分支机构在经营活动中实际使用的应归属于该分支机构的资产合计额。</w:t>
      </w:r>
    </w:p>
    <w:p>
      <w:pPr>
        <w:pStyle w:val="65"/>
      </w:pPr>
      <w:r>
        <w:rPr>
          <w:rFonts w:hint="eastAsia"/>
        </w:rPr>
        <w:t>1</w:t>
      </w:r>
      <w:r>
        <w:t>1</w:t>
      </w:r>
      <w:r>
        <w:rPr>
          <w:rFonts w:hint="eastAsia"/>
        </w:rPr>
        <w:t>.“分配比例”：填报经总机构所在地主管税务机关审核确认的各分支机构分配比例，分配比例应保留小数点后十位。</w:t>
      </w:r>
    </w:p>
    <w:p>
      <w:pPr>
        <w:pStyle w:val="65"/>
      </w:pPr>
      <w:r>
        <w:rPr>
          <w:rFonts w:hint="eastAsia"/>
        </w:rPr>
        <w:t>1</w:t>
      </w:r>
      <w:r>
        <w:t>2</w:t>
      </w:r>
      <w:r>
        <w:rPr>
          <w:rFonts w:hint="eastAsia"/>
        </w:rPr>
        <w:t>.“分配所得税额”：填报分支机构按照分支机构分摊所得税额乘以相应的分配比例的金额。</w:t>
      </w:r>
    </w:p>
    <w:p>
      <w:pPr>
        <w:pStyle w:val="65"/>
      </w:pPr>
      <w:r>
        <w:rPr>
          <w:rFonts w:hint="eastAsia"/>
        </w:rPr>
        <w:t>1</w:t>
      </w:r>
      <w:r>
        <w:t>3</w:t>
      </w:r>
      <w:r>
        <w:rPr>
          <w:rFonts w:hint="eastAsia"/>
        </w:rPr>
        <w:t>.“合计”：填报上一年度各分支机构的营业收入总额、职工薪酬总额和资产总额三项因素的合计金额及本年各分支机构分配比例和分配税额的合计金额。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1.总机构分摊所得税额＝应纳所得税额×总机构分摊比例。</w:t>
      </w:r>
    </w:p>
    <w:p>
      <w:pPr>
        <w:pStyle w:val="65"/>
      </w:pPr>
      <w:r>
        <w:rPr>
          <w:rFonts w:hint="eastAsia"/>
        </w:rPr>
        <w:t>2.总机构财政集中分配所得税额＝应纳所得税额×财政集中分配比例。</w:t>
      </w:r>
    </w:p>
    <w:p>
      <w:pPr>
        <w:pStyle w:val="65"/>
      </w:pPr>
      <w:r>
        <w:rPr>
          <w:rFonts w:hint="eastAsia"/>
        </w:rPr>
        <w:t>3.分支机构分摊所得税额＝应纳所得税额×分支机构分摊比例。</w:t>
      </w:r>
    </w:p>
    <w:p>
      <w:pPr>
        <w:pStyle w:val="65"/>
      </w:pPr>
      <w:r>
        <w:rPr>
          <w:rFonts w:hint="eastAsia"/>
        </w:rPr>
        <w:t>4.分支机构分配比例＝（该分支机构营业收入÷分支机构营业收入合计）×35%＋（该分支机构职工薪酬÷分支机构职工薪酬合计）×35%＋（该分支机构资产总额÷分支机构资产总额合计）×30%。</w:t>
      </w:r>
    </w:p>
    <w:p>
      <w:pPr>
        <w:pStyle w:val="65"/>
      </w:pPr>
      <w:r>
        <w:rPr>
          <w:rFonts w:hint="eastAsia"/>
        </w:rPr>
        <w:t>5.分支机构分配所得税额＝分支机构分摊所得税额×该分支机构分配比例。</w:t>
      </w:r>
    </w:p>
    <w:p>
      <w:pPr>
        <w:pStyle w:val="79"/>
        <w:outlineLvl w:val="1"/>
      </w:pPr>
      <w:r>
        <w:rPr>
          <w:rFonts w:hint="eastAsia"/>
        </w:rPr>
        <w:t>（二）表间关系</w:t>
      </w:r>
    </w:p>
    <w:p>
      <w:pPr>
        <w:pStyle w:val="65"/>
      </w:pPr>
      <w:r>
        <w:rPr>
          <w:rFonts w:hint="eastAsia"/>
        </w:rPr>
        <w:t>应纳所得税额＝表A109000第11行。</w:t>
      </w:r>
    </w:p>
    <w:sectPr>
      <w:type w:val="continuous"/>
      <w:pgSz w:w="11906" w:h="16838"/>
      <w:pgMar w:top="1985" w:right="1418" w:bottom="1928" w:left="1418" w:header="851" w:footer="992" w:gutter="113"/>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0000000000000000000"/>
    <w:charset w:val="86"/>
    <w:family w:val="auto"/>
    <w:pitch w:val="default"/>
    <w:sig w:usb0="00000000" w:usb1="00000000" w:usb2="00000012"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Arial Unicode MS"/>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cs="Arial"/>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21</w:t>
                    </w:r>
                    <w:r>
                      <w:fldChar w:fldCharType="end"/>
                    </w:r>
                  </w:p>
                </w:txbxContent>
              </v:textbox>
            </v:shape>
          </w:pict>
        </mc:Fallback>
      </mc:AlternateContent>
    </w:r>
  </w:p>
  <w:p>
    <w:pPr>
      <w:pStyle w:val="15"/>
      <w:jc w:val="right"/>
      <w:rPr>
        <w:rFonts w:ascii="Arial" w:hAnsi="Arial" w:eastAsia="等线 Light" w:cs="Arial"/>
        <w:sz w:val="21"/>
        <w:szCs w:val="21"/>
        <w:lang w:val="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52</w:t>
    </w:r>
    <w:r>
      <w:fldChar w:fldCharType="end"/>
    </w:r>
  </w:p>
  <w:p>
    <w:pPr>
      <w:pStyle w:val="15"/>
      <w:jc w:val="right"/>
      <w:rPr>
        <w:rFonts w:ascii="Arial" w:hAnsi="Arial" w:eastAsia="等线 Light" w:cs="Arial"/>
        <w:sz w:val="21"/>
        <w:szCs w:val="21"/>
        <w:lang w:val="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宋体" w:hAnsi="宋体"/>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206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LqRixU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bgJGyBQIAAAUEAAAOAAAAAAAAAAEAIAAAAB4BAABkcnMvZTJv&#10;RG9jLnhtbFBLBQYAAAAABgAGAFkBAACV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JOd4AM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689100"/>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72085" cy="1689100"/>
                      </a:xfrm>
                      <a:prstGeom prst="rect">
                        <a:avLst/>
                      </a:prstGeom>
                      <a:noFill/>
                      <a:ln>
                        <a:noFill/>
                      </a:ln>
                    </wps:spPr>
                    <wps:txbx>
                      <w:txbxContent>
                        <w:p>
                          <w:pPr>
                            <w:pStyle w:val="15"/>
                            <w:jc w:val="center"/>
                          </w:pPr>
                          <w:r>
                            <w:fldChar w:fldCharType="begin"/>
                          </w:r>
                          <w:r>
                            <w:instrText xml:space="preserve"> PAGE   \* MERGEFORMAT </w:instrText>
                          </w:r>
                          <w:r>
                            <w:fldChar w:fldCharType="separate"/>
                          </w:r>
                          <w:r>
                            <w:t>224</w:t>
                          </w:r>
                          <w:r>
                            <w:fldChar w:fldCharType="end"/>
                          </w:r>
                        </w:p>
                      </w:txbxContent>
                    </wps:txbx>
                    <wps:bodyPr rot="0" vert="horz" wrap="none" lIns="0" tIns="0" rIns="0" bIns="0" anchor="t" anchorCtr="0" upright="1">
                      <a:noAutofit/>
                    </wps:bodyPr>
                  </wps:wsp>
                </a:graphicData>
              </a:graphic>
            </wp:anchor>
          </w:drawing>
        </mc:Choice>
        <mc:Fallback>
          <w:pict>
            <v:shape id="文本框 5" o:spid="_x0000_s1026" o:spt="202" type="#_x0000_t202" style="position:absolute;left:0pt;margin-top:0pt;height:133pt;width:13.55pt;mso-position-horizontal:center;mso-position-horizontal-relative:margin;mso-wrap-style:none;z-index:251661312;mso-width-relative:page;mso-height-relative:page;" filled="f" stroked="f" coordsize="21600,21600" o:gfxdata="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GDx2zRAAAABAEAAA8AAAAAAAAAAQAgAAAAIgAAAGRy&#10;cy9kb3ducmV2LnhtbFBLAQIUABQAAAAIAIdO4kCcwWOsDAIAAAMEAAAOAAAAAAAAAAEAIAAAACAB&#10;AABkcnMvZTJvRG9jLnhtbFBLBQYAAAAABgAGAFkBAACeBQAAAAA=&#10;">
              <v:fill on="f" focussize="0,0"/>
              <v:stroke on="f"/>
              <v:imagedata o:title=""/>
              <o:lock v:ext="edit" aspectratio="f"/>
              <v:textbox inset="0mm,0mm,0mm,0mm">
                <w:txbxContent>
                  <w:p>
                    <w:pPr>
                      <w:pStyle w:val="15"/>
                      <w:jc w:val="center"/>
                    </w:pPr>
                    <w:r>
                      <w:fldChar w:fldCharType="begin"/>
                    </w:r>
                    <w:r>
                      <w:instrText xml:space="preserve"> PAGE   \* MERGEFORMAT </w:instrText>
                    </w:r>
                    <w:r>
                      <w:fldChar w:fldCharType="separate"/>
                    </w:r>
                    <w:r>
                      <w:t>224</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eastAsia="等线 Light" w:cs="Arial"/>
        <w:sz w:val="21"/>
        <w:szCs w:val="21"/>
        <w:lang w:val="zh-CN"/>
      </w:rPr>
    </w:pPr>
    <w:r>
      <w:rPr>
        <w:rFonts w:ascii="Arial" w:hAnsi="Arial" w:eastAsia="等线 Light" w:cs="Arial"/>
        <w:kern w:val="0"/>
        <w:sz w:val="21"/>
        <w:szCs w:val="21"/>
        <w:lang w:val="zh-CN"/>
      </w:rPr>
      <w:t xml:space="preserve">- </w:t>
    </w:r>
    <w:r>
      <w:rPr>
        <w:rFonts w:ascii="Arial" w:hAnsi="Arial" w:eastAsia="等线 Light" w:cs="Arial"/>
        <w:kern w:val="0"/>
        <w:sz w:val="21"/>
        <w:szCs w:val="21"/>
        <w:lang w:val="zh-CN"/>
      </w:rPr>
      <w:fldChar w:fldCharType="begin"/>
    </w:r>
    <w:r>
      <w:rPr>
        <w:rFonts w:ascii="Arial" w:hAnsi="Arial" w:eastAsia="等线 Light" w:cs="Arial"/>
        <w:kern w:val="0"/>
        <w:sz w:val="21"/>
        <w:szCs w:val="21"/>
        <w:lang w:val="zh-CN"/>
      </w:rPr>
      <w:instrText xml:space="preserve"> PAGE </w:instrText>
    </w:r>
    <w:r>
      <w:rPr>
        <w:rFonts w:ascii="Arial" w:hAnsi="Arial" w:eastAsia="等线 Light" w:cs="Arial"/>
        <w:kern w:val="0"/>
        <w:sz w:val="21"/>
        <w:szCs w:val="21"/>
        <w:lang w:val="zh-CN"/>
      </w:rPr>
      <w:fldChar w:fldCharType="separate"/>
    </w:r>
    <w:r>
      <w:rPr>
        <w:rFonts w:ascii="Arial" w:hAnsi="Arial" w:eastAsia="等线 Light" w:cs="Arial"/>
        <w:kern w:val="0"/>
        <w:sz w:val="21"/>
        <w:szCs w:val="21"/>
        <w:lang w:val="zh-CN" w:eastAsia="zh-CN"/>
      </w:rPr>
      <w:t>8</w:t>
    </w:r>
    <w:r>
      <w:rPr>
        <w:rFonts w:ascii="Arial" w:hAnsi="Arial" w:eastAsia="等线 Light" w:cs="Arial"/>
        <w:kern w:val="0"/>
        <w:sz w:val="21"/>
        <w:szCs w:val="21"/>
        <w:lang w:val="zh-CN"/>
      </w:rPr>
      <w:fldChar w:fldCharType="end"/>
    </w:r>
    <w:r>
      <w:rPr>
        <w:rFonts w:ascii="Arial" w:hAnsi="Arial" w:eastAsia="等线 Light" w:cs="Arial"/>
        <w:kern w:val="0"/>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15"/>
      <w:ind w:right="420"/>
      <w:jc w:val="center"/>
      <w:rPr>
        <w:rFonts w:ascii="Arial" w:hAnsi="Arial" w:eastAsia="等线 Light" w:cs="Arial"/>
        <w:kern w:val="0"/>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w:t>
    </w:r>
    <w:r>
      <w:fldChar w:fldCharType="end"/>
    </w:r>
  </w:p>
  <w:p>
    <w:pPr>
      <w:pStyle w:val="15"/>
      <w:rPr>
        <w:rFonts w:ascii="Arial" w:hAnsi="Arial" w:cs="Arial"/>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4135" cy="14605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5pt;width:5.05pt;mso-position-horizontal:center;mso-position-horizontal-relative:margin;mso-wrap-style:none;z-index:251662336;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rLRqHQAAAAAwEAAA8AAAAAAAAAAQAgAAAAIgAAAGRycy9k&#10;b3ducmV2LnhtbFBLAQIUABQAAAAIAIdO4kCZpUR9CgIAAAEEAAAOAAAAAAAAAAEAIAAAAB8BAABk&#10;cnMvZTJvRG9jLnhtbFBLBQYAAAAABgAGAFkBAACbBQ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Arial" w:hAnsi="Arial" w:cs="Arial"/>
        <w:sz w:val="21"/>
        <w:szCs w:val="21"/>
      </w:rPr>
    </w:pPr>
    <w:r>
      <w:rPr>
        <w:sz w:val="21"/>
        <w:lang w:val="en-US"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pPr>
                          <w:r>
                            <w:rPr>
                              <w:rFonts w:ascii="Arial" w:hAnsi="Arial" w:eastAsia="等线 Light" w:cs="Arial"/>
                              <w:kern w:val="0"/>
                              <w:sz w:val="21"/>
                              <w:szCs w:val="21"/>
                              <w:lang w:val="zh-CN"/>
                            </w:rPr>
                            <w:t>-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lEWu2BQIAAAQEAAAOAAAAAAAAAAEAIAAAAB4BAABkcnMvZTJv&#10;RG9jLnhtbFBLBQYAAAAABgAGAFkBAACVBQAAAAA=&#10;">
              <v:fill on="f" focussize="0,0"/>
              <v:stroke on="f"/>
              <v:imagedata o:title=""/>
              <o:lock v:ext="edit" aspectratio="f"/>
              <v:textbox inset="0mm,0mm,0mm,0mm" style="mso-fit-shape-to-text:t;">
                <w:txbxContent>
                  <w:p>
                    <w:pPr>
                      <w:pStyle w:val="15"/>
                    </w:pPr>
                    <w:r>
                      <w:rPr>
                        <w:rFonts w:ascii="Arial" w:hAnsi="Arial" w:eastAsia="等线 Light" w:cs="Arial"/>
                        <w:kern w:val="0"/>
                        <w:sz w:val="21"/>
                        <w:szCs w:val="21"/>
                        <w:lang w:val="zh-CN"/>
                      </w:rPr>
                      <w:t>-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64135" cy="146050"/>
              <wp:effectExtent l="0" t="0" r="0" b="0"/>
              <wp:wrapNone/>
              <wp:docPr id="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1.5pt;width:5.05pt;mso-position-horizontal:center;mso-position-horizontal-relative:margin;mso-wrap-style:none;z-index:251664384;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y0ah0AAAAAMBAAAPAAAAAAAAAAEAIAAAACIAAABkcnMv&#10;ZG93bnJldi54bWxQSwECFAAUAAAACACHTuJAbOYxzgsCAAACBAAADgAAAAAAAAABACAAAAAfAQAA&#10;ZHJzL2Uyb0RvYy54bWxQSwUGAAAAAAYABgBZAQAAnAU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12</w:t>
    </w:r>
    <w:r>
      <w:fldChar w:fldCharType="end"/>
    </w:r>
  </w:p>
  <w:p>
    <w:pPr>
      <w:pStyle w:val="15"/>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60634"/>
    <w:multiLevelType w:val="multilevel"/>
    <w:tmpl w:val="0DD60634"/>
    <w:lvl w:ilvl="0" w:tentative="0">
      <w:start w:val="1"/>
      <w:numFmt w:val="decimal"/>
      <w:lvlText w:val="%1."/>
      <w:lvlJc w:val="left"/>
      <w:pPr>
        <w:ind w:left="900" w:hanging="420"/>
      </w:pPr>
      <w:rPr>
        <w:rFonts w:hint="default" w:ascii="Arial" w:hAnsi="Arial" w:eastAsia="宋体"/>
        <w:b w:val="0"/>
        <w:i w:val="0"/>
        <w:sz w:val="24"/>
      </w:rPr>
    </w:lvl>
    <w:lvl w:ilvl="1" w:tentative="0">
      <w:start w:val="1"/>
      <w:numFmt w:val="decimal"/>
      <w:pStyle w:val="64"/>
      <w:suff w:val="nothing"/>
      <w:lvlText w:val="%2."/>
      <w:lvlJc w:val="left"/>
      <w:pPr>
        <w:ind w:left="840" w:hanging="420"/>
      </w:pPr>
      <w:rPr>
        <w:rFonts w:hint="default" w:ascii="宋体" w:hAnsi="宋体" w:eastAsia="宋体"/>
        <w:b w:val="0"/>
        <w:i w:val="0"/>
        <w:caps w:val="0"/>
        <w:strike w:val="0"/>
        <w:dstrike w:val="0"/>
        <w:vanish w:val="0"/>
        <w:color w:val="000000"/>
        <w:sz w:val="24"/>
        <w:vertAlign w:val="baseli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3D20D2"/>
    <w:multiLevelType w:val="multilevel"/>
    <w:tmpl w:val="2E3D20D2"/>
    <w:lvl w:ilvl="0" w:tentative="0">
      <w:start w:val="1"/>
      <w:numFmt w:val="decimal"/>
      <w:lvlText w:val="%1."/>
      <w:lvlJc w:val="left"/>
      <w:pPr>
        <w:tabs>
          <w:tab w:val="left" w:pos="510"/>
        </w:tabs>
        <w:ind w:left="510" w:firstLine="17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33"/>
    <w:rsid w:val="00003A8E"/>
    <w:rsid w:val="00004FE7"/>
    <w:rsid w:val="00005270"/>
    <w:rsid w:val="00005895"/>
    <w:rsid w:val="00006B7A"/>
    <w:rsid w:val="00007E57"/>
    <w:rsid w:val="0001069F"/>
    <w:rsid w:val="00011297"/>
    <w:rsid w:val="0001139B"/>
    <w:rsid w:val="00012156"/>
    <w:rsid w:val="00013BCF"/>
    <w:rsid w:val="00013C2B"/>
    <w:rsid w:val="00014BD6"/>
    <w:rsid w:val="00015A83"/>
    <w:rsid w:val="000163C0"/>
    <w:rsid w:val="0001671C"/>
    <w:rsid w:val="0002060C"/>
    <w:rsid w:val="00020D23"/>
    <w:rsid w:val="000224D9"/>
    <w:rsid w:val="000225F6"/>
    <w:rsid w:val="00023180"/>
    <w:rsid w:val="00023C54"/>
    <w:rsid w:val="00024176"/>
    <w:rsid w:val="000242CE"/>
    <w:rsid w:val="0002467C"/>
    <w:rsid w:val="000264FA"/>
    <w:rsid w:val="000266F6"/>
    <w:rsid w:val="000275E8"/>
    <w:rsid w:val="00027A92"/>
    <w:rsid w:val="00033402"/>
    <w:rsid w:val="00034560"/>
    <w:rsid w:val="0003524A"/>
    <w:rsid w:val="000357CF"/>
    <w:rsid w:val="000368B1"/>
    <w:rsid w:val="00036DA1"/>
    <w:rsid w:val="0003741B"/>
    <w:rsid w:val="0003799B"/>
    <w:rsid w:val="00040E38"/>
    <w:rsid w:val="000433A1"/>
    <w:rsid w:val="000448C5"/>
    <w:rsid w:val="00044D2E"/>
    <w:rsid w:val="00045B74"/>
    <w:rsid w:val="00046879"/>
    <w:rsid w:val="0004689B"/>
    <w:rsid w:val="00047047"/>
    <w:rsid w:val="00047177"/>
    <w:rsid w:val="00047396"/>
    <w:rsid w:val="00047B56"/>
    <w:rsid w:val="0005235A"/>
    <w:rsid w:val="00053225"/>
    <w:rsid w:val="00053286"/>
    <w:rsid w:val="0005524B"/>
    <w:rsid w:val="0005544F"/>
    <w:rsid w:val="00056125"/>
    <w:rsid w:val="000626E3"/>
    <w:rsid w:val="00062722"/>
    <w:rsid w:val="000627BA"/>
    <w:rsid w:val="0006348D"/>
    <w:rsid w:val="0006365B"/>
    <w:rsid w:val="000637AE"/>
    <w:rsid w:val="00065E2F"/>
    <w:rsid w:val="00066E52"/>
    <w:rsid w:val="00067FAC"/>
    <w:rsid w:val="00070C89"/>
    <w:rsid w:val="00071709"/>
    <w:rsid w:val="0007556F"/>
    <w:rsid w:val="0007586B"/>
    <w:rsid w:val="000762BB"/>
    <w:rsid w:val="00077481"/>
    <w:rsid w:val="00080239"/>
    <w:rsid w:val="00080FB5"/>
    <w:rsid w:val="000836C7"/>
    <w:rsid w:val="000844FB"/>
    <w:rsid w:val="00084C21"/>
    <w:rsid w:val="00084E97"/>
    <w:rsid w:val="000867A6"/>
    <w:rsid w:val="00087369"/>
    <w:rsid w:val="0008745E"/>
    <w:rsid w:val="0009297F"/>
    <w:rsid w:val="00093745"/>
    <w:rsid w:val="00094A6F"/>
    <w:rsid w:val="000962B7"/>
    <w:rsid w:val="00097DC1"/>
    <w:rsid w:val="000A275D"/>
    <w:rsid w:val="000A474D"/>
    <w:rsid w:val="000A4A3D"/>
    <w:rsid w:val="000A4F71"/>
    <w:rsid w:val="000B086F"/>
    <w:rsid w:val="000B1378"/>
    <w:rsid w:val="000B17BA"/>
    <w:rsid w:val="000B2E1A"/>
    <w:rsid w:val="000B3DE0"/>
    <w:rsid w:val="000B5AFE"/>
    <w:rsid w:val="000B68A1"/>
    <w:rsid w:val="000C00DD"/>
    <w:rsid w:val="000C095D"/>
    <w:rsid w:val="000C0968"/>
    <w:rsid w:val="000C14B8"/>
    <w:rsid w:val="000C14FC"/>
    <w:rsid w:val="000C41F9"/>
    <w:rsid w:val="000C44F6"/>
    <w:rsid w:val="000C4A6C"/>
    <w:rsid w:val="000C5801"/>
    <w:rsid w:val="000C6657"/>
    <w:rsid w:val="000C72E7"/>
    <w:rsid w:val="000C74C5"/>
    <w:rsid w:val="000D04DE"/>
    <w:rsid w:val="000D1161"/>
    <w:rsid w:val="000D11B0"/>
    <w:rsid w:val="000D189E"/>
    <w:rsid w:val="000D332B"/>
    <w:rsid w:val="000D349F"/>
    <w:rsid w:val="000D4D62"/>
    <w:rsid w:val="000D69AF"/>
    <w:rsid w:val="000D79F3"/>
    <w:rsid w:val="000E00D2"/>
    <w:rsid w:val="000E034B"/>
    <w:rsid w:val="000E149C"/>
    <w:rsid w:val="000E26F9"/>
    <w:rsid w:val="000E2E9C"/>
    <w:rsid w:val="000E6535"/>
    <w:rsid w:val="000E7287"/>
    <w:rsid w:val="000F0659"/>
    <w:rsid w:val="000F10E3"/>
    <w:rsid w:val="000F129A"/>
    <w:rsid w:val="000F2DC9"/>
    <w:rsid w:val="000F3276"/>
    <w:rsid w:val="000F3FA4"/>
    <w:rsid w:val="000F4A4C"/>
    <w:rsid w:val="000F4D5D"/>
    <w:rsid w:val="000F759F"/>
    <w:rsid w:val="00100350"/>
    <w:rsid w:val="00101472"/>
    <w:rsid w:val="00101C6F"/>
    <w:rsid w:val="0010288A"/>
    <w:rsid w:val="00103E79"/>
    <w:rsid w:val="00105494"/>
    <w:rsid w:val="001055AD"/>
    <w:rsid w:val="00106080"/>
    <w:rsid w:val="001118B7"/>
    <w:rsid w:val="00112023"/>
    <w:rsid w:val="00113374"/>
    <w:rsid w:val="00113A7A"/>
    <w:rsid w:val="00113A83"/>
    <w:rsid w:val="00115390"/>
    <w:rsid w:val="001179CE"/>
    <w:rsid w:val="00117EEB"/>
    <w:rsid w:val="0012020F"/>
    <w:rsid w:val="00120C31"/>
    <w:rsid w:val="00121366"/>
    <w:rsid w:val="00122E5D"/>
    <w:rsid w:val="00123C83"/>
    <w:rsid w:val="001240C8"/>
    <w:rsid w:val="0012453F"/>
    <w:rsid w:val="00124C51"/>
    <w:rsid w:val="00125006"/>
    <w:rsid w:val="00127933"/>
    <w:rsid w:val="00127C94"/>
    <w:rsid w:val="0013084A"/>
    <w:rsid w:val="00131638"/>
    <w:rsid w:val="00133000"/>
    <w:rsid w:val="0013373A"/>
    <w:rsid w:val="001371AF"/>
    <w:rsid w:val="00137822"/>
    <w:rsid w:val="00137AAD"/>
    <w:rsid w:val="00141877"/>
    <w:rsid w:val="0014299C"/>
    <w:rsid w:val="001447C2"/>
    <w:rsid w:val="00144EB3"/>
    <w:rsid w:val="00145DAF"/>
    <w:rsid w:val="00145E85"/>
    <w:rsid w:val="001468A3"/>
    <w:rsid w:val="00146A2C"/>
    <w:rsid w:val="00150DFF"/>
    <w:rsid w:val="001523AB"/>
    <w:rsid w:val="001526D7"/>
    <w:rsid w:val="001535A9"/>
    <w:rsid w:val="00153A25"/>
    <w:rsid w:val="00153C59"/>
    <w:rsid w:val="00154F87"/>
    <w:rsid w:val="00156026"/>
    <w:rsid w:val="00156947"/>
    <w:rsid w:val="00156FE0"/>
    <w:rsid w:val="001574F5"/>
    <w:rsid w:val="00157B53"/>
    <w:rsid w:val="001603D7"/>
    <w:rsid w:val="00161889"/>
    <w:rsid w:val="0016232A"/>
    <w:rsid w:val="00162372"/>
    <w:rsid w:val="0016261C"/>
    <w:rsid w:val="001634EA"/>
    <w:rsid w:val="00164B29"/>
    <w:rsid w:val="0016591A"/>
    <w:rsid w:val="00166CD9"/>
    <w:rsid w:val="00167386"/>
    <w:rsid w:val="0016772B"/>
    <w:rsid w:val="00167E35"/>
    <w:rsid w:val="00170A12"/>
    <w:rsid w:val="001717C2"/>
    <w:rsid w:val="00171BD6"/>
    <w:rsid w:val="001721A9"/>
    <w:rsid w:val="00172364"/>
    <w:rsid w:val="0017283A"/>
    <w:rsid w:val="001728FB"/>
    <w:rsid w:val="0017539A"/>
    <w:rsid w:val="00175627"/>
    <w:rsid w:val="001762BD"/>
    <w:rsid w:val="0017726F"/>
    <w:rsid w:val="00177FE1"/>
    <w:rsid w:val="00180621"/>
    <w:rsid w:val="00181319"/>
    <w:rsid w:val="00181DFC"/>
    <w:rsid w:val="00181F57"/>
    <w:rsid w:val="001851A2"/>
    <w:rsid w:val="00186F18"/>
    <w:rsid w:val="00187BC9"/>
    <w:rsid w:val="00193199"/>
    <w:rsid w:val="00193230"/>
    <w:rsid w:val="0019384B"/>
    <w:rsid w:val="00194EB8"/>
    <w:rsid w:val="00195907"/>
    <w:rsid w:val="0019662F"/>
    <w:rsid w:val="001A01E7"/>
    <w:rsid w:val="001A133E"/>
    <w:rsid w:val="001A1EAF"/>
    <w:rsid w:val="001A4168"/>
    <w:rsid w:val="001A4B46"/>
    <w:rsid w:val="001A53A9"/>
    <w:rsid w:val="001A6C59"/>
    <w:rsid w:val="001A70F1"/>
    <w:rsid w:val="001A7E58"/>
    <w:rsid w:val="001B1104"/>
    <w:rsid w:val="001B285D"/>
    <w:rsid w:val="001B4049"/>
    <w:rsid w:val="001B40A5"/>
    <w:rsid w:val="001B640A"/>
    <w:rsid w:val="001B644D"/>
    <w:rsid w:val="001B6B13"/>
    <w:rsid w:val="001B76EB"/>
    <w:rsid w:val="001C0412"/>
    <w:rsid w:val="001C047C"/>
    <w:rsid w:val="001C1B23"/>
    <w:rsid w:val="001C1CF2"/>
    <w:rsid w:val="001C2C0E"/>
    <w:rsid w:val="001C2FA1"/>
    <w:rsid w:val="001C35AB"/>
    <w:rsid w:val="001C38C8"/>
    <w:rsid w:val="001C5BAF"/>
    <w:rsid w:val="001C5FE2"/>
    <w:rsid w:val="001C7279"/>
    <w:rsid w:val="001C789B"/>
    <w:rsid w:val="001D1261"/>
    <w:rsid w:val="001D5857"/>
    <w:rsid w:val="001D5916"/>
    <w:rsid w:val="001D63FA"/>
    <w:rsid w:val="001D74BF"/>
    <w:rsid w:val="001E2CFD"/>
    <w:rsid w:val="001E3AB5"/>
    <w:rsid w:val="001E3F99"/>
    <w:rsid w:val="001E4F35"/>
    <w:rsid w:val="001E6777"/>
    <w:rsid w:val="001E7052"/>
    <w:rsid w:val="001F01B5"/>
    <w:rsid w:val="001F0265"/>
    <w:rsid w:val="001F0384"/>
    <w:rsid w:val="001F0994"/>
    <w:rsid w:val="001F0C5A"/>
    <w:rsid w:val="001F0D9F"/>
    <w:rsid w:val="001F2E6F"/>
    <w:rsid w:val="001F4D99"/>
    <w:rsid w:val="001F6E93"/>
    <w:rsid w:val="001F74F8"/>
    <w:rsid w:val="001F77A7"/>
    <w:rsid w:val="001F7F80"/>
    <w:rsid w:val="0020250D"/>
    <w:rsid w:val="0020365E"/>
    <w:rsid w:val="00204AFC"/>
    <w:rsid w:val="00205153"/>
    <w:rsid w:val="00207A99"/>
    <w:rsid w:val="002102C4"/>
    <w:rsid w:val="002103FC"/>
    <w:rsid w:val="0021160C"/>
    <w:rsid w:val="002122D0"/>
    <w:rsid w:val="00213C02"/>
    <w:rsid w:val="00213E6A"/>
    <w:rsid w:val="002166F9"/>
    <w:rsid w:val="00216B70"/>
    <w:rsid w:val="00217655"/>
    <w:rsid w:val="00220061"/>
    <w:rsid w:val="0022032C"/>
    <w:rsid w:val="00221969"/>
    <w:rsid w:val="002231FE"/>
    <w:rsid w:val="00224B6E"/>
    <w:rsid w:val="00227BEC"/>
    <w:rsid w:val="00232407"/>
    <w:rsid w:val="002324EF"/>
    <w:rsid w:val="002332F8"/>
    <w:rsid w:val="0023399A"/>
    <w:rsid w:val="0023436B"/>
    <w:rsid w:val="00236888"/>
    <w:rsid w:val="00242C73"/>
    <w:rsid w:val="002438F3"/>
    <w:rsid w:val="00243E7E"/>
    <w:rsid w:val="00245D30"/>
    <w:rsid w:val="0024713E"/>
    <w:rsid w:val="0024755C"/>
    <w:rsid w:val="00247B92"/>
    <w:rsid w:val="00250099"/>
    <w:rsid w:val="00250203"/>
    <w:rsid w:val="002502C5"/>
    <w:rsid w:val="002566B0"/>
    <w:rsid w:val="00260223"/>
    <w:rsid w:val="0026084C"/>
    <w:rsid w:val="00260C3C"/>
    <w:rsid w:val="00260E12"/>
    <w:rsid w:val="00261EB2"/>
    <w:rsid w:val="002631D6"/>
    <w:rsid w:val="002634E2"/>
    <w:rsid w:val="002636F7"/>
    <w:rsid w:val="00263952"/>
    <w:rsid w:val="00264EA7"/>
    <w:rsid w:val="00264EF2"/>
    <w:rsid w:val="00265A49"/>
    <w:rsid w:val="00266A4E"/>
    <w:rsid w:val="0027028D"/>
    <w:rsid w:val="00270950"/>
    <w:rsid w:val="0027108C"/>
    <w:rsid w:val="00272FFE"/>
    <w:rsid w:val="00273E0F"/>
    <w:rsid w:val="00273E63"/>
    <w:rsid w:val="002751A1"/>
    <w:rsid w:val="00277202"/>
    <w:rsid w:val="002772A3"/>
    <w:rsid w:val="00280471"/>
    <w:rsid w:val="0028333C"/>
    <w:rsid w:val="002859BB"/>
    <w:rsid w:val="002864EB"/>
    <w:rsid w:val="002865C4"/>
    <w:rsid w:val="002876E5"/>
    <w:rsid w:val="00287801"/>
    <w:rsid w:val="00287FA5"/>
    <w:rsid w:val="00290C8C"/>
    <w:rsid w:val="0029343B"/>
    <w:rsid w:val="00296771"/>
    <w:rsid w:val="00297293"/>
    <w:rsid w:val="002A0DEB"/>
    <w:rsid w:val="002A0EE4"/>
    <w:rsid w:val="002A15E6"/>
    <w:rsid w:val="002A3555"/>
    <w:rsid w:val="002A3A34"/>
    <w:rsid w:val="002A3C79"/>
    <w:rsid w:val="002A53B3"/>
    <w:rsid w:val="002A5ED4"/>
    <w:rsid w:val="002A6355"/>
    <w:rsid w:val="002A656D"/>
    <w:rsid w:val="002B049F"/>
    <w:rsid w:val="002B09D0"/>
    <w:rsid w:val="002B12C6"/>
    <w:rsid w:val="002B1C2D"/>
    <w:rsid w:val="002B37B8"/>
    <w:rsid w:val="002B3888"/>
    <w:rsid w:val="002B39B7"/>
    <w:rsid w:val="002B4214"/>
    <w:rsid w:val="002B47DE"/>
    <w:rsid w:val="002B58ED"/>
    <w:rsid w:val="002B61DB"/>
    <w:rsid w:val="002C01B7"/>
    <w:rsid w:val="002C0A96"/>
    <w:rsid w:val="002C1B3C"/>
    <w:rsid w:val="002C1DEF"/>
    <w:rsid w:val="002C22E4"/>
    <w:rsid w:val="002C2750"/>
    <w:rsid w:val="002C44F9"/>
    <w:rsid w:val="002C4866"/>
    <w:rsid w:val="002C56E7"/>
    <w:rsid w:val="002C587B"/>
    <w:rsid w:val="002C6A96"/>
    <w:rsid w:val="002D1097"/>
    <w:rsid w:val="002D1CC3"/>
    <w:rsid w:val="002D1D13"/>
    <w:rsid w:val="002D1E66"/>
    <w:rsid w:val="002D218D"/>
    <w:rsid w:val="002D326D"/>
    <w:rsid w:val="002D521C"/>
    <w:rsid w:val="002D563E"/>
    <w:rsid w:val="002D675F"/>
    <w:rsid w:val="002D6914"/>
    <w:rsid w:val="002D7414"/>
    <w:rsid w:val="002D78AD"/>
    <w:rsid w:val="002E0117"/>
    <w:rsid w:val="002E01AB"/>
    <w:rsid w:val="002E0D98"/>
    <w:rsid w:val="002E1732"/>
    <w:rsid w:val="002E2AED"/>
    <w:rsid w:val="002E4C52"/>
    <w:rsid w:val="002E56FF"/>
    <w:rsid w:val="002E5EB9"/>
    <w:rsid w:val="002E5F18"/>
    <w:rsid w:val="002F07DC"/>
    <w:rsid w:val="002F127B"/>
    <w:rsid w:val="002F2E12"/>
    <w:rsid w:val="002F3B42"/>
    <w:rsid w:val="002F532F"/>
    <w:rsid w:val="002F667D"/>
    <w:rsid w:val="002F6F78"/>
    <w:rsid w:val="002F7CD6"/>
    <w:rsid w:val="0030056D"/>
    <w:rsid w:val="0030204B"/>
    <w:rsid w:val="003043A5"/>
    <w:rsid w:val="00304659"/>
    <w:rsid w:val="003049D1"/>
    <w:rsid w:val="00305410"/>
    <w:rsid w:val="003101B3"/>
    <w:rsid w:val="003144FC"/>
    <w:rsid w:val="003146D4"/>
    <w:rsid w:val="0031510A"/>
    <w:rsid w:val="0031561C"/>
    <w:rsid w:val="00315D4B"/>
    <w:rsid w:val="00317699"/>
    <w:rsid w:val="00320637"/>
    <w:rsid w:val="0032076E"/>
    <w:rsid w:val="003218D4"/>
    <w:rsid w:val="00321FEC"/>
    <w:rsid w:val="003226B5"/>
    <w:rsid w:val="00324A5E"/>
    <w:rsid w:val="00325105"/>
    <w:rsid w:val="00325B93"/>
    <w:rsid w:val="00325D36"/>
    <w:rsid w:val="003261E9"/>
    <w:rsid w:val="00330D2F"/>
    <w:rsid w:val="00334E59"/>
    <w:rsid w:val="00336606"/>
    <w:rsid w:val="00337126"/>
    <w:rsid w:val="00337A2C"/>
    <w:rsid w:val="00337C8F"/>
    <w:rsid w:val="00337D14"/>
    <w:rsid w:val="00341D40"/>
    <w:rsid w:val="00342AD5"/>
    <w:rsid w:val="00342B2E"/>
    <w:rsid w:val="00343CFA"/>
    <w:rsid w:val="00344350"/>
    <w:rsid w:val="003451C7"/>
    <w:rsid w:val="0034539F"/>
    <w:rsid w:val="003454FB"/>
    <w:rsid w:val="00345E70"/>
    <w:rsid w:val="00346D7D"/>
    <w:rsid w:val="00351F7C"/>
    <w:rsid w:val="00352621"/>
    <w:rsid w:val="00352976"/>
    <w:rsid w:val="0035514D"/>
    <w:rsid w:val="003557A2"/>
    <w:rsid w:val="003562E8"/>
    <w:rsid w:val="00363171"/>
    <w:rsid w:val="00363860"/>
    <w:rsid w:val="00363F8D"/>
    <w:rsid w:val="00365D65"/>
    <w:rsid w:val="00366116"/>
    <w:rsid w:val="003670BB"/>
    <w:rsid w:val="00367111"/>
    <w:rsid w:val="003678CD"/>
    <w:rsid w:val="003703FE"/>
    <w:rsid w:val="003708F3"/>
    <w:rsid w:val="003723A1"/>
    <w:rsid w:val="00372720"/>
    <w:rsid w:val="0037330D"/>
    <w:rsid w:val="00374E47"/>
    <w:rsid w:val="00377ABD"/>
    <w:rsid w:val="00381142"/>
    <w:rsid w:val="00381421"/>
    <w:rsid w:val="003816EC"/>
    <w:rsid w:val="00381B4B"/>
    <w:rsid w:val="00383722"/>
    <w:rsid w:val="003840D8"/>
    <w:rsid w:val="0038541A"/>
    <w:rsid w:val="00386807"/>
    <w:rsid w:val="003903FF"/>
    <w:rsid w:val="00390E7B"/>
    <w:rsid w:val="00391059"/>
    <w:rsid w:val="003911C3"/>
    <w:rsid w:val="00391761"/>
    <w:rsid w:val="00391B47"/>
    <w:rsid w:val="00392AD8"/>
    <w:rsid w:val="00396612"/>
    <w:rsid w:val="00397520"/>
    <w:rsid w:val="003A0BC0"/>
    <w:rsid w:val="003A33D3"/>
    <w:rsid w:val="003A5445"/>
    <w:rsid w:val="003A5D14"/>
    <w:rsid w:val="003A7BCE"/>
    <w:rsid w:val="003B07E2"/>
    <w:rsid w:val="003B0D7D"/>
    <w:rsid w:val="003B118D"/>
    <w:rsid w:val="003B3BC7"/>
    <w:rsid w:val="003B4C04"/>
    <w:rsid w:val="003B501F"/>
    <w:rsid w:val="003B6496"/>
    <w:rsid w:val="003C0DF5"/>
    <w:rsid w:val="003C27EE"/>
    <w:rsid w:val="003C2870"/>
    <w:rsid w:val="003C4A8B"/>
    <w:rsid w:val="003C520C"/>
    <w:rsid w:val="003C5B12"/>
    <w:rsid w:val="003C5E1C"/>
    <w:rsid w:val="003C63F0"/>
    <w:rsid w:val="003C7EF7"/>
    <w:rsid w:val="003D28CC"/>
    <w:rsid w:val="003D2AB6"/>
    <w:rsid w:val="003D35A0"/>
    <w:rsid w:val="003D3BEA"/>
    <w:rsid w:val="003D52B9"/>
    <w:rsid w:val="003D6A8F"/>
    <w:rsid w:val="003D6AE3"/>
    <w:rsid w:val="003D7B37"/>
    <w:rsid w:val="003D7CE6"/>
    <w:rsid w:val="003E014B"/>
    <w:rsid w:val="003E0B87"/>
    <w:rsid w:val="003E1FE6"/>
    <w:rsid w:val="003E232F"/>
    <w:rsid w:val="003E2A3E"/>
    <w:rsid w:val="003E2F59"/>
    <w:rsid w:val="003E3979"/>
    <w:rsid w:val="003E3E79"/>
    <w:rsid w:val="003E40B4"/>
    <w:rsid w:val="003E5A79"/>
    <w:rsid w:val="003E76E7"/>
    <w:rsid w:val="003F01C4"/>
    <w:rsid w:val="003F0835"/>
    <w:rsid w:val="003F15DB"/>
    <w:rsid w:val="003F218D"/>
    <w:rsid w:val="003F42F0"/>
    <w:rsid w:val="003F4B4F"/>
    <w:rsid w:val="003F5E95"/>
    <w:rsid w:val="003F6332"/>
    <w:rsid w:val="003F6DEC"/>
    <w:rsid w:val="003F78D8"/>
    <w:rsid w:val="003F798F"/>
    <w:rsid w:val="003F7B44"/>
    <w:rsid w:val="0040095D"/>
    <w:rsid w:val="00400B00"/>
    <w:rsid w:val="00402D22"/>
    <w:rsid w:val="00407669"/>
    <w:rsid w:val="004116ED"/>
    <w:rsid w:val="00411A74"/>
    <w:rsid w:val="0041475E"/>
    <w:rsid w:val="00414F6E"/>
    <w:rsid w:val="004153FF"/>
    <w:rsid w:val="00415F16"/>
    <w:rsid w:val="0041698C"/>
    <w:rsid w:val="004171F4"/>
    <w:rsid w:val="00417F4A"/>
    <w:rsid w:val="0042000B"/>
    <w:rsid w:val="00420293"/>
    <w:rsid w:val="00420660"/>
    <w:rsid w:val="0042106C"/>
    <w:rsid w:val="00421BAC"/>
    <w:rsid w:val="004224CF"/>
    <w:rsid w:val="0042497A"/>
    <w:rsid w:val="00425D93"/>
    <w:rsid w:val="004261B4"/>
    <w:rsid w:val="004274AA"/>
    <w:rsid w:val="004275C2"/>
    <w:rsid w:val="004301A0"/>
    <w:rsid w:val="00431234"/>
    <w:rsid w:val="0043153A"/>
    <w:rsid w:val="00431F75"/>
    <w:rsid w:val="00432344"/>
    <w:rsid w:val="00432A53"/>
    <w:rsid w:val="00437123"/>
    <w:rsid w:val="00440108"/>
    <w:rsid w:val="004407AA"/>
    <w:rsid w:val="0044136E"/>
    <w:rsid w:val="0044220D"/>
    <w:rsid w:val="004424E6"/>
    <w:rsid w:val="00442996"/>
    <w:rsid w:val="0044330C"/>
    <w:rsid w:val="00443556"/>
    <w:rsid w:val="00443D3D"/>
    <w:rsid w:val="00443E75"/>
    <w:rsid w:val="00444069"/>
    <w:rsid w:val="00445D28"/>
    <w:rsid w:val="00450F9A"/>
    <w:rsid w:val="0045149C"/>
    <w:rsid w:val="004514FF"/>
    <w:rsid w:val="00452DA0"/>
    <w:rsid w:val="00453A80"/>
    <w:rsid w:val="00454063"/>
    <w:rsid w:val="004541E9"/>
    <w:rsid w:val="0045475D"/>
    <w:rsid w:val="00454771"/>
    <w:rsid w:val="004548AA"/>
    <w:rsid w:val="00454B8C"/>
    <w:rsid w:val="00454D34"/>
    <w:rsid w:val="00457319"/>
    <w:rsid w:val="004574F9"/>
    <w:rsid w:val="004575C4"/>
    <w:rsid w:val="00460391"/>
    <w:rsid w:val="004605D2"/>
    <w:rsid w:val="0046097E"/>
    <w:rsid w:val="0046180D"/>
    <w:rsid w:val="00462B53"/>
    <w:rsid w:val="00463AB8"/>
    <w:rsid w:val="00463E4E"/>
    <w:rsid w:val="00463F16"/>
    <w:rsid w:val="0046546E"/>
    <w:rsid w:val="004654DC"/>
    <w:rsid w:val="00465843"/>
    <w:rsid w:val="0046739B"/>
    <w:rsid w:val="00467E6D"/>
    <w:rsid w:val="00467F51"/>
    <w:rsid w:val="00475AF6"/>
    <w:rsid w:val="0047641A"/>
    <w:rsid w:val="0047762A"/>
    <w:rsid w:val="00480602"/>
    <w:rsid w:val="004858ED"/>
    <w:rsid w:val="00485912"/>
    <w:rsid w:val="00485E0A"/>
    <w:rsid w:val="0048796C"/>
    <w:rsid w:val="0049129D"/>
    <w:rsid w:val="00491861"/>
    <w:rsid w:val="00494526"/>
    <w:rsid w:val="00494CFF"/>
    <w:rsid w:val="004954BE"/>
    <w:rsid w:val="004A0036"/>
    <w:rsid w:val="004A0F48"/>
    <w:rsid w:val="004A2121"/>
    <w:rsid w:val="004A3B44"/>
    <w:rsid w:val="004A589C"/>
    <w:rsid w:val="004A5C0C"/>
    <w:rsid w:val="004A61F4"/>
    <w:rsid w:val="004A6530"/>
    <w:rsid w:val="004B047B"/>
    <w:rsid w:val="004B0C12"/>
    <w:rsid w:val="004B1637"/>
    <w:rsid w:val="004B1B86"/>
    <w:rsid w:val="004B1BA4"/>
    <w:rsid w:val="004B1CE9"/>
    <w:rsid w:val="004B785A"/>
    <w:rsid w:val="004B7B36"/>
    <w:rsid w:val="004C149B"/>
    <w:rsid w:val="004C27EC"/>
    <w:rsid w:val="004C2C57"/>
    <w:rsid w:val="004C4469"/>
    <w:rsid w:val="004C5CD9"/>
    <w:rsid w:val="004C5F20"/>
    <w:rsid w:val="004D0F4D"/>
    <w:rsid w:val="004D4E46"/>
    <w:rsid w:val="004D7F77"/>
    <w:rsid w:val="004E160E"/>
    <w:rsid w:val="004E1F2B"/>
    <w:rsid w:val="004E394C"/>
    <w:rsid w:val="004E3A01"/>
    <w:rsid w:val="004E4C55"/>
    <w:rsid w:val="004E4D2F"/>
    <w:rsid w:val="004E4EB3"/>
    <w:rsid w:val="004E53C8"/>
    <w:rsid w:val="004E7209"/>
    <w:rsid w:val="004F0563"/>
    <w:rsid w:val="004F068A"/>
    <w:rsid w:val="004F1555"/>
    <w:rsid w:val="004F18FA"/>
    <w:rsid w:val="004F1959"/>
    <w:rsid w:val="004F1BF2"/>
    <w:rsid w:val="004F1D6A"/>
    <w:rsid w:val="004F29C6"/>
    <w:rsid w:val="004F3B1E"/>
    <w:rsid w:val="004F4339"/>
    <w:rsid w:val="004F4EA7"/>
    <w:rsid w:val="004F5308"/>
    <w:rsid w:val="004F6403"/>
    <w:rsid w:val="004F785A"/>
    <w:rsid w:val="005029F1"/>
    <w:rsid w:val="0050464F"/>
    <w:rsid w:val="005049F1"/>
    <w:rsid w:val="00504B26"/>
    <w:rsid w:val="00504EE6"/>
    <w:rsid w:val="00504F86"/>
    <w:rsid w:val="00510ABA"/>
    <w:rsid w:val="0051100D"/>
    <w:rsid w:val="005138C2"/>
    <w:rsid w:val="00513F7A"/>
    <w:rsid w:val="00515382"/>
    <w:rsid w:val="00515D3C"/>
    <w:rsid w:val="00515E39"/>
    <w:rsid w:val="00516A1E"/>
    <w:rsid w:val="00520750"/>
    <w:rsid w:val="00522BB9"/>
    <w:rsid w:val="00522CF1"/>
    <w:rsid w:val="005230EC"/>
    <w:rsid w:val="005240D6"/>
    <w:rsid w:val="00524F3F"/>
    <w:rsid w:val="00526528"/>
    <w:rsid w:val="005267C8"/>
    <w:rsid w:val="0053022C"/>
    <w:rsid w:val="00530345"/>
    <w:rsid w:val="00530C9E"/>
    <w:rsid w:val="005310B9"/>
    <w:rsid w:val="00531215"/>
    <w:rsid w:val="00531899"/>
    <w:rsid w:val="00534DA7"/>
    <w:rsid w:val="00535319"/>
    <w:rsid w:val="005354ED"/>
    <w:rsid w:val="005365D2"/>
    <w:rsid w:val="00536F83"/>
    <w:rsid w:val="0053738A"/>
    <w:rsid w:val="00537826"/>
    <w:rsid w:val="00537E49"/>
    <w:rsid w:val="00540EFE"/>
    <w:rsid w:val="00542959"/>
    <w:rsid w:val="00543207"/>
    <w:rsid w:val="005436AA"/>
    <w:rsid w:val="005478F0"/>
    <w:rsid w:val="005507B5"/>
    <w:rsid w:val="0055269F"/>
    <w:rsid w:val="005528A6"/>
    <w:rsid w:val="005554ED"/>
    <w:rsid w:val="00555E34"/>
    <w:rsid w:val="0055752A"/>
    <w:rsid w:val="00561227"/>
    <w:rsid w:val="00561232"/>
    <w:rsid w:val="00561B85"/>
    <w:rsid w:val="00561EF4"/>
    <w:rsid w:val="00563F91"/>
    <w:rsid w:val="00564A9F"/>
    <w:rsid w:val="00564D62"/>
    <w:rsid w:val="0056532D"/>
    <w:rsid w:val="005654D6"/>
    <w:rsid w:val="00565B94"/>
    <w:rsid w:val="00565BCD"/>
    <w:rsid w:val="00565D1A"/>
    <w:rsid w:val="0056608D"/>
    <w:rsid w:val="005660D6"/>
    <w:rsid w:val="00571CEC"/>
    <w:rsid w:val="00573EB3"/>
    <w:rsid w:val="00574706"/>
    <w:rsid w:val="005751EF"/>
    <w:rsid w:val="00580D49"/>
    <w:rsid w:val="00581221"/>
    <w:rsid w:val="00581C3A"/>
    <w:rsid w:val="005840A3"/>
    <w:rsid w:val="00584BE5"/>
    <w:rsid w:val="0058742E"/>
    <w:rsid w:val="00590102"/>
    <w:rsid w:val="00590A14"/>
    <w:rsid w:val="0059110B"/>
    <w:rsid w:val="00591CEB"/>
    <w:rsid w:val="00591E06"/>
    <w:rsid w:val="0059275E"/>
    <w:rsid w:val="00592B22"/>
    <w:rsid w:val="00592B29"/>
    <w:rsid w:val="00593C79"/>
    <w:rsid w:val="00594663"/>
    <w:rsid w:val="0059499E"/>
    <w:rsid w:val="00595191"/>
    <w:rsid w:val="00595CEE"/>
    <w:rsid w:val="00595E60"/>
    <w:rsid w:val="00596CA1"/>
    <w:rsid w:val="00597208"/>
    <w:rsid w:val="005A07B4"/>
    <w:rsid w:val="005A2193"/>
    <w:rsid w:val="005A243A"/>
    <w:rsid w:val="005A2E38"/>
    <w:rsid w:val="005A2EF3"/>
    <w:rsid w:val="005A3F38"/>
    <w:rsid w:val="005A7A5A"/>
    <w:rsid w:val="005B05A2"/>
    <w:rsid w:val="005B07C3"/>
    <w:rsid w:val="005B2B7A"/>
    <w:rsid w:val="005B3008"/>
    <w:rsid w:val="005B33FC"/>
    <w:rsid w:val="005B38F8"/>
    <w:rsid w:val="005B3FF1"/>
    <w:rsid w:val="005B452F"/>
    <w:rsid w:val="005B5679"/>
    <w:rsid w:val="005B77FD"/>
    <w:rsid w:val="005C07CD"/>
    <w:rsid w:val="005C0C0A"/>
    <w:rsid w:val="005C3C5D"/>
    <w:rsid w:val="005C58F2"/>
    <w:rsid w:val="005C5C5E"/>
    <w:rsid w:val="005C6837"/>
    <w:rsid w:val="005D055A"/>
    <w:rsid w:val="005D3411"/>
    <w:rsid w:val="005D3BF9"/>
    <w:rsid w:val="005D40D0"/>
    <w:rsid w:val="005D40D5"/>
    <w:rsid w:val="005D50FD"/>
    <w:rsid w:val="005D7ED1"/>
    <w:rsid w:val="005E0FBA"/>
    <w:rsid w:val="005E10F6"/>
    <w:rsid w:val="005E1725"/>
    <w:rsid w:val="005E2EA5"/>
    <w:rsid w:val="005E3CCD"/>
    <w:rsid w:val="005E4A9D"/>
    <w:rsid w:val="005E4D94"/>
    <w:rsid w:val="005E55B7"/>
    <w:rsid w:val="005E71E1"/>
    <w:rsid w:val="005F23C4"/>
    <w:rsid w:val="005F261F"/>
    <w:rsid w:val="005F2DB5"/>
    <w:rsid w:val="005F47DB"/>
    <w:rsid w:val="005F47E1"/>
    <w:rsid w:val="005F4C7F"/>
    <w:rsid w:val="005F554C"/>
    <w:rsid w:val="005F658A"/>
    <w:rsid w:val="005F72CF"/>
    <w:rsid w:val="005F7C89"/>
    <w:rsid w:val="005F7C97"/>
    <w:rsid w:val="005F7D86"/>
    <w:rsid w:val="00603232"/>
    <w:rsid w:val="0060487E"/>
    <w:rsid w:val="00606122"/>
    <w:rsid w:val="00611204"/>
    <w:rsid w:val="006113C4"/>
    <w:rsid w:val="00611D05"/>
    <w:rsid w:val="00615F11"/>
    <w:rsid w:val="00616630"/>
    <w:rsid w:val="00617728"/>
    <w:rsid w:val="006204F1"/>
    <w:rsid w:val="006213BE"/>
    <w:rsid w:val="006233EE"/>
    <w:rsid w:val="00624246"/>
    <w:rsid w:val="006244F1"/>
    <w:rsid w:val="006248DC"/>
    <w:rsid w:val="00624C40"/>
    <w:rsid w:val="00627052"/>
    <w:rsid w:val="00627371"/>
    <w:rsid w:val="006274B7"/>
    <w:rsid w:val="006276FE"/>
    <w:rsid w:val="00627DF1"/>
    <w:rsid w:val="006313D2"/>
    <w:rsid w:val="00632BFD"/>
    <w:rsid w:val="00633A8D"/>
    <w:rsid w:val="00633AEF"/>
    <w:rsid w:val="0063531C"/>
    <w:rsid w:val="006362D7"/>
    <w:rsid w:val="00636EC6"/>
    <w:rsid w:val="00642366"/>
    <w:rsid w:val="00642C96"/>
    <w:rsid w:val="006434AF"/>
    <w:rsid w:val="006439A7"/>
    <w:rsid w:val="006447E8"/>
    <w:rsid w:val="00644BE8"/>
    <w:rsid w:val="0064577A"/>
    <w:rsid w:val="00646828"/>
    <w:rsid w:val="006477FA"/>
    <w:rsid w:val="006504E4"/>
    <w:rsid w:val="00651851"/>
    <w:rsid w:val="00651A04"/>
    <w:rsid w:val="00652DCE"/>
    <w:rsid w:val="00653F4C"/>
    <w:rsid w:val="00654ADC"/>
    <w:rsid w:val="00654E2F"/>
    <w:rsid w:val="006556EF"/>
    <w:rsid w:val="00655AE8"/>
    <w:rsid w:val="0065665E"/>
    <w:rsid w:val="0065665F"/>
    <w:rsid w:val="00657219"/>
    <w:rsid w:val="006603C5"/>
    <w:rsid w:val="00660EED"/>
    <w:rsid w:val="00662407"/>
    <w:rsid w:val="00662B21"/>
    <w:rsid w:val="00666A6C"/>
    <w:rsid w:val="00667049"/>
    <w:rsid w:val="00667063"/>
    <w:rsid w:val="006700E3"/>
    <w:rsid w:val="006706D8"/>
    <w:rsid w:val="00671868"/>
    <w:rsid w:val="00671C20"/>
    <w:rsid w:val="00671E62"/>
    <w:rsid w:val="0067235A"/>
    <w:rsid w:val="0067244F"/>
    <w:rsid w:val="0067270E"/>
    <w:rsid w:val="0067285F"/>
    <w:rsid w:val="00672A2C"/>
    <w:rsid w:val="00673520"/>
    <w:rsid w:val="00673BDD"/>
    <w:rsid w:val="00673C55"/>
    <w:rsid w:val="00673F1D"/>
    <w:rsid w:val="00673F75"/>
    <w:rsid w:val="00674AE7"/>
    <w:rsid w:val="00674CF9"/>
    <w:rsid w:val="0067574B"/>
    <w:rsid w:val="006760BD"/>
    <w:rsid w:val="006769C6"/>
    <w:rsid w:val="00677F5A"/>
    <w:rsid w:val="00683560"/>
    <w:rsid w:val="00683DDD"/>
    <w:rsid w:val="00683F8A"/>
    <w:rsid w:val="00685D26"/>
    <w:rsid w:val="006864DD"/>
    <w:rsid w:val="00686B0A"/>
    <w:rsid w:val="006875D9"/>
    <w:rsid w:val="00690662"/>
    <w:rsid w:val="00691249"/>
    <w:rsid w:val="00691645"/>
    <w:rsid w:val="006920E5"/>
    <w:rsid w:val="00693041"/>
    <w:rsid w:val="00693224"/>
    <w:rsid w:val="00694403"/>
    <w:rsid w:val="00695054"/>
    <w:rsid w:val="00695E28"/>
    <w:rsid w:val="00697233"/>
    <w:rsid w:val="00697F9B"/>
    <w:rsid w:val="006A1459"/>
    <w:rsid w:val="006A2951"/>
    <w:rsid w:val="006A3352"/>
    <w:rsid w:val="006A401B"/>
    <w:rsid w:val="006A724F"/>
    <w:rsid w:val="006A768E"/>
    <w:rsid w:val="006A7956"/>
    <w:rsid w:val="006A7BC4"/>
    <w:rsid w:val="006B0917"/>
    <w:rsid w:val="006B1AC9"/>
    <w:rsid w:val="006B29F9"/>
    <w:rsid w:val="006B2A96"/>
    <w:rsid w:val="006B5381"/>
    <w:rsid w:val="006B579A"/>
    <w:rsid w:val="006B583C"/>
    <w:rsid w:val="006B5CD7"/>
    <w:rsid w:val="006B6725"/>
    <w:rsid w:val="006B6ABF"/>
    <w:rsid w:val="006B72BC"/>
    <w:rsid w:val="006C06A6"/>
    <w:rsid w:val="006C0FA2"/>
    <w:rsid w:val="006C10D3"/>
    <w:rsid w:val="006C219A"/>
    <w:rsid w:val="006C2260"/>
    <w:rsid w:val="006C280B"/>
    <w:rsid w:val="006C2883"/>
    <w:rsid w:val="006C49C8"/>
    <w:rsid w:val="006C4CFF"/>
    <w:rsid w:val="006C50BA"/>
    <w:rsid w:val="006C50C6"/>
    <w:rsid w:val="006C6414"/>
    <w:rsid w:val="006C6516"/>
    <w:rsid w:val="006C661D"/>
    <w:rsid w:val="006C7833"/>
    <w:rsid w:val="006D0103"/>
    <w:rsid w:val="006D076D"/>
    <w:rsid w:val="006D07C0"/>
    <w:rsid w:val="006D083F"/>
    <w:rsid w:val="006D11A9"/>
    <w:rsid w:val="006D2BF6"/>
    <w:rsid w:val="006D35EF"/>
    <w:rsid w:val="006D396A"/>
    <w:rsid w:val="006D3E73"/>
    <w:rsid w:val="006D5FAD"/>
    <w:rsid w:val="006D5FDE"/>
    <w:rsid w:val="006D666C"/>
    <w:rsid w:val="006E0037"/>
    <w:rsid w:val="006E23C8"/>
    <w:rsid w:val="006E29B4"/>
    <w:rsid w:val="006E2D24"/>
    <w:rsid w:val="006E3737"/>
    <w:rsid w:val="006E397A"/>
    <w:rsid w:val="006E3F02"/>
    <w:rsid w:val="006E4D19"/>
    <w:rsid w:val="006E55BD"/>
    <w:rsid w:val="006E5CC9"/>
    <w:rsid w:val="006E6476"/>
    <w:rsid w:val="006E6495"/>
    <w:rsid w:val="006E6876"/>
    <w:rsid w:val="006E6A8D"/>
    <w:rsid w:val="006E6FB7"/>
    <w:rsid w:val="006E7ADC"/>
    <w:rsid w:val="006F1CBD"/>
    <w:rsid w:val="006F2545"/>
    <w:rsid w:val="006F30EB"/>
    <w:rsid w:val="006F3837"/>
    <w:rsid w:val="006F4D60"/>
    <w:rsid w:val="006F63E5"/>
    <w:rsid w:val="006F71DF"/>
    <w:rsid w:val="006F7826"/>
    <w:rsid w:val="00700B8D"/>
    <w:rsid w:val="00700C45"/>
    <w:rsid w:val="007032EB"/>
    <w:rsid w:val="00703635"/>
    <w:rsid w:val="00703765"/>
    <w:rsid w:val="00704074"/>
    <w:rsid w:val="007041D9"/>
    <w:rsid w:val="007048D3"/>
    <w:rsid w:val="0070555A"/>
    <w:rsid w:val="007060AF"/>
    <w:rsid w:val="00706311"/>
    <w:rsid w:val="007070F5"/>
    <w:rsid w:val="00710C72"/>
    <w:rsid w:val="00711497"/>
    <w:rsid w:val="007117C2"/>
    <w:rsid w:val="00712297"/>
    <w:rsid w:val="007130C0"/>
    <w:rsid w:val="00715145"/>
    <w:rsid w:val="00715C86"/>
    <w:rsid w:val="00720964"/>
    <w:rsid w:val="00720F13"/>
    <w:rsid w:val="007212C9"/>
    <w:rsid w:val="00721445"/>
    <w:rsid w:val="00722511"/>
    <w:rsid w:val="0072388D"/>
    <w:rsid w:val="00724210"/>
    <w:rsid w:val="007246D9"/>
    <w:rsid w:val="00724B70"/>
    <w:rsid w:val="00724B74"/>
    <w:rsid w:val="00726558"/>
    <w:rsid w:val="00726AB2"/>
    <w:rsid w:val="00726AB4"/>
    <w:rsid w:val="00726E24"/>
    <w:rsid w:val="00727A57"/>
    <w:rsid w:val="00730B21"/>
    <w:rsid w:val="00731A97"/>
    <w:rsid w:val="0073286C"/>
    <w:rsid w:val="007333D7"/>
    <w:rsid w:val="00734852"/>
    <w:rsid w:val="00735072"/>
    <w:rsid w:val="0073524D"/>
    <w:rsid w:val="00735527"/>
    <w:rsid w:val="00741423"/>
    <w:rsid w:val="00741C46"/>
    <w:rsid w:val="00742D1A"/>
    <w:rsid w:val="00743920"/>
    <w:rsid w:val="00744B49"/>
    <w:rsid w:val="007451B6"/>
    <w:rsid w:val="00747271"/>
    <w:rsid w:val="00747D2A"/>
    <w:rsid w:val="007509E7"/>
    <w:rsid w:val="00750A15"/>
    <w:rsid w:val="00750B17"/>
    <w:rsid w:val="00750E65"/>
    <w:rsid w:val="00751BD8"/>
    <w:rsid w:val="00751E37"/>
    <w:rsid w:val="0075259A"/>
    <w:rsid w:val="007526DE"/>
    <w:rsid w:val="00752B2E"/>
    <w:rsid w:val="00753C8E"/>
    <w:rsid w:val="00756D04"/>
    <w:rsid w:val="00756D21"/>
    <w:rsid w:val="0075758F"/>
    <w:rsid w:val="0076224F"/>
    <w:rsid w:val="00762D05"/>
    <w:rsid w:val="00764969"/>
    <w:rsid w:val="00767493"/>
    <w:rsid w:val="00770C02"/>
    <w:rsid w:val="00774689"/>
    <w:rsid w:val="0077475F"/>
    <w:rsid w:val="00774BB4"/>
    <w:rsid w:val="0077501D"/>
    <w:rsid w:val="007757C2"/>
    <w:rsid w:val="007759A8"/>
    <w:rsid w:val="00775ADD"/>
    <w:rsid w:val="00775F17"/>
    <w:rsid w:val="00781C1D"/>
    <w:rsid w:val="007822D8"/>
    <w:rsid w:val="007834E0"/>
    <w:rsid w:val="00785BA6"/>
    <w:rsid w:val="00785CA8"/>
    <w:rsid w:val="007863DD"/>
    <w:rsid w:val="00786E13"/>
    <w:rsid w:val="00787465"/>
    <w:rsid w:val="00790396"/>
    <w:rsid w:val="00790E91"/>
    <w:rsid w:val="007925BB"/>
    <w:rsid w:val="007931D1"/>
    <w:rsid w:val="00793911"/>
    <w:rsid w:val="007962D0"/>
    <w:rsid w:val="007972BA"/>
    <w:rsid w:val="007A0730"/>
    <w:rsid w:val="007A16A7"/>
    <w:rsid w:val="007A33EF"/>
    <w:rsid w:val="007A35D1"/>
    <w:rsid w:val="007A42BD"/>
    <w:rsid w:val="007A5879"/>
    <w:rsid w:val="007A617B"/>
    <w:rsid w:val="007B081F"/>
    <w:rsid w:val="007B1F15"/>
    <w:rsid w:val="007B2973"/>
    <w:rsid w:val="007B33ED"/>
    <w:rsid w:val="007B350D"/>
    <w:rsid w:val="007B46CA"/>
    <w:rsid w:val="007B57C1"/>
    <w:rsid w:val="007B60DB"/>
    <w:rsid w:val="007B64A6"/>
    <w:rsid w:val="007B7136"/>
    <w:rsid w:val="007B748F"/>
    <w:rsid w:val="007C02FA"/>
    <w:rsid w:val="007C369A"/>
    <w:rsid w:val="007C3C2A"/>
    <w:rsid w:val="007C57B3"/>
    <w:rsid w:val="007C707D"/>
    <w:rsid w:val="007D24DC"/>
    <w:rsid w:val="007D273A"/>
    <w:rsid w:val="007D294C"/>
    <w:rsid w:val="007D39E3"/>
    <w:rsid w:val="007D68F5"/>
    <w:rsid w:val="007E0440"/>
    <w:rsid w:val="007E07DA"/>
    <w:rsid w:val="007E124B"/>
    <w:rsid w:val="007E1E69"/>
    <w:rsid w:val="007E2333"/>
    <w:rsid w:val="007E357B"/>
    <w:rsid w:val="007E3583"/>
    <w:rsid w:val="007E3DF9"/>
    <w:rsid w:val="007E4948"/>
    <w:rsid w:val="007E5760"/>
    <w:rsid w:val="007E5AC0"/>
    <w:rsid w:val="007E7176"/>
    <w:rsid w:val="007E73DA"/>
    <w:rsid w:val="007E7934"/>
    <w:rsid w:val="007E7B9A"/>
    <w:rsid w:val="007F0159"/>
    <w:rsid w:val="007F1298"/>
    <w:rsid w:val="007F33C9"/>
    <w:rsid w:val="007F3855"/>
    <w:rsid w:val="007F3EEE"/>
    <w:rsid w:val="007F4FFC"/>
    <w:rsid w:val="007F5FF7"/>
    <w:rsid w:val="008000D7"/>
    <w:rsid w:val="00802457"/>
    <w:rsid w:val="00802A3F"/>
    <w:rsid w:val="00802A98"/>
    <w:rsid w:val="00804D57"/>
    <w:rsid w:val="00805FBA"/>
    <w:rsid w:val="0080612C"/>
    <w:rsid w:val="00806AF8"/>
    <w:rsid w:val="008078A4"/>
    <w:rsid w:val="0080790A"/>
    <w:rsid w:val="0081051A"/>
    <w:rsid w:val="00810C61"/>
    <w:rsid w:val="0081206A"/>
    <w:rsid w:val="00812517"/>
    <w:rsid w:val="00812D61"/>
    <w:rsid w:val="008139E3"/>
    <w:rsid w:val="00815F04"/>
    <w:rsid w:val="008176E9"/>
    <w:rsid w:val="00820B54"/>
    <w:rsid w:val="008214CA"/>
    <w:rsid w:val="008215EC"/>
    <w:rsid w:val="008218CB"/>
    <w:rsid w:val="00821C25"/>
    <w:rsid w:val="00822F60"/>
    <w:rsid w:val="0082356F"/>
    <w:rsid w:val="0082392B"/>
    <w:rsid w:val="00823EDE"/>
    <w:rsid w:val="00824E01"/>
    <w:rsid w:val="00825250"/>
    <w:rsid w:val="00827CB7"/>
    <w:rsid w:val="00827E14"/>
    <w:rsid w:val="00830590"/>
    <w:rsid w:val="008308C3"/>
    <w:rsid w:val="008316E0"/>
    <w:rsid w:val="00831E37"/>
    <w:rsid w:val="008329DB"/>
    <w:rsid w:val="008336E0"/>
    <w:rsid w:val="00833F7D"/>
    <w:rsid w:val="00836632"/>
    <w:rsid w:val="008371B3"/>
    <w:rsid w:val="00837A0D"/>
    <w:rsid w:val="00837CC7"/>
    <w:rsid w:val="00845C2A"/>
    <w:rsid w:val="008474F0"/>
    <w:rsid w:val="00847AF9"/>
    <w:rsid w:val="0085002D"/>
    <w:rsid w:val="00850247"/>
    <w:rsid w:val="00850BB7"/>
    <w:rsid w:val="00850D64"/>
    <w:rsid w:val="00851EC6"/>
    <w:rsid w:val="0085203F"/>
    <w:rsid w:val="00852711"/>
    <w:rsid w:val="00855BA9"/>
    <w:rsid w:val="00856A31"/>
    <w:rsid w:val="00857703"/>
    <w:rsid w:val="00862B2A"/>
    <w:rsid w:val="008632C8"/>
    <w:rsid w:val="00863D2D"/>
    <w:rsid w:val="00863D64"/>
    <w:rsid w:val="008648C4"/>
    <w:rsid w:val="00864DF4"/>
    <w:rsid w:val="00864EFE"/>
    <w:rsid w:val="00865128"/>
    <w:rsid w:val="008652BD"/>
    <w:rsid w:val="008656DD"/>
    <w:rsid w:val="00865CD6"/>
    <w:rsid w:val="00865D3E"/>
    <w:rsid w:val="008666EA"/>
    <w:rsid w:val="00866CF9"/>
    <w:rsid w:val="00867CF6"/>
    <w:rsid w:val="008705B3"/>
    <w:rsid w:val="00871BCF"/>
    <w:rsid w:val="00873235"/>
    <w:rsid w:val="0087339D"/>
    <w:rsid w:val="00874336"/>
    <w:rsid w:val="00874EED"/>
    <w:rsid w:val="008759C1"/>
    <w:rsid w:val="0087612B"/>
    <w:rsid w:val="00876154"/>
    <w:rsid w:val="00876642"/>
    <w:rsid w:val="008778C0"/>
    <w:rsid w:val="00883491"/>
    <w:rsid w:val="00884190"/>
    <w:rsid w:val="00884527"/>
    <w:rsid w:val="00886029"/>
    <w:rsid w:val="008907D5"/>
    <w:rsid w:val="008912AA"/>
    <w:rsid w:val="008929AE"/>
    <w:rsid w:val="00893F11"/>
    <w:rsid w:val="00895091"/>
    <w:rsid w:val="00895922"/>
    <w:rsid w:val="00895FEC"/>
    <w:rsid w:val="008A0643"/>
    <w:rsid w:val="008A06F0"/>
    <w:rsid w:val="008A422A"/>
    <w:rsid w:val="008A4478"/>
    <w:rsid w:val="008A53AC"/>
    <w:rsid w:val="008A5A44"/>
    <w:rsid w:val="008A6799"/>
    <w:rsid w:val="008A6A99"/>
    <w:rsid w:val="008A6ADC"/>
    <w:rsid w:val="008A7A03"/>
    <w:rsid w:val="008B0111"/>
    <w:rsid w:val="008B3B81"/>
    <w:rsid w:val="008B5597"/>
    <w:rsid w:val="008B5A07"/>
    <w:rsid w:val="008C1CAE"/>
    <w:rsid w:val="008C363A"/>
    <w:rsid w:val="008C3F71"/>
    <w:rsid w:val="008C5A92"/>
    <w:rsid w:val="008C5FD1"/>
    <w:rsid w:val="008C64F4"/>
    <w:rsid w:val="008C65AD"/>
    <w:rsid w:val="008C75A8"/>
    <w:rsid w:val="008D0C7A"/>
    <w:rsid w:val="008D2456"/>
    <w:rsid w:val="008D2F71"/>
    <w:rsid w:val="008D3761"/>
    <w:rsid w:val="008D37B1"/>
    <w:rsid w:val="008D3AFD"/>
    <w:rsid w:val="008D5F75"/>
    <w:rsid w:val="008D67CE"/>
    <w:rsid w:val="008E0238"/>
    <w:rsid w:val="008E2158"/>
    <w:rsid w:val="008E22DE"/>
    <w:rsid w:val="008E2C25"/>
    <w:rsid w:val="008E2FCA"/>
    <w:rsid w:val="008E300F"/>
    <w:rsid w:val="008E3297"/>
    <w:rsid w:val="008E3D8E"/>
    <w:rsid w:val="008E4592"/>
    <w:rsid w:val="008E5E2C"/>
    <w:rsid w:val="008E70BA"/>
    <w:rsid w:val="008E7492"/>
    <w:rsid w:val="008E7D37"/>
    <w:rsid w:val="008F0F05"/>
    <w:rsid w:val="008F1465"/>
    <w:rsid w:val="008F2F4B"/>
    <w:rsid w:val="008F30A6"/>
    <w:rsid w:val="008F3D8F"/>
    <w:rsid w:val="008F43B3"/>
    <w:rsid w:val="008F4735"/>
    <w:rsid w:val="008F4DD4"/>
    <w:rsid w:val="008F5578"/>
    <w:rsid w:val="008F5A9A"/>
    <w:rsid w:val="008F5AD3"/>
    <w:rsid w:val="008F753D"/>
    <w:rsid w:val="008F7DC3"/>
    <w:rsid w:val="00900544"/>
    <w:rsid w:val="00901067"/>
    <w:rsid w:val="00901CF4"/>
    <w:rsid w:val="009044B1"/>
    <w:rsid w:val="00905047"/>
    <w:rsid w:val="00905981"/>
    <w:rsid w:val="00905D99"/>
    <w:rsid w:val="00905F74"/>
    <w:rsid w:val="00907436"/>
    <w:rsid w:val="009076FB"/>
    <w:rsid w:val="00907A30"/>
    <w:rsid w:val="00907E2F"/>
    <w:rsid w:val="00907E42"/>
    <w:rsid w:val="00910A37"/>
    <w:rsid w:val="00911449"/>
    <w:rsid w:val="009114E5"/>
    <w:rsid w:val="00914C53"/>
    <w:rsid w:val="00915A19"/>
    <w:rsid w:val="009162CD"/>
    <w:rsid w:val="009167CC"/>
    <w:rsid w:val="00916817"/>
    <w:rsid w:val="00916AD4"/>
    <w:rsid w:val="00920864"/>
    <w:rsid w:val="00921922"/>
    <w:rsid w:val="00921E1F"/>
    <w:rsid w:val="00921FAD"/>
    <w:rsid w:val="00922F54"/>
    <w:rsid w:val="009231E9"/>
    <w:rsid w:val="009249E6"/>
    <w:rsid w:val="00927380"/>
    <w:rsid w:val="0092752F"/>
    <w:rsid w:val="00930BB2"/>
    <w:rsid w:val="009326A5"/>
    <w:rsid w:val="009338FB"/>
    <w:rsid w:val="00933CC7"/>
    <w:rsid w:val="00934E80"/>
    <w:rsid w:val="0093765D"/>
    <w:rsid w:val="009400A1"/>
    <w:rsid w:val="00942013"/>
    <w:rsid w:val="0094231F"/>
    <w:rsid w:val="00945105"/>
    <w:rsid w:val="00945A93"/>
    <w:rsid w:val="00945BE4"/>
    <w:rsid w:val="00945E2C"/>
    <w:rsid w:val="009462C2"/>
    <w:rsid w:val="0094728A"/>
    <w:rsid w:val="0094785A"/>
    <w:rsid w:val="0095063E"/>
    <w:rsid w:val="00950FB6"/>
    <w:rsid w:val="00951A6B"/>
    <w:rsid w:val="00951D76"/>
    <w:rsid w:val="009522B3"/>
    <w:rsid w:val="009529ED"/>
    <w:rsid w:val="00952AF5"/>
    <w:rsid w:val="009539A7"/>
    <w:rsid w:val="00954668"/>
    <w:rsid w:val="00954E65"/>
    <w:rsid w:val="00955C7C"/>
    <w:rsid w:val="00956557"/>
    <w:rsid w:val="0095667D"/>
    <w:rsid w:val="00956A3B"/>
    <w:rsid w:val="00956AF9"/>
    <w:rsid w:val="00956E00"/>
    <w:rsid w:val="009610B8"/>
    <w:rsid w:val="0096363D"/>
    <w:rsid w:val="009641CD"/>
    <w:rsid w:val="009658E1"/>
    <w:rsid w:val="00965CBE"/>
    <w:rsid w:val="009669A0"/>
    <w:rsid w:val="00967C0A"/>
    <w:rsid w:val="0097031E"/>
    <w:rsid w:val="009715F9"/>
    <w:rsid w:val="00971A7F"/>
    <w:rsid w:val="00974810"/>
    <w:rsid w:val="009800C1"/>
    <w:rsid w:val="009810D5"/>
    <w:rsid w:val="0098127F"/>
    <w:rsid w:val="0098267A"/>
    <w:rsid w:val="00982A3D"/>
    <w:rsid w:val="00982C8F"/>
    <w:rsid w:val="00982FD1"/>
    <w:rsid w:val="009831A0"/>
    <w:rsid w:val="00983A51"/>
    <w:rsid w:val="00984B33"/>
    <w:rsid w:val="00985051"/>
    <w:rsid w:val="0098590D"/>
    <w:rsid w:val="00985CE3"/>
    <w:rsid w:val="00985D1B"/>
    <w:rsid w:val="00985DAD"/>
    <w:rsid w:val="00985DFA"/>
    <w:rsid w:val="00991C5E"/>
    <w:rsid w:val="00992BA6"/>
    <w:rsid w:val="0099300B"/>
    <w:rsid w:val="00993B7D"/>
    <w:rsid w:val="00997181"/>
    <w:rsid w:val="009972DD"/>
    <w:rsid w:val="00997BEF"/>
    <w:rsid w:val="009A19E1"/>
    <w:rsid w:val="009A1F20"/>
    <w:rsid w:val="009A23D2"/>
    <w:rsid w:val="009A30D9"/>
    <w:rsid w:val="009A569B"/>
    <w:rsid w:val="009A5F93"/>
    <w:rsid w:val="009A6123"/>
    <w:rsid w:val="009A6B12"/>
    <w:rsid w:val="009A77E7"/>
    <w:rsid w:val="009A7904"/>
    <w:rsid w:val="009A79B9"/>
    <w:rsid w:val="009B17C6"/>
    <w:rsid w:val="009B1B7D"/>
    <w:rsid w:val="009B1FAC"/>
    <w:rsid w:val="009B2CC3"/>
    <w:rsid w:val="009B5264"/>
    <w:rsid w:val="009B59D0"/>
    <w:rsid w:val="009B715F"/>
    <w:rsid w:val="009B76BC"/>
    <w:rsid w:val="009B7C0A"/>
    <w:rsid w:val="009B7EAB"/>
    <w:rsid w:val="009C0CFC"/>
    <w:rsid w:val="009C1C80"/>
    <w:rsid w:val="009C323D"/>
    <w:rsid w:val="009C39F3"/>
    <w:rsid w:val="009C537B"/>
    <w:rsid w:val="009C6C1C"/>
    <w:rsid w:val="009D05C2"/>
    <w:rsid w:val="009D3A0C"/>
    <w:rsid w:val="009D475D"/>
    <w:rsid w:val="009D6409"/>
    <w:rsid w:val="009D6475"/>
    <w:rsid w:val="009E1CD2"/>
    <w:rsid w:val="009E2710"/>
    <w:rsid w:val="009E4E02"/>
    <w:rsid w:val="009E5862"/>
    <w:rsid w:val="009E5E8E"/>
    <w:rsid w:val="009E74B1"/>
    <w:rsid w:val="009F03DB"/>
    <w:rsid w:val="009F171E"/>
    <w:rsid w:val="009F340C"/>
    <w:rsid w:val="009F663F"/>
    <w:rsid w:val="009F6909"/>
    <w:rsid w:val="009F6F32"/>
    <w:rsid w:val="009F7D2B"/>
    <w:rsid w:val="00A008E1"/>
    <w:rsid w:val="00A01E38"/>
    <w:rsid w:val="00A0240C"/>
    <w:rsid w:val="00A062AB"/>
    <w:rsid w:val="00A073A6"/>
    <w:rsid w:val="00A07997"/>
    <w:rsid w:val="00A07D3F"/>
    <w:rsid w:val="00A11AD5"/>
    <w:rsid w:val="00A11C18"/>
    <w:rsid w:val="00A12A25"/>
    <w:rsid w:val="00A12AED"/>
    <w:rsid w:val="00A13F4E"/>
    <w:rsid w:val="00A14426"/>
    <w:rsid w:val="00A154A3"/>
    <w:rsid w:val="00A160F4"/>
    <w:rsid w:val="00A170A6"/>
    <w:rsid w:val="00A2306A"/>
    <w:rsid w:val="00A255D4"/>
    <w:rsid w:val="00A25D38"/>
    <w:rsid w:val="00A26D4B"/>
    <w:rsid w:val="00A27398"/>
    <w:rsid w:val="00A27453"/>
    <w:rsid w:val="00A27CAD"/>
    <w:rsid w:val="00A32245"/>
    <w:rsid w:val="00A3252D"/>
    <w:rsid w:val="00A35CCD"/>
    <w:rsid w:val="00A36543"/>
    <w:rsid w:val="00A40648"/>
    <w:rsid w:val="00A41C84"/>
    <w:rsid w:val="00A42F36"/>
    <w:rsid w:val="00A42F4C"/>
    <w:rsid w:val="00A4318D"/>
    <w:rsid w:val="00A43ABD"/>
    <w:rsid w:val="00A4474B"/>
    <w:rsid w:val="00A44A26"/>
    <w:rsid w:val="00A44BD4"/>
    <w:rsid w:val="00A45FFF"/>
    <w:rsid w:val="00A4624D"/>
    <w:rsid w:val="00A46962"/>
    <w:rsid w:val="00A472C5"/>
    <w:rsid w:val="00A50798"/>
    <w:rsid w:val="00A51D36"/>
    <w:rsid w:val="00A53125"/>
    <w:rsid w:val="00A53ED2"/>
    <w:rsid w:val="00A5400D"/>
    <w:rsid w:val="00A54095"/>
    <w:rsid w:val="00A54936"/>
    <w:rsid w:val="00A54F13"/>
    <w:rsid w:val="00A551A4"/>
    <w:rsid w:val="00A561CB"/>
    <w:rsid w:val="00A56AC5"/>
    <w:rsid w:val="00A57B2B"/>
    <w:rsid w:val="00A60C76"/>
    <w:rsid w:val="00A61762"/>
    <w:rsid w:val="00A61CCA"/>
    <w:rsid w:val="00A6338F"/>
    <w:rsid w:val="00A633C1"/>
    <w:rsid w:val="00A63D0A"/>
    <w:rsid w:val="00A64DFB"/>
    <w:rsid w:val="00A661B7"/>
    <w:rsid w:val="00A70A57"/>
    <w:rsid w:val="00A70D40"/>
    <w:rsid w:val="00A71410"/>
    <w:rsid w:val="00A717A7"/>
    <w:rsid w:val="00A72075"/>
    <w:rsid w:val="00A72707"/>
    <w:rsid w:val="00A73932"/>
    <w:rsid w:val="00A73A45"/>
    <w:rsid w:val="00A7471E"/>
    <w:rsid w:val="00A74BF5"/>
    <w:rsid w:val="00A7659B"/>
    <w:rsid w:val="00A77D5C"/>
    <w:rsid w:val="00A802F3"/>
    <w:rsid w:val="00A8185F"/>
    <w:rsid w:val="00A81BDF"/>
    <w:rsid w:val="00A821FE"/>
    <w:rsid w:val="00A825E0"/>
    <w:rsid w:val="00A82AE4"/>
    <w:rsid w:val="00A82F3F"/>
    <w:rsid w:val="00A83355"/>
    <w:rsid w:val="00A8387C"/>
    <w:rsid w:val="00A841A8"/>
    <w:rsid w:val="00A85D79"/>
    <w:rsid w:val="00A865FD"/>
    <w:rsid w:val="00A871E2"/>
    <w:rsid w:val="00A87495"/>
    <w:rsid w:val="00A902EB"/>
    <w:rsid w:val="00A90AB8"/>
    <w:rsid w:val="00A91324"/>
    <w:rsid w:val="00A915F4"/>
    <w:rsid w:val="00A91624"/>
    <w:rsid w:val="00A919B0"/>
    <w:rsid w:val="00A91B3F"/>
    <w:rsid w:val="00A91D2E"/>
    <w:rsid w:val="00A93292"/>
    <w:rsid w:val="00A93818"/>
    <w:rsid w:val="00A939A9"/>
    <w:rsid w:val="00A962E7"/>
    <w:rsid w:val="00A96745"/>
    <w:rsid w:val="00A972D4"/>
    <w:rsid w:val="00A979FB"/>
    <w:rsid w:val="00A97CF3"/>
    <w:rsid w:val="00AA0260"/>
    <w:rsid w:val="00AA04C3"/>
    <w:rsid w:val="00AA0AED"/>
    <w:rsid w:val="00AA20FB"/>
    <w:rsid w:val="00AA2C73"/>
    <w:rsid w:val="00AA40E5"/>
    <w:rsid w:val="00AA557D"/>
    <w:rsid w:val="00AA743E"/>
    <w:rsid w:val="00AA763F"/>
    <w:rsid w:val="00AB0042"/>
    <w:rsid w:val="00AB32E7"/>
    <w:rsid w:val="00AB37A3"/>
    <w:rsid w:val="00AB3A81"/>
    <w:rsid w:val="00AB3B62"/>
    <w:rsid w:val="00AB43A7"/>
    <w:rsid w:val="00AB4BAE"/>
    <w:rsid w:val="00AB6252"/>
    <w:rsid w:val="00AB6891"/>
    <w:rsid w:val="00AC0168"/>
    <w:rsid w:val="00AC0E94"/>
    <w:rsid w:val="00AC39BE"/>
    <w:rsid w:val="00AC3ADC"/>
    <w:rsid w:val="00AC3C5E"/>
    <w:rsid w:val="00AC4F03"/>
    <w:rsid w:val="00AC510C"/>
    <w:rsid w:val="00AC5B65"/>
    <w:rsid w:val="00AC60C6"/>
    <w:rsid w:val="00AC66BB"/>
    <w:rsid w:val="00AC7864"/>
    <w:rsid w:val="00AD0DF6"/>
    <w:rsid w:val="00AD1F83"/>
    <w:rsid w:val="00AD29DE"/>
    <w:rsid w:val="00AD3358"/>
    <w:rsid w:val="00AD33D0"/>
    <w:rsid w:val="00AD3D1A"/>
    <w:rsid w:val="00AD5F15"/>
    <w:rsid w:val="00AD72E8"/>
    <w:rsid w:val="00AE1458"/>
    <w:rsid w:val="00AE15DD"/>
    <w:rsid w:val="00AE16E5"/>
    <w:rsid w:val="00AE33C8"/>
    <w:rsid w:val="00AE60D5"/>
    <w:rsid w:val="00AE6AEA"/>
    <w:rsid w:val="00AE6BBF"/>
    <w:rsid w:val="00AE6EFA"/>
    <w:rsid w:val="00AE70E2"/>
    <w:rsid w:val="00AE7451"/>
    <w:rsid w:val="00AF2F6D"/>
    <w:rsid w:val="00AF366F"/>
    <w:rsid w:val="00AF37E8"/>
    <w:rsid w:val="00AF4265"/>
    <w:rsid w:val="00AF444E"/>
    <w:rsid w:val="00AF4D48"/>
    <w:rsid w:val="00AF6641"/>
    <w:rsid w:val="00AF7B07"/>
    <w:rsid w:val="00B0227E"/>
    <w:rsid w:val="00B02E83"/>
    <w:rsid w:val="00B038D5"/>
    <w:rsid w:val="00B03C23"/>
    <w:rsid w:val="00B043EC"/>
    <w:rsid w:val="00B050EC"/>
    <w:rsid w:val="00B11223"/>
    <w:rsid w:val="00B1240A"/>
    <w:rsid w:val="00B137F1"/>
    <w:rsid w:val="00B13EDC"/>
    <w:rsid w:val="00B15735"/>
    <w:rsid w:val="00B1682D"/>
    <w:rsid w:val="00B1759C"/>
    <w:rsid w:val="00B17F62"/>
    <w:rsid w:val="00B208AF"/>
    <w:rsid w:val="00B20A47"/>
    <w:rsid w:val="00B20ACA"/>
    <w:rsid w:val="00B20EC0"/>
    <w:rsid w:val="00B217BD"/>
    <w:rsid w:val="00B21A45"/>
    <w:rsid w:val="00B21CFB"/>
    <w:rsid w:val="00B21F1D"/>
    <w:rsid w:val="00B228E5"/>
    <w:rsid w:val="00B22BF3"/>
    <w:rsid w:val="00B22C25"/>
    <w:rsid w:val="00B2370D"/>
    <w:rsid w:val="00B24BE6"/>
    <w:rsid w:val="00B2506C"/>
    <w:rsid w:val="00B253FA"/>
    <w:rsid w:val="00B258FB"/>
    <w:rsid w:val="00B25A39"/>
    <w:rsid w:val="00B25CC8"/>
    <w:rsid w:val="00B26861"/>
    <w:rsid w:val="00B27CC0"/>
    <w:rsid w:val="00B307FC"/>
    <w:rsid w:val="00B30DE4"/>
    <w:rsid w:val="00B31CBB"/>
    <w:rsid w:val="00B32131"/>
    <w:rsid w:val="00B32894"/>
    <w:rsid w:val="00B32A3F"/>
    <w:rsid w:val="00B32C50"/>
    <w:rsid w:val="00B32D4A"/>
    <w:rsid w:val="00B334FD"/>
    <w:rsid w:val="00B33AD3"/>
    <w:rsid w:val="00B36D42"/>
    <w:rsid w:val="00B37018"/>
    <w:rsid w:val="00B40254"/>
    <w:rsid w:val="00B41160"/>
    <w:rsid w:val="00B416E6"/>
    <w:rsid w:val="00B42D2C"/>
    <w:rsid w:val="00B43885"/>
    <w:rsid w:val="00B46218"/>
    <w:rsid w:val="00B46B9F"/>
    <w:rsid w:val="00B47781"/>
    <w:rsid w:val="00B47D06"/>
    <w:rsid w:val="00B50490"/>
    <w:rsid w:val="00B55C29"/>
    <w:rsid w:val="00B57369"/>
    <w:rsid w:val="00B608EB"/>
    <w:rsid w:val="00B63635"/>
    <w:rsid w:val="00B654FF"/>
    <w:rsid w:val="00B65D37"/>
    <w:rsid w:val="00B66E86"/>
    <w:rsid w:val="00B67C1D"/>
    <w:rsid w:val="00B67E21"/>
    <w:rsid w:val="00B72804"/>
    <w:rsid w:val="00B7411B"/>
    <w:rsid w:val="00B744A9"/>
    <w:rsid w:val="00B802AE"/>
    <w:rsid w:val="00B82A69"/>
    <w:rsid w:val="00B840F7"/>
    <w:rsid w:val="00B85E5E"/>
    <w:rsid w:val="00B86D55"/>
    <w:rsid w:val="00B86E0D"/>
    <w:rsid w:val="00B87A81"/>
    <w:rsid w:val="00B90080"/>
    <w:rsid w:val="00B91868"/>
    <w:rsid w:val="00B92E16"/>
    <w:rsid w:val="00B93BA6"/>
    <w:rsid w:val="00B93C74"/>
    <w:rsid w:val="00B95270"/>
    <w:rsid w:val="00BA0525"/>
    <w:rsid w:val="00BA0768"/>
    <w:rsid w:val="00BA0A8D"/>
    <w:rsid w:val="00BA19A6"/>
    <w:rsid w:val="00BA279D"/>
    <w:rsid w:val="00BA6E6B"/>
    <w:rsid w:val="00BA7BF1"/>
    <w:rsid w:val="00BB0DB8"/>
    <w:rsid w:val="00BB1DE0"/>
    <w:rsid w:val="00BB23A4"/>
    <w:rsid w:val="00BB24E1"/>
    <w:rsid w:val="00BB3556"/>
    <w:rsid w:val="00BB3D1E"/>
    <w:rsid w:val="00BB79D6"/>
    <w:rsid w:val="00BB7B33"/>
    <w:rsid w:val="00BC0826"/>
    <w:rsid w:val="00BC2780"/>
    <w:rsid w:val="00BC3101"/>
    <w:rsid w:val="00BC3E2D"/>
    <w:rsid w:val="00BC6339"/>
    <w:rsid w:val="00BC63C1"/>
    <w:rsid w:val="00BC6890"/>
    <w:rsid w:val="00BC7E5C"/>
    <w:rsid w:val="00BC7F38"/>
    <w:rsid w:val="00BD1103"/>
    <w:rsid w:val="00BD160D"/>
    <w:rsid w:val="00BD1786"/>
    <w:rsid w:val="00BD1BD9"/>
    <w:rsid w:val="00BD20E3"/>
    <w:rsid w:val="00BD3504"/>
    <w:rsid w:val="00BD3551"/>
    <w:rsid w:val="00BD5F1F"/>
    <w:rsid w:val="00BD6C3C"/>
    <w:rsid w:val="00BD734E"/>
    <w:rsid w:val="00BE142B"/>
    <w:rsid w:val="00BE37BC"/>
    <w:rsid w:val="00BE37BD"/>
    <w:rsid w:val="00BE511E"/>
    <w:rsid w:val="00BE576B"/>
    <w:rsid w:val="00BE6B27"/>
    <w:rsid w:val="00BE764D"/>
    <w:rsid w:val="00BE7882"/>
    <w:rsid w:val="00BF0FD9"/>
    <w:rsid w:val="00BF3CF3"/>
    <w:rsid w:val="00BF3D4C"/>
    <w:rsid w:val="00C0202A"/>
    <w:rsid w:val="00C024CF"/>
    <w:rsid w:val="00C0471D"/>
    <w:rsid w:val="00C04912"/>
    <w:rsid w:val="00C077B9"/>
    <w:rsid w:val="00C10C1E"/>
    <w:rsid w:val="00C1155E"/>
    <w:rsid w:val="00C123EB"/>
    <w:rsid w:val="00C1404C"/>
    <w:rsid w:val="00C140BA"/>
    <w:rsid w:val="00C163F8"/>
    <w:rsid w:val="00C17324"/>
    <w:rsid w:val="00C17C4E"/>
    <w:rsid w:val="00C207BF"/>
    <w:rsid w:val="00C20EB6"/>
    <w:rsid w:val="00C21A30"/>
    <w:rsid w:val="00C221FC"/>
    <w:rsid w:val="00C24ECF"/>
    <w:rsid w:val="00C266AD"/>
    <w:rsid w:val="00C26A3C"/>
    <w:rsid w:val="00C26FEA"/>
    <w:rsid w:val="00C2793B"/>
    <w:rsid w:val="00C31CFC"/>
    <w:rsid w:val="00C31DA7"/>
    <w:rsid w:val="00C330F6"/>
    <w:rsid w:val="00C33AC5"/>
    <w:rsid w:val="00C33E0F"/>
    <w:rsid w:val="00C34436"/>
    <w:rsid w:val="00C34D8F"/>
    <w:rsid w:val="00C353C1"/>
    <w:rsid w:val="00C41D7A"/>
    <w:rsid w:val="00C437C9"/>
    <w:rsid w:val="00C441AA"/>
    <w:rsid w:val="00C469DF"/>
    <w:rsid w:val="00C46B7D"/>
    <w:rsid w:val="00C5050D"/>
    <w:rsid w:val="00C509F9"/>
    <w:rsid w:val="00C5116F"/>
    <w:rsid w:val="00C51B36"/>
    <w:rsid w:val="00C54C9E"/>
    <w:rsid w:val="00C54D92"/>
    <w:rsid w:val="00C56837"/>
    <w:rsid w:val="00C57C1D"/>
    <w:rsid w:val="00C57F20"/>
    <w:rsid w:val="00C6037B"/>
    <w:rsid w:val="00C60419"/>
    <w:rsid w:val="00C60993"/>
    <w:rsid w:val="00C60D45"/>
    <w:rsid w:val="00C61120"/>
    <w:rsid w:val="00C6254D"/>
    <w:rsid w:val="00C62A3C"/>
    <w:rsid w:val="00C62D4D"/>
    <w:rsid w:val="00C64E58"/>
    <w:rsid w:val="00C66BDE"/>
    <w:rsid w:val="00C66D15"/>
    <w:rsid w:val="00C673DC"/>
    <w:rsid w:val="00C67C37"/>
    <w:rsid w:val="00C70E08"/>
    <w:rsid w:val="00C70E8B"/>
    <w:rsid w:val="00C71A75"/>
    <w:rsid w:val="00C72B08"/>
    <w:rsid w:val="00C72B44"/>
    <w:rsid w:val="00C738C0"/>
    <w:rsid w:val="00C74D9D"/>
    <w:rsid w:val="00C7659F"/>
    <w:rsid w:val="00C76642"/>
    <w:rsid w:val="00C767F4"/>
    <w:rsid w:val="00C76B1D"/>
    <w:rsid w:val="00C77D8B"/>
    <w:rsid w:val="00C77FAD"/>
    <w:rsid w:val="00C809BD"/>
    <w:rsid w:val="00C80D8D"/>
    <w:rsid w:val="00C819D3"/>
    <w:rsid w:val="00C8249A"/>
    <w:rsid w:val="00C82C95"/>
    <w:rsid w:val="00C844F0"/>
    <w:rsid w:val="00C84AB3"/>
    <w:rsid w:val="00C856EC"/>
    <w:rsid w:val="00C85777"/>
    <w:rsid w:val="00C8592A"/>
    <w:rsid w:val="00C85C1D"/>
    <w:rsid w:val="00C85C91"/>
    <w:rsid w:val="00C91BC5"/>
    <w:rsid w:val="00C92D39"/>
    <w:rsid w:val="00C92D6D"/>
    <w:rsid w:val="00C930AC"/>
    <w:rsid w:val="00C932C0"/>
    <w:rsid w:val="00C95EEE"/>
    <w:rsid w:val="00C96678"/>
    <w:rsid w:val="00C9718C"/>
    <w:rsid w:val="00CA0A2C"/>
    <w:rsid w:val="00CA2531"/>
    <w:rsid w:val="00CA4174"/>
    <w:rsid w:val="00CA4AAA"/>
    <w:rsid w:val="00CA55B0"/>
    <w:rsid w:val="00CA596D"/>
    <w:rsid w:val="00CA59CD"/>
    <w:rsid w:val="00CA5A8C"/>
    <w:rsid w:val="00CA60AC"/>
    <w:rsid w:val="00CA63C3"/>
    <w:rsid w:val="00CA6960"/>
    <w:rsid w:val="00CA6BFC"/>
    <w:rsid w:val="00CB147B"/>
    <w:rsid w:val="00CB4B9A"/>
    <w:rsid w:val="00CB4F41"/>
    <w:rsid w:val="00CB526B"/>
    <w:rsid w:val="00CB5D86"/>
    <w:rsid w:val="00CB6282"/>
    <w:rsid w:val="00CB62C9"/>
    <w:rsid w:val="00CC0589"/>
    <w:rsid w:val="00CC0AED"/>
    <w:rsid w:val="00CC0F43"/>
    <w:rsid w:val="00CC11BA"/>
    <w:rsid w:val="00CC3920"/>
    <w:rsid w:val="00CC3BB8"/>
    <w:rsid w:val="00CC4EA1"/>
    <w:rsid w:val="00CC61FE"/>
    <w:rsid w:val="00CC7D40"/>
    <w:rsid w:val="00CD081B"/>
    <w:rsid w:val="00CD0CE9"/>
    <w:rsid w:val="00CD5E55"/>
    <w:rsid w:val="00CD622F"/>
    <w:rsid w:val="00CE1198"/>
    <w:rsid w:val="00CE1AF4"/>
    <w:rsid w:val="00CE2C28"/>
    <w:rsid w:val="00CE6CAD"/>
    <w:rsid w:val="00CE78BF"/>
    <w:rsid w:val="00CE7E11"/>
    <w:rsid w:val="00CF065C"/>
    <w:rsid w:val="00CF0751"/>
    <w:rsid w:val="00CF085E"/>
    <w:rsid w:val="00CF30A8"/>
    <w:rsid w:val="00CF31B6"/>
    <w:rsid w:val="00CF48C5"/>
    <w:rsid w:val="00CF5D86"/>
    <w:rsid w:val="00CF5E6D"/>
    <w:rsid w:val="00CF732D"/>
    <w:rsid w:val="00D02B32"/>
    <w:rsid w:val="00D0362E"/>
    <w:rsid w:val="00D039C9"/>
    <w:rsid w:val="00D04C6B"/>
    <w:rsid w:val="00D04DDB"/>
    <w:rsid w:val="00D05087"/>
    <w:rsid w:val="00D123B4"/>
    <w:rsid w:val="00D12FDD"/>
    <w:rsid w:val="00D15CBD"/>
    <w:rsid w:val="00D163DE"/>
    <w:rsid w:val="00D166A1"/>
    <w:rsid w:val="00D1750A"/>
    <w:rsid w:val="00D17C22"/>
    <w:rsid w:val="00D25F1C"/>
    <w:rsid w:val="00D270ED"/>
    <w:rsid w:val="00D311A3"/>
    <w:rsid w:val="00D32AE9"/>
    <w:rsid w:val="00D3344A"/>
    <w:rsid w:val="00D334BA"/>
    <w:rsid w:val="00D35D45"/>
    <w:rsid w:val="00D37479"/>
    <w:rsid w:val="00D4004C"/>
    <w:rsid w:val="00D40263"/>
    <w:rsid w:val="00D40519"/>
    <w:rsid w:val="00D40709"/>
    <w:rsid w:val="00D423EB"/>
    <w:rsid w:val="00D42EDB"/>
    <w:rsid w:val="00D4553C"/>
    <w:rsid w:val="00D4627A"/>
    <w:rsid w:val="00D4656C"/>
    <w:rsid w:val="00D4674E"/>
    <w:rsid w:val="00D46C1B"/>
    <w:rsid w:val="00D52270"/>
    <w:rsid w:val="00D543D6"/>
    <w:rsid w:val="00D5451B"/>
    <w:rsid w:val="00D5568B"/>
    <w:rsid w:val="00D56AEE"/>
    <w:rsid w:val="00D57616"/>
    <w:rsid w:val="00D578AB"/>
    <w:rsid w:val="00D617A4"/>
    <w:rsid w:val="00D61DC9"/>
    <w:rsid w:val="00D62345"/>
    <w:rsid w:val="00D62B59"/>
    <w:rsid w:val="00D633EC"/>
    <w:rsid w:val="00D6381C"/>
    <w:rsid w:val="00D64190"/>
    <w:rsid w:val="00D6657A"/>
    <w:rsid w:val="00D71CCC"/>
    <w:rsid w:val="00D72909"/>
    <w:rsid w:val="00D73245"/>
    <w:rsid w:val="00D739A9"/>
    <w:rsid w:val="00D74819"/>
    <w:rsid w:val="00D74B2C"/>
    <w:rsid w:val="00D75910"/>
    <w:rsid w:val="00D75CCB"/>
    <w:rsid w:val="00D76E4D"/>
    <w:rsid w:val="00D77260"/>
    <w:rsid w:val="00D84988"/>
    <w:rsid w:val="00D865B3"/>
    <w:rsid w:val="00D86C11"/>
    <w:rsid w:val="00D87A23"/>
    <w:rsid w:val="00D87A2C"/>
    <w:rsid w:val="00D90073"/>
    <w:rsid w:val="00D90133"/>
    <w:rsid w:val="00D933F7"/>
    <w:rsid w:val="00D943DD"/>
    <w:rsid w:val="00D9500A"/>
    <w:rsid w:val="00DA0AC2"/>
    <w:rsid w:val="00DA2547"/>
    <w:rsid w:val="00DA41DE"/>
    <w:rsid w:val="00DA4678"/>
    <w:rsid w:val="00DA527D"/>
    <w:rsid w:val="00DA5949"/>
    <w:rsid w:val="00DA5ABF"/>
    <w:rsid w:val="00DA5DED"/>
    <w:rsid w:val="00DA6BC2"/>
    <w:rsid w:val="00DA6FFA"/>
    <w:rsid w:val="00DA7E85"/>
    <w:rsid w:val="00DB0BFA"/>
    <w:rsid w:val="00DB16F7"/>
    <w:rsid w:val="00DB1A3C"/>
    <w:rsid w:val="00DB44DE"/>
    <w:rsid w:val="00DB4841"/>
    <w:rsid w:val="00DB4893"/>
    <w:rsid w:val="00DB54F0"/>
    <w:rsid w:val="00DB55D9"/>
    <w:rsid w:val="00DB5962"/>
    <w:rsid w:val="00DB637D"/>
    <w:rsid w:val="00DC011D"/>
    <w:rsid w:val="00DC0647"/>
    <w:rsid w:val="00DC1BEE"/>
    <w:rsid w:val="00DC2D85"/>
    <w:rsid w:val="00DC4061"/>
    <w:rsid w:val="00DC50B8"/>
    <w:rsid w:val="00DC5F89"/>
    <w:rsid w:val="00DC673C"/>
    <w:rsid w:val="00DC6CC1"/>
    <w:rsid w:val="00DC739A"/>
    <w:rsid w:val="00DC7CCC"/>
    <w:rsid w:val="00DD0157"/>
    <w:rsid w:val="00DD1FA9"/>
    <w:rsid w:val="00DD3CFE"/>
    <w:rsid w:val="00DD59D1"/>
    <w:rsid w:val="00DD698B"/>
    <w:rsid w:val="00DD6FD7"/>
    <w:rsid w:val="00DE1307"/>
    <w:rsid w:val="00DE196E"/>
    <w:rsid w:val="00DE1C9D"/>
    <w:rsid w:val="00DE1E67"/>
    <w:rsid w:val="00DE2003"/>
    <w:rsid w:val="00DE2748"/>
    <w:rsid w:val="00DE3186"/>
    <w:rsid w:val="00DE3E4B"/>
    <w:rsid w:val="00DE5B9C"/>
    <w:rsid w:val="00DE6764"/>
    <w:rsid w:val="00DE67AE"/>
    <w:rsid w:val="00DF3E59"/>
    <w:rsid w:val="00DF482B"/>
    <w:rsid w:val="00DF561D"/>
    <w:rsid w:val="00DF643B"/>
    <w:rsid w:val="00DF66C0"/>
    <w:rsid w:val="00DF68FE"/>
    <w:rsid w:val="00DF7B66"/>
    <w:rsid w:val="00DF7D9F"/>
    <w:rsid w:val="00E009BC"/>
    <w:rsid w:val="00E011A0"/>
    <w:rsid w:val="00E013C7"/>
    <w:rsid w:val="00E01CBA"/>
    <w:rsid w:val="00E02315"/>
    <w:rsid w:val="00E02F8B"/>
    <w:rsid w:val="00E05B97"/>
    <w:rsid w:val="00E06374"/>
    <w:rsid w:val="00E10881"/>
    <w:rsid w:val="00E13791"/>
    <w:rsid w:val="00E142A7"/>
    <w:rsid w:val="00E23A24"/>
    <w:rsid w:val="00E23E9A"/>
    <w:rsid w:val="00E24FBB"/>
    <w:rsid w:val="00E27E06"/>
    <w:rsid w:val="00E301B0"/>
    <w:rsid w:val="00E302FE"/>
    <w:rsid w:val="00E304DA"/>
    <w:rsid w:val="00E32C8E"/>
    <w:rsid w:val="00E33A6A"/>
    <w:rsid w:val="00E33DDA"/>
    <w:rsid w:val="00E344BC"/>
    <w:rsid w:val="00E34FBA"/>
    <w:rsid w:val="00E35C99"/>
    <w:rsid w:val="00E36D90"/>
    <w:rsid w:val="00E36EC2"/>
    <w:rsid w:val="00E37A03"/>
    <w:rsid w:val="00E4147E"/>
    <w:rsid w:val="00E41DA5"/>
    <w:rsid w:val="00E4228D"/>
    <w:rsid w:val="00E47984"/>
    <w:rsid w:val="00E510A4"/>
    <w:rsid w:val="00E52C7F"/>
    <w:rsid w:val="00E5313C"/>
    <w:rsid w:val="00E55809"/>
    <w:rsid w:val="00E558F8"/>
    <w:rsid w:val="00E56189"/>
    <w:rsid w:val="00E56F50"/>
    <w:rsid w:val="00E604D3"/>
    <w:rsid w:val="00E61142"/>
    <w:rsid w:val="00E613E6"/>
    <w:rsid w:val="00E6148F"/>
    <w:rsid w:val="00E61AB7"/>
    <w:rsid w:val="00E61B2F"/>
    <w:rsid w:val="00E61EDB"/>
    <w:rsid w:val="00E62A6E"/>
    <w:rsid w:val="00E62D91"/>
    <w:rsid w:val="00E62E66"/>
    <w:rsid w:val="00E6338D"/>
    <w:rsid w:val="00E6432C"/>
    <w:rsid w:val="00E6685B"/>
    <w:rsid w:val="00E6772C"/>
    <w:rsid w:val="00E72068"/>
    <w:rsid w:val="00E7262D"/>
    <w:rsid w:val="00E72B20"/>
    <w:rsid w:val="00E73252"/>
    <w:rsid w:val="00E73340"/>
    <w:rsid w:val="00E73C2F"/>
    <w:rsid w:val="00E7621F"/>
    <w:rsid w:val="00E7673E"/>
    <w:rsid w:val="00E8019F"/>
    <w:rsid w:val="00E80A73"/>
    <w:rsid w:val="00E8145A"/>
    <w:rsid w:val="00E815ED"/>
    <w:rsid w:val="00E81B68"/>
    <w:rsid w:val="00E8376F"/>
    <w:rsid w:val="00E84C47"/>
    <w:rsid w:val="00E859E2"/>
    <w:rsid w:val="00E85C5A"/>
    <w:rsid w:val="00E85D04"/>
    <w:rsid w:val="00E87084"/>
    <w:rsid w:val="00E90C44"/>
    <w:rsid w:val="00E9166B"/>
    <w:rsid w:val="00E9197A"/>
    <w:rsid w:val="00E91C05"/>
    <w:rsid w:val="00E91C5A"/>
    <w:rsid w:val="00E93B1A"/>
    <w:rsid w:val="00E95BD4"/>
    <w:rsid w:val="00E96B8D"/>
    <w:rsid w:val="00E96C3F"/>
    <w:rsid w:val="00E9787A"/>
    <w:rsid w:val="00E97BB9"/>
    <w:rsid w:val="00EA08F3"/>
    <w:rsid w:val="00EA2E1F"/>
    <w:rsid w:val="00EA3C26"/>
    <w:rsid w:val="00EA3F4B"/>
    <w:rsid w:val="00EA4307"/>
    <w:rsid w:val="00EA50F1"/>
    <w:rsid w:val="00EB0A09"/>
    <w:rsid w:val="00EB19C9"/>
    <w:rsid w:val="00EB2382"/>
    <w:rsid w:val="00EB297F"/>
    <w:rsid w:val="00EB514F"/>
    <w:rsid w:val="00EB7F14"/>
    <w:rsid w:val="00EC0642"/>
    <w:rsid w:val="00EC4780"/>
    <w:rsid w:val="00EC4DD2"/>
    <w:rsid w:val="00EC6974"/>
    <w:rsid w:val="00EC7874"/>
    <w:rsid w:val="00ED1CA9"/>
    <w:rsid w:val="00ED3EBC"/>
    <w:rsid w:val="00ED6354"/>
    <w:rsid w:val="00ED71F8"/>
    <w:rsid w:val="00ED7326"/>
    <w:rsid w:val="00ED763C"/>
    <w:rsid w:val="00ED7758"/>
    <w:rsid w:val="00EE079B"/>
    <w:rsid w:val="00EE145C"/>
    <w:rsid w:val="00EE2F88"/>
    <w:rsid w:val="00EE3CCC"/>
    <w:rsid w:val="00EE726B"/>
    <w:rsid w:val="00EE77F3"/>
    <w:rsid w:val="00EF05E4"/>
    <w:rsid w:val="00EF12C1"/>
    <w:rsid w:val="00EF1B0C"/>
    <w:rsid w:val="00EF1FC7"/>
    <w:rsid w:val="00EF2598"/>
    <w:rsid w:val="00EF2623"/>
    <w:rsid w:val="00EF2C19"/>
    <w:rsid w:val="00EF300C"/>
    <w:rsid w:val="00EF4563"/>
    <w:rsid w:val="00EF594D"/>
    <w:rsid w:val="00EF59BA"/>
    <w:rsid w:val="00EF724E"/>
    <w:rsid w:val="00F010FA"/>
    <w:rsid w:val="00F03A0E"/>
    <w:rsid w:val="00F04A01"/>
    <w:rsid w:val="00F052A9"/>
    <w:rsid w:val="00F07937"/>
    <w:rsid w:val="00F07E1C"/>
    <w:rsid w:val="00F13451"/>
    <w:rsid w:val="00F15E2E"/>
    <w:rsid w:val="00F1773F"/>
    <w:rsid w:val="00F239FA"/>
    <w:rsid w:val="00F23D50"/>
    <w:rsid w:val="00F2643B"/>
    <w:rsid w:val="00F271C5"/>
    <w:rsid w:val="00F27239"/>
    <w:rsid w:val="00F279A8"/>
    <w:rsid w:val="00F32F26"/>
    <w:rsid w:val="00F33269"/>
    <w:rsid w:val="00F360C9"/>
    <w:rsid w:val="00F3621E"/>
    <w:rsid w:val="00F36468"/>
    <w:rsid w:val="00F36615"/>
    <w:rsid w:val="00F37B6C"/>
    <w:rsid w:val="00F4029C"/>
    <w:rsid w:val="00F40612"/>
    <w:rsid w:val="00F4096A"/>
    <w:rsid w:val="00F409AC"/>
    <w:rsid w:val="00F40D87"/>
    <w:rsid w:val="00F42280"/>
    <w:rsid w:val="00F436B9"/>
    <w:rsid w:val="00F436D3"/>
    <w:rsid w:val="00F438DC"/>
    <w:rsid w:val="00F44378"/>
    <w:rsid w:val="00F5098F"/>
    <w:rsid w:val="00F5338F"/>
    <w:rsid w:val="00F53698"/>
    <w:rsid w:val="00F5526F"/>
    <w:rsid w:val="00F56C30"/>
    <w:rsid w:val="00F60288"/>
    <w:rsid w:val="00F60645"/>
    <w:rsid w:val="00F609C8"/>
    <w:rsid w:val="00F61406"/>
    <w:rsid w:val="00F6159E"/>
    <w:rsid w:val="00F62740"/>
    <w:rsid w:val="00F62C6A"/>
    <w:rsid w:val="00F631DE"/>
    <w:rsid w:val="00F63222"/>
    <w:rsid w:val="00F644E2"/>
    <w:rsid w:val="00F658FD"/>
    <w:rsid w:val="00F6661A"/>
    <w:rsid w:val="00F6680D"/>
    <w:rsid w:val="00F70046"/>
    <w:rsid w:val="00F70EEC"/>
    <w:rsid w:val="00F72745"/>
    <w:rsid w:val="00F744BD"/>
    <w:rsid w:val="00F74690"/>
    <w:rsid w:val="00F76621"/>
    <w:rsid w:val="00F80EEB"/>
    <w:rsid w:val="00F80F08"/>
    <w:rsid w:val="00F81330"/>
    <w:rsid w:val="00F82148"/>
    <w:rsid w:val="00F82658"/>
    <w:rsid w:val="00F82A9B"/>
    <w:rsid w:val="00F84B53"/>
    <w:rsid w:val="00F84F0C"/>
    <w:rsid w:val="00F8519C"/>
    <w:rsid w:val="00F860CA"/>
    <w:rsid w:val="00F8634A"/>
    <w:rsid w:val="00F863D2"/>
    <w:rsid w:val="00F8647B"/>
    <w:rsid w:val="00F8780A"/>
    <w:rsid w:val="00F90602"/>
    <w:rsid w:val="00F936D4"/>
    <w:rsid w:val="00F942CE"/>
    <w:rsid w:val="00F953D3"/>
    <w:rsid w:val="00F9574F"/>
    <w:rsid w:val="00FA09DC"/>
    <w:rsid w:val="00FA1C16"/>
    <w:rsid w:val="00FA1DDE"/>
    <w:rsid w:val="00FA2270"/>
    <w:rsid w:val="00FA3555"/>
    <w:rsid w:val="00FA3BBE"/>
    <w:rsid w:val="00FA3BF1"/>
    <w:rsid w:val="00FA3E21"/>
    <w:rsid w:val="00FA40D4"/>
    <w:rsid w:val="00FA4690"/>
    <w:rsid w:val="00FA4BE9"/>
    <w:rsid w:val="00FA4D38"/>
    <w:rsid w:val="00FA5101"/>
    <w:rsid w:val="00FA6222"/>
    <w:rsid w:val="00FA6D2B"/>
    <w:rsid w:val="00FB09A2"/>
    <w:rsid w:val="00FB1562"/>
    <w:rsid w:val="00FB265D"/>
    <w:rsid w:val="00FB3D87"/>
    <w:rsid w:val="00FB3E20"/>
    <w:rsid w:val="00FB42D9"/>
    <w:rsid w:val="00FB668E"/>
    <w:rsid w:val="00FB6C48"/>
    <w:rsid w:val="00FB6F8E"/>
    <w:rsid w:val="00FB793F"/>
    <w:rsid w:val="00FC1FFA"/>
    <w:rsid w:val="00FC2167"/>
    <w:rsid w:val="00FC2CD7"/>
    <w:rsid w:val="00FC2D9B"/>
    <w:rsid w:val="00FC3BB0"/>
    <w:rsid w:val="00FC3C55"/>
    <w:rsid w:val="00FC5149"/>
    <w:rsid w:val="00FC57F7"/>
    <w:rsid w:val="00FC6EF0"/>
    <w:rsid w:val="00FC70AB"/>
    <w:rsid w:val="00FD11EA"/>
    <w:rsid w:val="00FD17C3"/>
    <w:rsid w:val="00FD1B35"/>
    <w:rsid w:val="00FD36C6"/>
    <w:rsid w:val="00FD490A"/>
    <w:rsid w:val="00FD59A1"/>
    <w:rsid w:val="00FD7487"/>
    <w:rsid w:val="00FD7D0E"/>
    <w:rsid w:val="00FD7E93"/>
    <w:rsid w:val="00FE0D6D"/>
    <w:rsid w:val="00FE0DD8"/>
    <w:rsid w:val="00FE196D"/>
    <w:rsid w:val="00FE25D8"/>
    <w:rsid w:val="00FE2C5D"/>
    <w:rsid w:val="00FE2EA4"/>
    <w:rsid w:val="00FE3AA8"/>
    <w:rsid w:val="00FE3E42"/>
    <w:rsid w:val="00FE4058"/>
    <w:rsid w:val="00FE6369"/>
    <w:rsid w:val="00FE7287"/>
    <w:rsid w:val="00FF0696"/>
    <w:rsid w:val="00FF0B3E"/>
    <w:rsid w:val="00FF1B93"/>
    <w:rsid w:val="00FF1C7E"/>
    <w:rsid w:val="00FF251C"/>
    <w:rsid w:val="00FF259D"/>
    <w:rsid w:val="00FF3180"/>
    <w:rsid w:val="00FF322F"/>
    <w:rsid w:val="00FF3F21"/>
    <w:rsid w:val="00FF46EC"/>
    <w:rsid w:val="00FF4C9F"/>
    <w:rsid w:val="00FF610D"/>
    <w:rsid w:val="00FF64DC"/>
    <w:rsid w:val="07CF7774"/>
    <w:rsid w:val="0BF26BF0"/>
    <w:rsid w:val="0E172559"/>
    <w:rsid w:val="0EA77696"/>
    <w:rsid w:val="0F5B28BE"/>
    <w:rsid w:val="10A3535E"/>
    <w:rsid w:val="13936553"/>
    <w:rsid w:val="142B51E6"/>
    <w:rsid w:val="188E13C0"/>
    <w:rsid w:val="1A4D1CA9"/>
    <w:rsid w:val="1AB3426C"/>
    <w:rsid w:val="1B8946B0"/>
    <w:rsid w:val="1D895FFC"/>
    <w:rsid w:val="1E5C5009"/>
    <w:rsid w:val="264C1811"/>
    <w:rsid w:val="29F47362"/>
    <w:rsid w:val="2A704BDE"/>
    <w:rsid w:val="33B74DE4"/>
    <w:rsid w:val="35851406"/>
    <w:rsid w:val="3A7C3729"/>
    <w:rsid w:val="3C114E77"/>
    <w:rsid w:val="408B770B"/>
    <w:rsid w:val="425142AB"/>
    <w:rsid w:val="466E4085"/>
    <w:rsid w:val="48AA2E72"/>
    <w:rsid w:val="49A551A3"/>
    <w:rsid w:val="4A5356CA"/>
    <w:rsid w:val="4E0F2288"/>
    <w:rsid w:val="4F1B227C"/>
    <w:rsid w:val="507B2FA1"/>
    <w:rsid w:val="5B8209FD"/>
    <w:rsid w:val="5B9F64E4"/>
    <w:rsid w:val="5C482AB9"/>
    <w:rsid w:val="61376445"/>
    <w:rsid w:val="65C52ADD"/>
    <w:rsid w:val="664B5461"/>
    <w:rsid w:val="6C3A2256"/>
    <w:rsid w:val="6CF03D9E"/>
    <w:rsid w:val="71FE0CC1"/>
    <w:rsid w:val="75065266"/>
    <w:rsid w:val="7B042827"/>
    <w:rsid w:val="7EF6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6" w:lineRule="auto"/>
      <w:outlineLvl w:val="0"/>
    </w:pPr>
    <w:rPr>
      <w:b/>
      <w:kern w:val="44"/>
      <w:sz w:val="44"/>
      <w:szCs w:val="20"/>
      <w:lang w:val="zh-CN" w:eastAsia="zh-CN"/>
    </w:rPr>
  </w:style>
  <w:style w:type="paragraph" w:styleId="4">
    <w:name w:val="heading 2"/>
    <w:basedOn w:val="1"/>
    <w:next w:val="1"/>
    <w:link w:val="37"/>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locked/>
    <w:uiPriority w:val="0"/>
    <w:pPr>
      <w:keepNext/>
      <w:keepLines/>
      <w:spacing w:before="260" w:after="260" w:line="416" w:lineRule="auto"/>
      <w:outlineLvl w:val="2"/>
    </w:pPr>
    <w:rPr>
      <w:b/>
      <w:bCs/>
      <w:sz w:val="32"/>
      <w:szCs w:val="32"/>
      <w:lang w:val="zh-CN" w:eastAsia="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6">
    <w:name w:val="toc 7"/>
    <w:basedOn w:val="1"/>
    <w:next w:val="1"/>
    <w:qFormat/>
    <w:uiPriority w:val="39"/>
    <w:pPr>
      <w:ind w:left="1260"/>
      <w:jc w:val="left"/>
    </w:pPr>
    <w:rPr>
      <w:rFonts w:ascii="Calibri" w:hAnsi="Calibri"/>
      <w:sz w:val="18"/>
      <w:szCs w:val="18"/>
    </w:rPr>
  </w:style>
  <w:style w:type="paragraph" w:styleId="7">
    <w:name w:val="Document Map"/>
    <w:basedOn w:val="1"/>
    <w:link w:val="46"/>
    <w:qFormat/>
    <w:uiPriority w:val="0"/>
    <w:pPr>
      <w:shd w:val="clear" w:color="auto" w:fill="000080"/>
    </w:pPr>
    <w:rPr>
      <w:lang w:val="zh-CN" w:eastAsia="zh-CN"/>
    </w:rPr>
  </w:style>
  <w:style w:type="paragraph" w:styleId="8">
    <w:name w:val="annotation text"/>
    <w:basedOn w:val="1"/>
    <w:link w:val="34"/>
    <w:semiHidden/>
    <w:qFormat/>
    <w:uiPriority w:val="0"/>
    <w:pPr>
      <w:jc w:val="left"/>
    </w:pPr>
    <w:rPr>
      <w:sz w:val="24"/>
      <w:lang w:val="zh-CN" w:eastAsia="zh-CN"/>
    </w:rPr>
  </w:style>
  <w:style w:type="paragraph" w:styleId="9">
    <w:name w:val="toc 5"/>
    <w:basedOn w:val="1"/>
    <w:next w:val="1"/>
    <w:qFormat/>
    <w:uiPriority w:val="39"/>
    <w:pPr>
      <w:ind w:left="840"/>
      <w:jc w:val="left"/>
    </w:pPr>
    <w:rPr>
      <w:rFonts w:ascii="Calibri" w:hAnsi="Calibri"/>
      <w:sz w:val="18"/>
      <w:szCs w:val="18"/>
    </w:rPr>
  </w:style>
  <w:style w:type="paragraph" w:styleId="10">
    <w:name w:val="toc 3"/>
    <w:basedOn w:val="1"/>
    <w:next w:val="1"/>
    <w:qFormat/>
    <w:uiPriority w:val="39"/>
    <w:pPr>
      <w:ind w:left="420"/>
      <w:jc w:val="left"/>
    </w:pPr>
    <w:rPr>
      <w:rFonts w:ascii="Calibri" w:hAnsi="Calibri"/>
      <w:i/>
      <w:iCs/>
      <w:sz w:val="20"/>
      <w:szCs w:val="20"/>
    </w:rPr>
  </w:style>
  <w:style w:type="paragraph" w:styleId="11">
    <w:name w:val="Plain Text"/>
    <w:basedOn w:val="1"/>
    <w:link w:val="55"/>
    <w:qFormat/>
    <w:uiPriority w:val="0"/>
    <w:rPr>
      <w:rFonts w:ascii="宋体" w:hAnsi="Courier New"/>
      <w:szCs w:val="21"/>
      <w:lang w:val="zh-CN" w:eastAsia="zh-CN"/>
    </w:rPr>
  </w:style>
  <w:style w:type="paragraph" w:styleId="12">
    <w:name w:val="toc 8"/>
    <w:basedOn w:val="1"/>
    <w:next w:val="1"/>
    <w:qFormat/>
    <w:uiPriority w:val="39"/>
    <w:pPr>
      <w:ind w:left="1470"/>
      <w:jc w:val="left"/>
    </w:pPr>
    <w:rPr>
      <w:rFonts w:ascii="Calibri" w:hAnsi="Calibri"/>
      <w:sz w:val="18"/>
      <w:szCs w:val="18"/>
    </w:rPr>
  </w:style>
  <w:style w:type="paragraph" w:styleId="13">
    <w:name w:val="Date"/>
    <w:basedOn w:val="1"/>
    <w:next w:val="1"/>
    <w:link w:val="50"/>
    <w:qFormat/>
    <w:uiPriority w:val="0"/>
    <w:pPr>
      <w:ind w:left="100" w:leftChars="2500"/>
    </w:pPr>
    <w:rPr>
      <w:lang w:val="zh-CN" w:eastAsia="zh-CN"/>
    </w:rPr>
  </w:style>
  <w:style w:type="paragraph" w:styleId="14">
    <w:name w:val="Balloon Text"/>
    <w:basedOn w:val="1"/>
    <w:link w:val="53"/>
    <w:qFormat/>
    <w:uiPriority w:val="0"/>
    <w:rPr>
      <w:rFonts w:ascii="Heiti SC Light" w:eastAsia="Times New Roman"/>
      <w:sz w:val="18"/>
      <w:szCs w:val="18"/>
      <w:lang w:val="zh-CN" w:eastAsia="zh-CN"/>
    </w:rPr>
  </w:style>
  <w:style w:type="paragraph" w:styleId="15">
    <w:name w:val="footer"/>
    <w:basedOn w:val="1"/>
    <w:link w:val="35"/>
    <w:qFormat/>
    <w:uiPriority w:val="99"/>
    <w:pPr>
      <w:tabs>
        <w:tab w:val="center" w:pos="4153"/>
        <w:tab w:val="right" w:pos="8306"/>
      </w:tabs>
      <w:snapToGrid w:val="0"/>
      <w:jc w:val="left"/>
    </w:pPr>
    <w:rPr>
      <w:sz w:val="18"/>
      <w:szCs w:val="18"/>
      <w:lang w:val="zh-CN" w:eastAsia="zh-CN"/>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toc 1"/>
    <w:basedOn w:val="1"/>
    <w:next w:val="1"/>
    <w:qFormat/>
    <w:uiPriority w:val="39"/>
    <w:pPr>
      <w:spacing w:before="120" w:after="120"/>
      <w:jc w:val="left"/>
    </w:pPr>
    <w:rPr>
      <w:rFonts w:ascii="宋体" w:hAnsi="宋体" w:eastAsia="宋体"/>
      <w:bCs/>
      <w:caps/>
      <w:szCs w:val="20"/>
    </w:rPr>
  </w:style>
  <w:style w:type="paragraph" w:styleId="18">
    <w:name w:val="toc 4"/>
    <w:basedOn w:val="1"/>
    <w:next w:val="1"/>
    <w:qFormat/>
    <w:uiPriority w:val="39"/>
    <w:pPr>
      <w:ind w:left="630"/>
      <w:jc w:val="left"/>
    </w:pPr>
    <w:rPr>
      <w:rFonts w:ascii="Calibri" w:hAnsi="Calibri"/>
      <w:sz w:val="18"/>
      <w:szCs w:val="18"/>
    </w:rPr>
  </w:style>
  <w:style w:type="paragraph" w:styleId="19">
    <w:name w:val="toc 6"/>
    <w:basedOn w:val="1"/>
    <w:next w:val="1"/>
    <w:qFormat/>
    <w:uiPriority w:val="39"/>
    <w:pPr>
      <w:ind w:left="1050"/>
      <w:jc w:val="left"/>
    </w:pPr>
    <w:rPr>
      <w:rFonts w:ascii="Calibri" w:hAnsi="Calibri"/>
      <w:sz w:val="18"/>
      <w:szCs w:val="18"/>
    </w:rPr>
  </w:style>
  <w:style w:type="paragraph" w:styleId="20">
    <w:name w:val="toc 2"/>
    <w:basedOn w:val="1"/>
    <w:next w:val="1"/>
    <w:qFormat/>
    <w:uiPriority w:val="39"/>
    <w:pPr>
      <w:ind w:left="210"/>
      <w:jc w:val="left"/>
    </w:pPr>
    <w:rPr>
      <w:rFonts w:ascii="Calibri" w:hAnsi="Calibri"/>
      <w:smallCaps/>
      <w:sz w:val="20"/>
      <w:szCs w:val="20"/>
    </w:rPr>
  </w:style>
  <w:style w:type="paragraph" w:styleId="21">
    <w:name w:val="toc 9"/>
    <w:basedOn w:val="1"/>
    <w:next w:val="1"/>
    <w:qFormat/>
    <w:uiPriority w:val="39"/>
    <w:pPr>
      <w:ind w:left="1680"/>
      <w:jc w:val="left"/>
    </w:pPr>
    <w:rPr>
      <w:rFonts w:ascii="Calibri" w:hAnsi="Calibri"/>
      <w:sz w:val="18"/>
      <w:szCs w:val="18"/>
    </w:rPr>
  </w:style>
  <w:style w:type="paragraph" w:styleId="22">
    <w:name w:val="Body Text 2"/>
    <w:basedOn w:val="1"/>
    <w:link w:val="38"/>
    <w:qFormat/>
    <w:uiPriority w:val="0"/>
    <w:pPr>
      <w:widowControl/>
      <w:overflowPunct w:val="0"/>
      <w:autoSpaceDE w:val="0"/>
      <w:autoSpaceDN w:val="0"/>
      <w:adjustRightInd w:val="0"/>
      <w:spacing w:line="360" w:lineRule="auto"/>
      <w:ind w:firstLine="480" w:firstLineChars="200"/>
      <w:textAlignment w:val="baseline"/>
    </w:pPr>
    <w:rPr>
      <w:rFonts w:ascii="宋体" w:hAnsi="宋体" w:cs="宋体"/>
      <w:color w:val="000000"/>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39"/>
    <w:semiHidden/>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b/>
    </w:rPr>
  </w:style>
  <w:style w:type="character" w:styleId="29">
    <w:name w:val="page number"/>
    <w:basedOn w:val="27"/>
    <w:qFormat/>
    <w:uiPriority w:val="0"/>
  </w:style>
  <w:style w:type="character" w:styleId="30">
    <w:name w:val="Emphasis"/>
    <w:qFormat/>
    <w:uiPriority w:val="0"/>
    <w:rPr>
      <w:rFonts w:cs="Times New Roman"/>
      <w:i/>
    </w:rPr>
  </w:style>
  <w:style w:type="character" w:styleId="31">
    <w:name w:val="Hyperlink"/>
    <w:qFormat/>
    <w:uiPriority w:val="99"/>
    <w:rPr>
      <w:rFonts w:cs="Times New Roman"/>
      <w:color w:val="0000FF"/>
      <w:u w:val="single"/>
    </w:rPr>
  </w:style>
  <w:style w:type="character" w:styleId="32">
    <w:name w:val="annotation reference"/>
    <w:semiHidden/>
    <w:qFormat/>
    <w:uiPriority w:val="0"/>
    <w:rPr>
      <w:rFonts w:cs="Times New Roman"/>
      <w:sz w:val="21"/>
      <w:szCs w:val="21"/>
    </w:rPr>
  </w:style>
  <w:style w:type="character" w:customStyle="1" w:styleId="33">
    <w:name w:val="font41"/>
    <w:qFormat/>
    <w:uiPriority w:val="0"/>
    <w:rPr>
      <w:rFonts w:ascii="宋体" w:hAnsi="宋体" w:eastAsia="宋体"/>
      <w:color w:val="000000"/>
      <w:sz w:val="20"/>
      <w:u w:val="none"/>
    </w:rPr>
  </w:style>
  <w:style w:type="character" w:customStyle="1" w:styleId="34">
    <w:name w:val="批注文字 Char"/>
    <w:link w:val="8"/>
    <w:qFormat/>
    <w:locked/>
    <w:uiPriority w:val="0"/>
    <w:rPr>
      <w:rFonts w:cs="Times New Roman"/>
      <w:kern w:val="2"/>
      <w:sz w:val="24"/>
      <w:szCs w:val="24"/>
    </w:rPr>
  </w:style>
  <w:style w:type="character" w:customStyle="1" w:styleId="35">
    <w:name w:val="页脚 Char"/>
    <w:link w:val="15"/>
    <w:qFormat/>
    <w:locked/>
    <w:uiPriority w:val="99"/>
    <w:rPr>
      <w:rFonts w:cs="Times New Roman"/>
      <w:kern w:val="2"/>
      <w:sz w:val="18"/>
      <w:szCs w:val="18"/>
    </w:rPr>
  </w:style>
  <w:style w:type="character" w:customStyle="1" w:styleId="36">
    <w:name w:val="页眉 Char1"/>
    <w:link w:val="16"/>
    <w:qFormat/>
    <w:locked/>
    <w:uiPriority w:val="0"/>
    <w:rPr>
      <w:rFonts w:cs="Times New Roman"/>
      <w:kern w:val="2"/>
      <w:sz w:val="18"/>
      <w:szCs w:val="18"/>
    </w:rPr>
  </w:style>
  <w:style w:type="character" w:customStyle="1" w:styleId="37">
    <w:name w:val="标题 2 Char"/>
    <w:link w:val="4"/>
    <w:qFormat/>
    <w:uiPriority w:val="0"/>
    <w:rPr>
      <w:rFonts w:ascii="Arial" w:hAnsi="Arial" w:eastAsia="黑体"/>
      <w:b/>
      <w:bCs/>
      <w:kern w:val="2"/>
      <w:sz w:val="32"/>
      <w:szCs w:val="32"/>
      <w:lang w:val="en-US" w:eastAsia="zh-CN" w:bidi="ar-SA"/>
    </w:rPr>
  </w:style>
  <w:style w:type="character" w:customStyle="1" w:styleId="38">
    <w:name w:val="正文文本 2 Char"/>
    <w:link w:val="22"/>
    <w:qFormat/>
    <w:uiPriority w:val="0"/>
    <w:rPr>
      <w:rFonts w:ascii="宋体" w:hAnsi="宋体" w:eastAsia="宋体" w:cs="宋体"/>
      <w:color w:val="000000"/>
      <w:sz w:val="24"/>
      <w:szCs w:val="24"/>
      <w:lang w:val="en-US" w:eastAsia="zh-CN" w:bidi="ar-SA"/>
    </w:rPr>
  </w:style>
  <w:style w:type="character" w:customStyle="1" w:styleId="39">
    <w:name w:val="批注主题 Char"/>
    <w:link w:val="24"/>
    <w:semiHidden/>
    <w:qFormat/>
    <w:locked/>
    <w:uiPriority w:val="0"/>
    <w:rPr>
      <w:b/>
      <w:bCs/>
      <w:kern w:val="2"/>
      <w:sz w:val="24"/>
      <w:szCs w:val="24"/>
    </w:rPr>
  </w:style>
  <w:style w:type="character" w:customStyle="1" w:styleId="40">
    <w:name w:val="font01"/>
    <w:qFormat/>
    <w:uiPriority w:val="0"/>
    <w:rPr>
      <w:rFonts w:ascii="宋体" w:hAnsi="宋体" w:eastAsia="宋体"/>
      <w:color w:val="000000"/>
      <w:sz w:val="20"/>
      <w:u w:val="none"/>
    </w:rPr>
  </w:style>
  <w:style w:type="character" w:customStyle="1" w:styleId="41">
    <w:name w:val="页眉 Char"/>
    <w:qFormat/>
    <w:uiPriority w:val="99"/>
    <w:rPr>
      <w:lang w:eastAsia="zh-CN"/>
    </w:rPr>
  </w:style>
  <w:style w:type="character" w:customStyle="1" w:styleId="42">
    <w:name w:val="未处理的提及2"/>
    <w:qFormat/>
    <w:uiPriority w:val="0"/>
    <w:rPr>
      <w:color w:val="808080"/>
      <w:shd w:val="clear" w:color="auto" w:fill="auto"/>
    </w:rPr>
  </w:style>
  <w:style w:type="character" w:customStyle="1" w:styleId="43">
    <w:name w:val="标题 1 Char"/>
    <w:qFormat/>
    <w:uiPriority w:val="0"/>
    <w:rPr>
      <w:b/>
      <w:kern w:val="44"/>
      <w:sz w:val="44"/>
    </w:rPr>
  </w:style>
  <w:style w:type="character" w:customStyle="1" w:styleId="44">
    <w:name w:val="占位符文本1"/>
    <w:semiHidden/>
    <w:qFormat/>
    <w:uiPriority w:val="0"/>
    <w:rPr>
      <w:color w:val="808080"/>
    </w:rPr>
  </w:style>
  <w:style w:type="character" w:styleId="45">
    <w:name w:val="Placeholder Text"/>
    <w:semiHidden/>
    <w:qFormat/>
    <w:uiPriority w:val="99"/>
    <w:rPr>
      <w:color w:val="808080"/>
    </w:rPr>
  </w:style>
  <w:style w:type="character" w:customStyle="1" w:styleId="46">
    <w:name w:val="文档结构图 Char"/>
    <w:link w:val="7"/>
    <w:semiHidden/>
    <w:qFormat/>
    <w:locked/>
    <w:uiPriority w:val="0"/>
    <w:rPr>
      <w:kern w:val="2"/>
      <w:sz w:val="21"/>
      <w:szCs w:val="24"/>
      <w:shd w:val="clear" w:color="auto" w:fill="000080"/>
    </w:rPr>
  </w:style>
  <w:style w:type="character" w:customStyle="1" w:styleId="47">
    <w:name w:val="标题 3 Char"/>
    <w:link w:val="5"/>
    <w:qFormat/>
    <w:locked/>
    <w:uiPriority w:val="0"/>
    <w:rPr>
      <w:b/>
      <w:bCs/>
      <w:kern w:val="2"/>
      <w:sz w:val="32"/>
      <w:szCs w:val="32"/>
    </w:rPr>
  </w:style>
  <w:style w:type="character" w:customStyle="1" w:styleId="48">
    <w:name w:val="font11"/>
    <w:qFormat/>
    <w:uiPriority w:val="0"/>
    <w:rPr>
      <w:rFonts w:ascii="宋体" w:hAnsi="宋体" w:eastAsia="宋体"/>
      <w:color w:val="000000"/>
      <w:sz w:val="20"/>
      <w:u w:val="none"/>
    </w:rPr>
  </w:style>
  <w:style w:type="character" w:customStyle="1" w:styleId="49">
    <w:name w:val="fck__anchor1"/>
    <w:qFormat/>
    <w:uiPriority w:val="0"/>
    <w:rPr>
      <w:rFonts w:cs="Times New Roman"/>
      <w:bdr w:val="dotted" w:color="0000FF" w:sz="6" w:space="0"/>
    </w:rPr>
  </w:style>
  <w:style w:type="character" w:customStyle="1" w:styleId="50">
    <w:name w:val="日期 Char"/>
    <w:link w:val="13"/>
    <w:qFormat/>
    <w:uiPriority w:val="0"/>
    <w:rPr>
      <w:kern w:val="2"/>
      <w:sz w:val="21"/>
      <w:szCs w:val="24"/>
    </w:rPr>
  </w:style>
  <w:style w:type="character" w:customStyle="1" w:styleId="51">
    <w:name w:val="Heading 1 Char"/>
    <w:qFormat/>
    <w:locked/>
    <w:uiPriority w:val="0"/>
    <w:rPr>
      <w:rFonts w:eastAsia="宋体"/>
      <w:b/>
      <w:kern w:val="44"/>
      <w:sz w:val="44"/>
      <w:lang w:val="en-US" w:eastAsia="zh-CN" w:bidi="ar-SA"/>
    </w:rPr>
  </w:style>
  <w:style w:type="character" w:customStyle="1" w:styleId="52">
    <w:name w:val="未处理的提及"/>
    <w:unhideWhenUsed/>
    <w:qFormat/>
    <w:uiPriority w:val="99"/>
    <w:rPr>
      <w:color w:val="808080"/>
      <w:shd w:val="clear" w:color="auto" w:fill="E6E6E6"/>
    </w:rPr>
  </w:style>
  <w:style w:type="character" w:customStyle="1" w:styleId="53">
    <w:name w:val="批注框文本 Char"/>
    <w:link w:val="14"/>
    <w:qFormat/>
    <w:locked/>
    <w:uiPriority w:val="0"/>
    <w:rPr>
      <w:rFonts w:ascii="Heiti SC Light" w:eastAsia="Times New Roman" w:cs="Times New Roman"/>
      <w:kern w:val="2"/>
      <w:sz w:val="18"/>
      <w:szCs w:val="18"/>
    </w:rPr>
  </w:style>
  <w:style w:type="character" w:customStyle="1" w:styleId="54">
    <w:name w:val="font51"/>
    <w:qFormat/>
    <w:uiPriority w:val="0"/>
    <w:rPr>
      <w:rFonts w:ascii="宋体" w:hAnsi="宋体" w:eastAsia="宋体"/>
      <w:color w:val="000000"/>
      <w:sz w:val="20"/>
      <w:u w:val="none"/>
    </w:rPr>
  </w:style>
  <w:style w:type="character" w:customStyle="1" w:styleId="55">
    <w:name w:val="纯文本 Char"/>
    <w:link w:val="11"/>
    <w:qFormat/>
    <w:locked/>
    <w:uiPriority w:val="0"/>
    <w:rPr>
      <w:rFonts w:ascii="宋体" w:hAnsi="Courier New" w:cs="Courier New"/>
      <w:kern w:val="2"/>
      <w:sz w:val="21"/>
      <w:szCs w:val="21"/>
    </w:rPr>
  </w:style>
  <w:style w:type="character" w:customStyle="1" w:styleId="56">
    <w:name w:val="标题 1 Char1"/>
    <w:link w:val="3"/>
    <w:qFormat/>
    <w:locked/>
    <w:uiPriority w:val="0"/>
    <w:rPr>
      <w:b/>
      <w:kern w:val="44"/>
      <w:sz w:val="44"/>
    </w:rPr>
  </w:style>
  <w:style w:type="character" w:customStyle="1" w:styleId="57">
    <w:name w:val="font31"/>
    <w:qFormat/>
    <w:uiPriority w:val="0"/>
    <w:rPr>
      <w:rFonts w:ascii="宋体" w:hAnsi="宋体" w:eastAsia="宋体"/>
      <w:color w:val="FF0000"/>
      <w:sz w:val="20"/>
      <w:u w:val="none"/>
    </w:rPr>
  </w:style>
  <w:style w:type="character" w:customStyle="1" w:styleId="58">
    <w:name w:val="未处理的提及1"/>
    <w:unhideWhenUsed/>
    <w:qFormat/>
    <w:uiPriority w:val="0"/>
    <w:rPr>
      <w:color w:val="808080"/>
      <w:shd w:val="clear" w:color="auto" w:fill="E6E6E6"/>
    </w:rPr>
  </w:style>
  <w:style w:type="paragraph" w:customStyle="1" w:styleId="59">
    <w:name w:val="Char Char Char"/>
    <w:basedOn w:val="1"/>
    <w:qFormat/>
    <w:uiPriority w:val="0"/>
    <w:rPr>
      <w:rFonts w:ascii="Tahoma" w:hAnsi="Tahoma" w:cs="Tahoma"/>
      <w:sz w:val="24"/>
    </w:rPr>
  </w:style>
  <w:style w:type="paragraph" w:customStyle="1" w:styleId="60">
    <w:name w:val="目录 11"/>
    <w:basedOn w:val="1"/>
    <w:next w:val="1"/>
    <w:qFormat/>
    <w:uiPriority w:val="0"/>
    <w:pPr>
      <w:spacing w:before="120" w:after="120"/>
      <w:jc w:val="left"/>
    </w:pPr>
    <w:rPr>
      <w:rFonts w:ascii="Calibri" w:hAnsi="Calibri" w:cs="Calibri"/>
      <w:b/>
      <w:bCs/>
      <w:caps/>
      <w:sz w:val="20"/>
      <w:szCs w:val="20"/>
    </w:rPr>
  </w:style>
  <w:style w:type="paragraph" w:customStyle="1" w:styleId="61">
    <w:name w:val="目录 81"/>
    <w:basedOn w:val="1"/>
    <w:next w:val="1"/>
    <w:qFormat/>
    <w:uiPriority w:val="0"/>
    <w:pPr>
      <w:ind w:left="1470"/>
      <w:jc w:val="left"/>
    </w:pPr>
    <w:rPr>
      <w:rFonts w:ascii="Calibri" w:hAnsi="Calibri" w:cs="Calibri"/>
      <w:sz w:val="18"/>
      <w:szCs w:val="18"/>
    </w:rPr>
  </w:style>
  <w:style w:type="paragraph" w:customStyle="1" w:styleId="62">
    <w:name w:val="目录 21"/>
    <w:basedOn w:val="1"/>
    <w:next w:val="1"/>
    <w:qFormat/>
    <w:uiPriority w:val="0"/>
    <w:pPr>
      <w:ind w:left="210"/>
      <w:jc w:val="left"/>
    </w:pPr>
    <w:rPr>
      <w:rFonts w:ascii="Calibri" w:hAnsi="Calibri" w:cs="Calibri"/>
      <w:smallCaps/>
      <w:sz w:val="20"/>
      <w:szCs w:val="20"/>
    </w:rPr>
  </w:style>
  <w:style w:type="paragraph" w:customStyle="1" w:styleId="63">
    <w:name w:val="需求正文"/>
    <w:basedOn w:val="1"/>
    <w:qFormat/>
    <w:uiPriority w:val="0"/>
    <w:pPr>
      <w:spacing w:line="360" w:lineRule="auto"/>
      <w:ind w:firstLine="200" w:firstLineChars="200"/>
    </w:pPr>
    <w:rPr>
      <w:rFonts w:ascii="宋体" w:hAnsi="宋体"/>
      <w:sz w:val="24"/>
    </w:rPr>
  </w:style>
  <w:style w:type="paragraph" w:customStyle="1" w:styleId="64">
    <w:name w:val="SBBZEDD"/>
    <w:basedOn w:val="65"/>
    <w:qFormat/>
    <w:uiPriority w:val="0"/>
    <w:pPr>
      <w:numPr>
        <w:ilvl w:val="1"/>
        <w:numId w:val="1"/>
      </w:numPr>
      <w:ind w:firstLine="0" w:firstLineChars="0"/>
    </w:pPr>
  </w:style>
  <w:style w:type="paragraph" w:customStyle="1" w:styleId="65">
    <w:name w:val="SBBZW"/>
    <w:basedOn w:val="1"/>
    <w:qFormat/>
    <w:uiPriority w:val="0"/>
    <w:pPr>
      <w:spacing w:line="360" w:lineRule="auto"/>
      <w:ind w:firstLine="480" w:firstLineChars="200"/>
    </w:pPr>
    <w:rPr>
      <w:rFonts w:ascii="宋体" w:hAnsi="宋体"/>
      <w:sz w:val="24"/>
    </w:rPr>
  </w:style>
  <w:style w:type="paragraph" w:customStyle="1" w:styleId="66">
    <w:name w:val="SBBT1"/>
    <w:basedOn w:val="65"/>
    <w:qFormat/>
    <w:uiPriority w:val="0"/>
    <w:pPr>
      <w:tabs>
        <w:tab w:val="center" w:pos="4678"/>
      </w:tabs>
      <w:ind w:firstLine="0" w:firstLineChars="0"/>
      <w:jc w:val="left"/>
      <w:outlineLvl w:val="0"/>
    </w:pPr>
    <w:rPr>
      <w:rFonts w:cs="宋体"/>
      <w:b/>
      <w:bCs/>
      <w:kern w:val="0"/>
      <w:sz w:val="28"/>
      <w:szCs w:val="28"/>
    </w:rPr>
  </w:style>
  <w:style w:type="paragraph" w:customStyle="1" w:styleId="67">
    <w:name w:val="目录 71"/>
    <w:basedOn w:val="1"/>
    <w:next w:val="1"/>
    <w:qFormat/>
    <w:uiPriority w:val="0"/>
    <w:pPr>
      <w:ind w:left="1260"/>
      <w:jc w:val="left"/>
    </w:pPr>
    <w:rPr>
      <w:rFonts w:ascii="Calibri" w:hAnsi="Calibri" w:cs="Calibri"/>
      <w:sz w:val="18"/>
      <w:szCs w:val="18"/>
    </w:rPr>
  </w:style>
  <w:style w:type="paragraph" w:styleId="68">
    <w:name w:val="List Paragraph"/>
    <w:basedOn w:val="1"/>
    <w:qFormat/>
    <w:uiPriority w:val="0"/>
    <w:pPr>
      <w:ind w:firstLine="420" w:firstLineChars="200"/>
    </w:pPr>
  </w:style>
  <w:style w:type="paragraph" w:customStyle="1" w:styleId="69">
    <w:name w:val="SBBL2"/>
    <w:basedOn w:val="1"/>
    <w:qFormat/>
    <w:uiPriority w:val="0"/>
    <w:pPr>
      <w:spacing w:line="360" w:lineRule="auto"/>
      <w:ind w:firstLine="200" w:firstLineChars="200"/>
      <w:jc w:val="left"/>
      <w:outlineLvl w:val="1"/>
    </w:pPr>
    <w:rPr>
      <w:rFonts w:ascii="宋体" w:hAnsi="宋体" w:cs="Calibri"/>
      <w:b/>
      <w:sz w:val="24"/>
    </w:rPr>
  </w:style>
  <w:style w:type="paragraph" w:customStyle="1" w:styleId="70">
    <w:name w:val="TOC Heading"/>
    <w:basedOn w:val="3"/>
    <w:next w:val="1"/>
    <w:qFormat/>
    <w:uiPriority w:val="39"/>
    <w:pPr>
      <w:widowControl/>
      <w:spacing w:before="480" w:after="0" w:line="276" w:lineRule="auto"/>
      <w:jc w:val="left"/>
      <w:outlineLvl w:val="9"/>
    </w:pPr>
    <w:rPr>
      <w:rFonts w:ascii="Cambria" w:hAnsi="Cambria"/>
      <w:bCs/>
      <w:color w:val="365F91"/>
      <w:kern w:val="0"/>
      <w:sz w:val="28"/>
      <w:szCs w:val="28"/>
      <w:lang w:val="en-US" w:eastAsia="zh-CN"/>
    </w:rPr>
  </w:style>
  <w:style w:type="paragraph" w:customStyle="1" w:styleId="71">
    <w:name w:val="列表段落1"/>
    <w:basedOn w:val="1"/>
    <w:qFormat/>
    <w:uiPriority w:val="0"/>
    <w:pPr>
      <w:ind w:firstLine="420" w:firstLineChars="200"/>
    </w:pPr>
    <w:rPr>
      <w:szCs w:val="21"/>
    </w:rPr>
  </w:style>
  <w:style w:type="paragraph" w:customStyle="1" w:styleId="72">
    <w:name w:val="List Paragraph1"/>
    <w:basedOn w:val="1"/>
    <w:qFormat/>
    <w:uiPriority w:val="0"/>
    <w:pPr>
      <w:ind w:firstLine="420" w:firstLineChars="200"/>
    </w:pPr>
  </w:style>
  <w:style w:type="paragraph" w:customStyle="1" w:styleId="73">
    <w:name w:val="列出段落1"/>
    <w:basedOn w:val="1"/>
    <w:qFormat/>
    <w:uiPriority w:val="0"/>
    <w:pPr>
      <w:ind w:firstLine="420" w:firstLineChars="200"/>
    </w:pPr>
    <w:rPr>
      <w:szCs w:val="21"/>
    </w:rPr>
  </w:style>
  <w:style w:type="paragraph" w:customStyle="1" w:styleId="74">
    <w:name w:val="1"/>
    <w:basedOn w:val="1"/>
    <w:qFormat/>
    <w:uiPriority w:val="0"/>
    <w:rPr>
      <w:rFonts w:ascii="Tahoma" w:hAnsi="Tahoma"/>
      <w:sz w:val="24"/>
      <w:szCs w:val="20"/>
    </w:rPr>
  </w:style>
  <w:style w:type="paragraph" w:customStyle="1" w:styleId="75">
    <w:name w:val="需求3级"/>
    <w:basedOn w:val="5"/>
    <w:next w:val="1"/>
    <w:qFormat/>
    <w:uiPriority w:val="0"/>
    <w:pPr>
      <w:spacing w:before="360" w:line="360" w:lineRule="auto"/>
    </w:pPr>
    <w:rPr>
      <w:rFonts w:ascii="方正小标宋简体" w:hAnsi="宋体" w:eastAsia="方正小标宋简体"/>
      <w:b w:val="0"/>
      <w:sz w:val="24"/>
      <w:szCs w:val="24"/>
    </w:rPr>
  </w:style>
  <w:style w:type="paragraph" w:customStyle="1" w:styleId="76">
    <w:name w:val="_Style 8"/>
    <w:basedOn w:val="1"/>
    <w:qFormat/>
    <w:uiPriority w:val="0"/>
  </w:style>
  <w:style w:type="paragraph" w:customStyle="1" w:styleId="77">
    <w:name w:val="列出段落2"/>
    <w:basedOn w:val="1"/>
    <w:qFormat/>
    <w:uiPriority w:val="0"/>
    <w:pPr>
      <w:ind w:firstLine="420" w:firstLineChars="200"/>
    </w:pPr>
    <w:rPr>
      <w:szCs w:val="21"/>
    </w:rPr>
  </w:style>
  <w:style w:type="paragraph" w:customStyle="1" w:styleId="78">
    <w:name w:val="目录 41"/>
    <w:basedOn w:val="1"/>
    <w:next w:val="1"/>
    <w:qFormat/>
    <w:uiPriority w:val="0"/>
    <w:pPr>
      <w:ind w:left="630"/>
      <w:jc w:val="left"/>
    </w:pPr>
    <w:rPr>
      <w:rFonts w:ascii="Calibri" w:hAnsi="Calibri" w:cs="Calibri"/>
      <w:sz w:val="18"/>
      <w:szCs w:val="18"/>
    </w:rPr>
  </w:style>
  <w:style w:type="paragraph" w:customStyle="1" w:styleId="79">
    <w:name w:val="SBBL3"/>
    <w:basedOn w:val="1"/>
    <w:qFormat/>
    <w:uiPriority w:val="0"/>
    <w:pPr>
      <w:spacing w:line="360" w:lineRule="auto"/>
      <w:ind w:firstLine="480" w:firstLineChars="200"/>
      <w:outlineLvl w:val="2"/>
    </w:pPr>
    <w:rPr>
      <w:rFonts w:ascii="黑体" w:hAnsi="黑体" w:eastAsia="黑体" w:cs="Calibri"/>
      <w:sz w:val="24"/>
    </w:rPr>
  </w:style>
  <w:style w:type="paragraph" w:customStyle="1" w:styleId="80">
    <w:name w:val="SBBT2"/>
    <w:basedOn w:val="66"/>
    <w:qFormat/>
    <w:uiPriority w:val="0"/>
    <w:pPr>
      <w:tabs>
        <w:tab w:val="center" w:pos="6521"/>
        <w:tab w:val="clear" w:pos="4678"/>
      </w:tabs>
    </w:pPr>
  </w:style>
  <w:style w:type="paragraph" w:customStyle="1" w:styleId="81">
    <w:name w:val="一级标题"/>
    <w:basedOn w:val="1"/>
    <w:qFormat/>
    <w:uiPriority w:val="0"/>
    <w:pPr>
      <w:ind w:firstLine="420" w:firstLineChars="200"/>
      <w:outlineLvl w:val="2"/>
    </w:pPr>
    <w:rPr>
      <w:rFonts w:ascii="Arial" w:hAnsi="Arial" w:cs="Arial"/>
      <w:b/>
    </w:rPr>
  </w:style>
  <w:style w:type="paragraph" w:customStyle="1" w:styleId="82">
    <w:name w:val="目录 31"/>
    <w:basedOn w:val="1"/>
    <w:next w:val="1"/>
    <w:qFormat/>
    <w:uiPriority w:val="0"/>
    <w:pPr>
      <w:ind w:left="420"/>
      <w:jc w:val="left"/>
    </w:pPr>
    <w:rPr>
      <w:rFonts w:ascii="Calibri" w:hAnsi="Calibri" w:cs="Calibri"/>
      <w:i/>
      <w:iCs/>
      <w:sz w:val="20"/>
      <w:szCs w:val="20"/>
    </w:rPr>
  </w:style>
  <w:style w:type="paragraph" w:customStyle="1" w:styleId="83">
    <w:name w:val="竖表标题1级"/>
    <w:basedOn w:val="66"/>
    <w:qFormat/>
    <w:uiPriority w:val="0"/>
    <w:pPr>
      <w:tabs>
        <w:tab w:val="center" w:pos="4820"/>
        <w:tab w:val="clear" w:pos="4678"/>
      </w:tabs>
      <w:spacing w:before="312" w:beforeLines="100" w:after="312" w:afterLines="100"/>
    </w:pPr>
  </w:style>
  <w:style w:type="paragraph" w:customStyle="1" w:styleId="84">
    <w:name w:val="目录 51"/>
    <w:basedOn w:val="1"/>
    <w:next w:val="1"/>
    <w:qFormat/>
    <w:uiPriority w:val="0"/>
    <w:pPr>
      <w:ind w:left="840"/>
      <w:jc w:val="left"/>
    </w:pPr>
    <w:rPr>
      <w:rFonts w:ascii="Calibri" w:hAnsi="Calibri" w:cs="Calibri"/>
      <w:sz w:val="18"/>
      <w:szCs w:val="18"/>
    </w:rPr>
  </w:style>
  <w:style w:type="paragraph" w:customStyle="1" w:styleId="85">
    <w:name w:val="ZBBZWBg"/>
    <w:basedOn w:val="65"/>
    <w:qFormat/>
    <w:uiPriority w:val="0"/>
    <w:pPr>
      <w:ind w:firstLine="0" w:firstLineChars="0"/>
      <w:jc w:val="center"/>
    </w:pPr>
    <w:rPr>
      <w:rFonts w:cs="宋体"/>
      <w:b/>
      <w:bCs/>
    </w:rPr>
  </w:style>
  <w:style w:type="paragraph" w:customStyle="1" w:styleId="86">
    <w:name w:val="目录 61"/>
    <w:basedOn w:val="1"/>
    <w:next w:val="1"/>
    <w:qFormat/>
    <w:uiPriority w:val="0"/>
    <w:pPr>
      <w:ind w:left="1050"/>
      <w:jc w:val="left"/>
    </w:pPr>
    <w:rPr>
      <w:rFonts w:ascii="Calibri" w:hAnsi="Calibri" w:cs="Calibri"/>
      <w:sz w:val="18"/>
      <w:szCs w:val="18"/>
    </w:rPr>
  </w:style>
  <w:style w:type="paragraph" w:customStyle="1" w:styleId="87">
    <w:name w:val="竖表标题不含说明"/>
    <w:basedOn w:val="83"/>
    <w:qFormat/>
    <w:uiPriority w:val="0"/>
    <w:pPr>
      <w:spacing w:before="0" w:beforeLines="0" w:after="0" w:afterLines="0" w:line="240" w:lineRule="auto"/>
    </w:pPr>
  </w:style>
  <w:style w:type="paragraph" w:customStyle="1" w:styleId="88">
    <w:name w:val="SBBL1"/>
    <w:basedOn w:val="3"/>
    <w:qFormat/>
    <w:uiPriority w:val="0"/>
    <w:pPr>
      <w:spacing w:beforeLines="100" w:afterLines="150" w:line="360" w:lineRule="auto"/>
      <w:jc w:val="center"/>
    </w:pPr>
    <w:rPr>
      <w:rFonts w:ascii="方正小标宋简体" w:hAnsi="宋体" w:eastAsia="方正小标宋简体" w:cs="宋体"/>
      <w:b w:val="0"/>
      <w:sz w:val="28"/>
      <w:szCs w:val="28"/>
    </w:rPr>
  </w:style>
  <w:style w:type="paragraph" w:customStyle="1" w:styleId="89">
    <w:name w:val="目录 91"/>
    <w:basedOn w:val="1"/>
    <w:next w:val="1"/>
    <w:qFormat/>
    <w:uiPriority w:val="0"/>
    <w:pPr>
      <w:ind w:left="1680"/>
      <w:jc w:val="left"/>
    </w:pPr>
    <w:rPr>
      <w:rFonts w:ascii="Calibri" w:hAnsi="Calibri" w:cs="Calibri"/>
      <w:sz w:val="18"/>
      <w:szCs w:val="18"/>
    </w:rPr>
  </w:style>
  <w:style w:type="character" w:customStyle="1" w:styleId="90">
    <w:name w:val="dhgao"/>
    <w:basedOn w:val="27"/>
    <w:qFormat/>
    <w:uiPriority w:val="0"/>
  </w:style>
  <w:style w:type="character" w:customStyle="1" w:styleId="91">
    <w:name w:val="hao1"/>
    <w:basedOn w:val="27"/>
    <w:qFormat/>
    <w:uiPriority w:val="0"/>
  </w:style>
  <w:style w:type="paragraph" w:customStyle="1" w:styleId="92">
    <w:name w:val="表格1级"/>
    <w:basedOn w:val="1"/>
    <w:qFormat/>
    <w:uiPriority w:val="0"/>
    <w:pPr>
      <w:tabs>
        <w:tab w:val="left" w:pos="210"/>
        <w:tab w:val="center" w:pos="4620"/>
      </w:tabs>
      <w:spacing w:before="50" w:beforeLines="50" w:after="50" w:afterLines="50"/>
      <w:jc w:val="center"/>
      <w:outlineLvl w:val="0"/>
    </w:pPr>
    <w:rPr>
      <w:rFonts w:ascii="Times New Roman" w:hAnsi="Times New Roman" w:eastAsia="CESI宋体-GB2312"/>
      <w:b/>
      <w:sz w:val="28"/>
    </w:rPr>
  </w:style>
  <w:style w:type="paragraph" w:customStyle="1" w:styleId="93">
    <w:name w:val="说明1级"/>
    <w:basedOn w:val="1"/>
    <w:qFormat/>
    <w:uiPriority w:val="0"/>
    <w:pPr>
      <w:tabs>
        <w:tab w:val="center" w:pos="4200"/>
      </w:tabs>
      <w:spacing w:before="50" w:beforeLines="50" w:after="50" w:afterLines="50" w:line="360" w:lineRule="auto"/>
      <w:ind w:left="0" w:leftChars="0" w:right="0" w:rightChars="0"/>
      <w:jc w:val="center"/>
      <w:outlineLvl w:val="0"/>
    </w:pPr>
    <w:rPr>
      <w:rFonts w:ascii="Times New Roman" w:hAnsi="Times New Roman" w:eastAsia="CESI宋体-GB2312"/>
      <w:b/>
      <w:sz w:val="28"/>
    </w:rPr>
  </w:style>
  <w:style w:type="paragraph" w:customStyle="1" w:styleId="94">
    <w:name w:val="填报说明正文"/>
    <w:basedOn w:val="1"/>
    <w:qFormat/>
    <w:uiPriority w:val="0"/>
    <w:pPr>
      <w:spacing w:line="480" w:lineRule="exact"/>
      <w:ind w:firstLine="640" w:firstLineChars="200"/>
    </w:pPr>
    <w:rPr>
      <w:rFonts w:ascii="Times New Roman" w:hAnsi="Times New Roman" w:eastAsia="CESI宋体-GB2312"/>
      <w:sz w:val="24"/>
    </w:rPr>
  </w:style>
  <w:style w:type="paragraph" w:customStyle="1" w:styleId="95">
    <w:name w:val="文章内表格标题"/>
    <w:basedOn w:val="1"/>
    <w:qFormat/>
    <w:uiPriority w:val="0"/>
    <w:pPr>
      <w:snapToGrid w:val="0"/>
      <w:spacing w:line="520" w:lineRule="exact"/>
      <w:jc w:val="center"/>
    </w:pPr>
    <w:rPr>
      <w:rFonts w:ascii="Times New Roman" w:hAnsi="Times New Roman" w:eastAsia="CESI宋体-GB2312"/>
      <w:b/>
      <w:sz w:val="24"/>
    </w:rPr>
  </w:style>
  <w:style w:type="paragraph" w:customStyle="1" w:styleId="96">
    <w:name w:val="说明2级"/>
    <w:basedOn w:val="1"/>
    <w:qFormat/>
    <w:uiPriority w:val="0"/>
    <w:pPr>
      <w:spacing w:before="50" w:beforeLines="50" w:line="360" w:lineRule="auto"/>
      <w:ind w:firstLine="640" w:firstLineChars="200"/>
      <w:outlineLvl w:val="1"/>
    </w:pPr>
    <w:rPr>
      <w:rFonts w:ascii="Times New Roman" w:hAnsi="Times New Roman" w:eastAsia="CESI黑体-GB2312"/>
      <w:sz w:val="24"/>
    </w:rPr>
  </w:style>
  <w:style w:type="paragraph" w:customStyle="1" w:styleId="97">
    <w:name w:val="公文正文"/>
    <w:basedOn w:val="1"/>
    <w:qFormat/>
    <w:uiPriority w:val="0"/>
    <w:pPr>
      <w:spacing w:line="560" w:lineRule="exact"/>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header" Target="header2.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91AD2-C46F-4FCC-AC17-7D988486C1F2}">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236</Pages>
  <Words>27089</Words>
  <Characters>154410</Characters>
  <Lines>1286</Lines>
  <Paragraphs>362</Paragraphs>
  <TotalTime>1</TotalTime>
  <ScaleCrop>false</ScaleCrop>
  <LinksUpToDate>false</LinksUpToDate>
  <CharactersWithSpaces>181137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2021-01-06T07:14:00Z</dcterms:created>
  <dc:creator>企业所得税B01</dc:creator>
  <cp:lastModifiedBy>周玉娟</cp:lastModifiedBy>
  <cp:lastPrinted>2019-06-18T03:58:00Z</cp:lastPrinted>
  <dcterms:modified xsi:type="dcterms:W3CDTF">2023-02-01T06:59:08Z</dcterms:modified>
  <dc:title>《中华人民共和国企业所得税年度纳税申报表（A类）》填报说明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