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pPr>
      <w:bookmarkStart w:id="0" w:name="_GoBack"/>
      <w:bookmarkEnd w:id="0"/>
      <w:r>
        <w:rPr>
          <w:rStyle w:val="4"/>
          <w:rFonts w:hint="eastAsia" w:ascii="方正小标宋简体" w:hAnsi="方正小标宋简体" w:eastAsia="方正小标宋简体" w:cs="方正小标宋简体"/>
          <w:b w:val="0"/>
          <w:bCs/>
          <w:color w:val="333333"/>
          <w:sz w:val="32"/>
          <w:szCs w:val="32"/>
        </w:rPr>
        <w:t>关于《国家税务总局饶平县税务局关于废止行政审批事项公开目录的公告》的解读</w:t>
      </w:r>
      <w:r>
        <w:rPr>
          <w:rStyle w:val="4"/>
          <w:rFonts w:hint="eastAsia" w:ascii="微软雅黑" w:hAnsi="微软雅黑" w:eastAsia="微软雅黑" w:cs="微软雅黑"/>
          <w:color w:val="333333"/>
          <w:sz w:val="24"/>
          <w:szCs w:val="24"/>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pPr>
      <w:r>
        <w:rPr>
          <w:rFonts w:hint="eastAsia" w:ascii="微软雅黑" w:hAnsi="微软雅黑" w:eastAsia="微软雅黑" w:cs="微软雅黑"/>
          <w:color w:val="333333"/>
          <w:sz w:val="24"/>
          <w:szCs w:val="24"/>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为便于纳税人和税务机关理解和执行，现对《国家税务总局饶平县税务局关于废止行政审批事项公开目录的公告》（以下简称《公告》）解读如下：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一、《公告》出台背景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为进一步推进行政审批制度改革，落实税务行政审批清单制度改革，方便纳税人办理税务行政审批事项，接受社会监督，原广东省饶平县国家税务局于2015年12月发布《饶平县国家税务局关于更新广东省饶平县国家税务局行政审批事项公开目录的公告》（广东省饶平县国家税务局公告2015年第1号），对广东省饶平县国家税务局行政审批事项公开目录进行更新。2018年7月，国家税务总局饶平县税务局挂牌成立后发布《国家税务总局饶平县税务局关于公布税费规范性文件清理结果的公告》（国家税务总局饶平县税务局公告2018年第1号），对广东省饶平县国家税务局公告2015年第1号有关条款进行修改，保留了6项行政许可，21项需要进一步改革和规范的其他权力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根据《国家税务总局关于公布已取消税务行政许可事项的公告》（国家税务总局公告2019年第11号），取消 “非居民企业选择由其主要机构场所汇总缴纳企业所得税的审批”事项, 并将《国家税务总局关于简化税务行政许可事项办理程序的公告》（国家税务总局公告2017年第21号发布，国家税务总局公告2018年第31号、第67号修改）所附税务行政许可文书样式和税务行政许可项目分项表予以更新。因此，为认真落实取消税务许可事项有关工作，并使用税务总局制定的税务行政许可文书样式和税务行政许可项目分项表，决定全文废止广东省饶平县国家税务局公告2015年第1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二、《公告》的主要内容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《公告》的主要内容是：全文废止《饶平县国家税务局关于更新广东省饶平县国家税务局行政审批事项公开目录的公告》（广东省饶平县国家税务局公告2015年第1号）。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三、《公告》生效时间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本公告自发布之日起施行。</w:t>
      </w:r>
    </w:p>
    <w:p>
      <w:pPr>
        <w:keepNext w:val="0"/>
        <w:keepLines w:val="0"/>
        <w:pageBreakBefore w:val="0"/>
        <w:kinsoku/>
        <w:wordWrap/>
        <w:overflowPunct/>
        <w:topLinePunct w:val="0"/>
        <w:autoSpaceDE/>
        <w:autoSpaceDN/>
        <w:bidi w:val="0"/>
        <w:adjustRightInd/>
        <w:snapToGrid/>
        <w:spacing w:line="6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3A1F25"/>
    <w:rsid w:val="39B47E64"/>
    <w:rsid w:val="473A1F25"/>
    <w:rsid w:val="7FE25EC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333333"/>
      <w:u w:val="none"/>
    </w:rPr>
  </w:style>
  <w:style w:type="character" w:styleId="6">
    <w:name w:val="HTML Definition"/>
    <w:basedOn w:val="3"/>
    <w:uiPriority w:val="0"/>
  </w:style>
  <w:style w:type="character" w:styleId="7">
    <w:name w:val="HTML Variable"/>
    <w:basedOn w:val="3"/>
    <w:uiPriority w:val="0"/>
  </w:style>
  <w:style w:type="character" w:styleId="8">
    <w:name w:val="Hyperlink"/>
    <w:basedOn w:val="3"/>
    <w:uiPriority w:val="0"/>
    <w:rPr>
      <w:color w:val="333333"/>
      <w:u w:val="none"/>
    </w:rPr>
  </w:style>
  <w:style w:type="character" w:styleId="9">
    <w:name w:val="HTML Code"/>
    <w:basedOn w:val="3"/>
    <w:uiPriority w:val="0"/>
    <w:rPr>
      <w:rFonts w:ascii="Courier New" w:hAnsi="Courier New"/>
      <w:sz w:val="20"/>
    </w:rPr>
  </w:style>
  <w:style w:type="character" w:styleId="10">
    <w:name w:val="HTML Cite"/>
    <w:basedOn w:val="3"/>
    <w:uiPriority w:val="0"/>
  </w:style>
  <w:style w:type="character" w:customStyle="1" w:styleId="12">
    <w:name w:val="sharebtn_m"/>
    <w:basedOn w:val="3"/>
    <w:uiPriority w:val="0"/>
    <w:rPr>
      <w:vanish/>
    </w:rPr>
  </w:style>
  <w:style w:type="character" w:customStyle="1" w:styleId="13">
    <w:name w:val="txtbg"/>
    <w:basedOn w:val="3"/>
    <w:uiPriority w:val="0"/>
    <w:rPr>
      <w:shd w:val="clear" w:fill="000000"/>
    </w:rPr>
  </w:style>
  <w:style w:type="character" w:customStyle="1" w:styleId="14">
    <w:name w:val="txt"/>
    <w:basedOn w:val="3"/>
    <w:uiPriority w:val="0"/>
    <w:rPr>
      <w:color w:val="FFFFFF"/>
    </w:rPr>
  </w:style>
  <w:style w:type="character" w:customStyle="1" w:styleId="15">
    <w:name w:val="txt1"/>
    <w:basedOn w:val="3"/>
    <w:uiPriority w:val="0"/>
    <w:rPr>
      <w:color w:val="FFFFFF"/>
      <w:shd w:val="clear" w:fill="000000"/>
    </w:rPr>
  </w:style>
  <w:style w:type="character" w:customStyle="1" w:styleId="16">
    <w:name w:val="llcs"/>
    <w:basedOn w:val="3"/>
    <w:uiPriority w:val="0"/>
    <w:rPr>
      <w:vanish/>
    </w:rPr>
  </w:style>
  <w:style w:type="character" w:customStyle="1" w:styleId="17">
    <w:name w:val="llcs_lm"/>
    <w:basedOn w:val="3"/>
    <w:uiPriority w:val="0"/>
    <w:rPr>
      <w:vanish/>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2023-01-30T01:13:00Z</dcterms:created>
  <dc:creator>麦绿婷</dc:creator>
  <cp:lastModifiedBy> </cp:lastModifiedBy>
  <dcterms:modified xsi:type="dcterms:W3CDTF">2023-02-21T01:42:09Z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